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240F6E">
      <w:pPr>
        <w:divId w:val="222716882"/>
        <w:rPr>
          <w:rFonts w:eastAsia="Times New Roman"/>
          <w:vanish/>
        </w:rPr>
      </w:pPr>
      <w:r>
        <w:rPr>
          <w:rFonts w:eastAsia="Times New Roman"/>
          <w:vanish/>
        </w:rPr>
        <w:t xml:space="preserve">false Q1 CoreCivic, Inc. 0001070985 --12-31 Large Accelerated Filer false false true P6Y 2023-05-01 2020-04-01 2022-10-15 2027-10-15 2040-01-31 0.3333 P3Y 0 2300000 2023-04-30 2033-01-31 2040-01-31 2034-02-28 2023-04-30 2023-04-30 2034-02-28 P3Y </w:t>
      </w:r>
      <w:r>
        <w:rPr>
          <w:rFonts w:eastAsia="Times New Roman"/>
          <w:vanish/>
        </w:rPr>
        <w:t>0.3333 2023-04-30 0001070985 2019-01-01 2019-03-31 xbrli:shares 0001070985 2019-05-03 iso4217:USD 0001070985 2019-03-31 0001070985 2018-12-31 iso4217:USD xbrli:shares 0001070985 2018-01-01 2018-03-31 0001070985 2017-12-31 0001070985 2018-03-31 0001070985 u</w:t>
      </w:r>
      <w:r>
        <w:rPr>
          <w:rFonts w:eastAsia="Times New Roman"/>
          <w:vanish/>
        </w:rPr>
        <w:t>s-gaap:CommonStockMember 2018-12-31 0001070985 us-gaap:AdditionalPaidInCapitalMember 2018-12-31 0001070985 us-gaap:RetainedEarningsMember 2018-12-31 0001070985 us-gaap:RetainedEarningsMember 2019-01-01 2019-03-31 0001070985 us-gaap:CommonStockMember 2019-0</w:t>
      </w:r>
      <w:r>
        <w:rPr>
          <w:rFonts w:eastAsia="Times New Roman"/>
          <w:vanish/>
        </w:rPr>
        <w:t>1-01 2019-03-31 0001070985 us-gaap:AdditionalPaidInCapitalMember 2019-01-01 2019-03-31 0001070985 us-gaap:CommonStockMember 2019-03-31 0001070985 us-gaap:AdditionalPaidInCapitalMember 2019-03-31 0001070985 us-gaap:RetainedEarningsMember 2019-03-31 00010709</w:t>
      </w:r>
      <w:r>
        <w:rPr>
          <w:rFonts w:eastAsia="Times New Roman"/>
          <w:vanish/>
        </w:rPr>
        <w:t>85 us-gaap:CommonStockMember 2017-12-31 0001070985 us-gaap:AdditionalPaidInCapitalMember 2017-12-31 0001070985 us-gaap:RetainedEarningsMember 2017-12-31 0001070985 us-gaap:RetainedEarningsMember 2018-01-01 2018-03-31 0001070985 us-gaap:AccumulatedOtherComp</w:t>
      </w:r>
      <w:r>
        <w:rPr>
          <w:rFonts w:eastAsia="Times New Roman"/>
          <w:vanish/>
        </w:rPr>
        <w:t>rehensiveIncomeMember 2018-01-01 2018-03-31 0001070985 us-gaap:CommonStockMember 2018-01-01 2018-03-31 0001070985 us-gaap:AdditionalPaidInCapitalMember 2018-01-01 2018-03-31 0001070985 us-gaap:CommonStockMember 2018-03-31 0001070985 us-gaap:AdditionalPaidI</w:t>
      </w:r>
      <w:r>
        <w:rPr>
          <w:rFonts w:eastAsia="Times New Roman"/>
          <w:vanish/>
        </w:rPr>
        <w:t>nCapitalMember 2018-03-31 0001070985 us-gaap:RetainedEarningsMember 2018-03-31 0001070985 us-gaap:AccumulatedOtherComprehensiveIncomeMember 2018-03-31 cxw:Segment cxw:Facility 0001070985 cxw:SafetySegmentMember 2019-03-31 cxw:Bed 0001070985 cxw:CommunitySe</w:t>
      </w:r>
      <w:r>
        <w:rPr>
          <w:rFonts w:eastAsia="Times New Roman"/>
          <w:vanish/>
        </w:rPr>
        <w:t>gmentMember 2019-03-31 cxw:Property 0001070985 cxw:PropertiesSegmentMember 2019-03-31 utr:sqft 0001070985 us-gaap:AccountingStandardsUpdate201602Member 2019-01-01 0001070985 us-gaap:AccountingStandardsUpdate201602Member us-gaap:OtherAssetsMember 2019-03-31</w:t>
      </w:r>
      <w:r>
        <w:rPr>
          <w:rFonts w:eastAsia="Times New Roman"/>
          <w:vanish/>
        </w:rPr>
        <w:t xml:space="preserve"> 0001070985 us-gaap:AccountingStandardsUpdate201602Member us-gaap:AccountsPayableAndAccruedLiabilitiesMember 2019-03-31 0001070985 us-gaap:AccountingStandardsUpdate201602Member us-gaap:OtherLiabilitiesMember 2019-03-31 xbrli:pure 0001070985 us-gaap:Account</w:t>
      </w:r>
      <w:r>
        <w:rPr>
          <w:rFonts w:eastAsia="Times New Roman"/>
          <w:vanish/>
        </w:rPr>
        <w:t>ingStandardsUpdate201602Member 2019-03-31 0001070985 cxw:MultiplePropertiesMember us-gaap:AccountingStandardsUpdate201602Member cxw:ThirdPartyLessorMember 2019-01-01 2019-03-31 0001070985 cxw:ThirdPartyLessorMember us-gaap:AccountingStandardsUpdate201602Me</w:t>
      </w:r>
      <w:r>
        <w:rPr>
          <w:rFonts w:eastAsia="Times New Roman"/>
          <w:vanish/>
        </w:rPr>
        <w:t xml:space="preserve">mber 2019-01-01 2019-03-31 0001070985 cxw:IceMember us-gaap:AccountingStandardsUpdate201602Member 2019-01-01 2019-03-31 0001070985 cxw:LeaseTerminationFeeMember cxw:ThirdPartyLessorMember us-gaap:AccountingStandardsUpdate201602Member 2019-01-01 2019-03-31 </w:t>
      </w:r>
      <w:r>
        <w:rPr>
          <w:rFonts w:eastAsia="Times New Roman"/>
          <w:vanish/>
        </w:rPr>
        <w:t>0001070985 us-gaap:AccountingStandardsUpdate201602Member 2019-01-01 2019-03-31 0001070985 us-gaap:AccountingStandardsUpdate201602Member 2018-01-01 2018-03-31 0001070985 us-gaap:AccountingStandardsUpdate201602Member cxw:SouthTexasFamilyResidentialCenterMemb</w:t>
      </w:r>
      <w:r>
        <w:rPr>
          <w:rFonts w:eastAsia="Times New Roman"/>
          <w:vanish/>
        </w:rPr>
        <w:t>er 2019-03-31 0001070985 us-gaap:AccountingStandardsUpdate201602Member cxw:PropertiesSegmentMember 2019-03-31 0001070985 us-gaap:AccountingStandardsUpdate201602Member cxw:PropertiesSegmentMember 2019-01-01 2019-03-31 0001070985 us-gaap:AccountingStandardsU</w:t>
      </w:r>
      <w:r>
        <w:rPr>
          <w:rFonts w:eastAsia="Times New Roman"/>
          <w:vanish/>
        </w:rPr>
        <w:t>pdate201602Member cxw:KansasDepartmentOfCorrectionsMember 2018-01-24 0001070985 cxw:SafetySegmentMember 2018-12-31 0001070985 cxw:CommunitySegmentMember 2018-12-31 0001070985 cxw:RaleighNorthCarolinaMember cxw:SouthRaleighReentryCenterMember 2019-02-20 201</w:t>
      </w:r>
      <w:r>
        <w:rPr>
          <w:rFonts w:eastAsia="Times New Roman"/>
          <w:vanish/>
        </w:rPr>
        <w:t>9-02-20 0001070985 cxw:DetroitMichiganMember us-gaap:SubsequentEventMember 2019-05-05 2019-05-06 0001070985 cxw:DetroitMichiganMember us-gaap:SubsequentEventMember 2019-05-06 0001070985 cxw:KansasDepartmentOfCorrectionsMember 2018-01-24 0001070985 cxw:Kans</w:t>
      </w:r>
      <w:r>
        <w:rPr>
          <w:rFonts w:eastAsia="Times New Roman"/>
          <w:vanish/>
        </w:rPr>
        <w:t>asDepartmentOfCorrectionsMember 2019-01-01 2019-03-31 0001070985 cxw:KansasDepartmentOfCorrectionsMember 2019-03-31 0001070985 cxw:IdleFacilitiesMember 2019-01-01 2019-03-31 0001070985 cxw:PrairieCorrectionalFacilityMember 2019-03-31 0001070985 cxw:Huerfan</w:t>
      </w:r>
      <w:r>
        <w:rPr>
          <w:rFonts w:eastAsia="Times New Roman"/>
          <w:vanish/>
        </w:rPr>
        <w:t>oCountyCorrectionalCenterMember 2019-03-31 0001070985 cxw:DiamondbackCorrectionalFacilityMember 2019-03-31 0001070985 cxw:SoutheastKentuckyCorrectionalFacilityMember 2019-03-31 0001070985 cxw:MarionAdjustmentCenterMember 2019-03-31 0001070985 cxw:KitCarson</w:t>
      </w:r>
      <w:r>
        <w:rPr>
          <w:rFonts w:eastAsia="Times New Roman"/>
          <w:vanish/>
        </w:rPr>
        <w:t>CorrectionalCenterMember 2019-03-31 0001070985 cxw:EdenDetentionCenterMember 2019-03-31 0001070985 cxw:TorranceCountyDetentionFacilityMember 2019-03-31 0001070985 cxw:IdleFacilitiesMember 2019-03-31 0001070985 cxw:PrairieCorrectionalFacilityMember 2019-01-</w:t>
      </w:r>
      <w:r>
        <w:rPr>
          <w:rFonts w:eastAsia="Times New Roman"/>
          <w:vanish/>
        </w:rPr>
        <w:t>01 2019-03-31 0001070985 cxw:HuerfanoCountyCorrectionalCenterMember 2019-01-01 2019-03-31 0001070985 cxw:DiamondbackCorrectionalFacilityMember 2019-01-01 2019-03-31 0001070985 cxw:SoutheastKentuckyCorrectionalFacilityMember 2019-01-01 2019-03-31 0001070985</w:t>
      </w:r>
      <w:r>
        <w:rPr>
          <w:rFonts w:eastAsia="Times New Roman"/>
          <w:vanish/>
        </w:rPr>
        <w:t xml:space="preserve"> cxw:MarionAdjustmentCenterMember 2019-01-01 2019-03-31 0001070985 cxw:KitCarsonCorrectionalCenterMember 2019-01-01 2019-03-31 0001070985 cxw:EdenDetentionCenterMember 2019-01-01 2019-03-31 0001070985 cxw:TorranceCountyDetentionFacilityMember 2019-01-01 20</w:t>
      </w:r>
      <w:r>
        <w:rPr>
          <w:rFonts w:eastAsia="Times New Roman"/>
          <w:vanish/>
        </w:rPr>
        <w:t>19-03-31 0001070985 cxw:PrairieCorrectionalFacilityMember 2018-12-31 0001070985 cxw:HuerfanoCountyCorrectionalCenterMember 2018-12-31 0001070985 cxw:DiamondbackCorrectionalFacilityMember 2018-12-31 0001070985 cxw:SoutheastKentuckyCorrectionalFacilityMember</w:t>
      </w:r>
      <w:r>
        <w:rPr>
          <w:rFonts w:eastAsia="Times New Roman"/>
          <w:vanish/>
        </w:rPr>
        <w:t xml:space="preserve"> 2018-12-31 0001070985 cxw:MarionAdjustmentCenterMember 2018-12-31 0001070985 cxw:KitCarsonCorrectionalCenterMember 2018-12-31 0001070985 cxw:EdenDetentionCenterMember 2018-12-31 0001070985 cxw:TorranceCountyDetentionFacilityMember 2018-12-31 0001070985 cx</w:t>
      </w:r>
      <w:r>
        <w:rPr>
          <w:rFonts w:eastAsia="Times New Roman"/>
          <w:vanish/>
        </w:rPr>
        <w:t>w:IdleFacilitiesMember 2018-12-31 0001070985 cxw:IdledNonCoreFacilitiesMember 2019-01-01 2019-03-31 0001070985 cxw:IdledNonCoreFacilitiesMember 2019-03-31 0001070985 cxw:IdleFacilitiesMember 2018-01-01 2018-03-31 0001070985 us-gaap:RevolvingCreditFacilityM</w:t>
      </w:r>
      <w:r>
        <w:rPr>
          <w:rFonts w:eastAsia="Times New Roman"/>
          <w:vanish/>
        </w:rPr>
        <w:t xml:space="preserve">ember cxw:RevolvingCreditFacilityDueInAprilTwentyTwentyThreeMember 2019-03-31 0001070985 us-gaap:RevolvingCreditFacilityMember cxw:RevolvingCreditFacilityDueInAprilTwentyTwentyThreeMember 2018-12-31 0001070985 cxw:TermLoanDueInAprilTwentyTwentyThreeMember </w:t>
      </w:r>
      <w:r>
        <w:rPr>
          <w:rFonts w:eastAsia="Times New Roman"/>
          <w:vanish/>
        </w:rPr>
        <w:t>2019-03-31 0001070985 cxw:TermLoanDueInAprilTwentyTwentyThreeMember 2018-12-31 0001070985 cxw:SeniorNotesFourPointSixTwentyFivePercentDueTwentyTwentyThreeMember 2019-03-31 0001070985 cxw:SeniorNotesFourPointSixTwentyFivePercentDueTwentyTwentyThreeMember 20</w:t>
      </w:r>
      <w:r>
        <w:rPr>
          <w:rFonts w:eastAsia="Times New Roman"/>
          <w:vanish/>
        </w:rPr>
        <w:t xml:space="preserve">18-12-31 0001070985 cxw:SeniorNotesFourPointOneTwentyFivePercentDueTwentyTwentyMember 2019-03-31 0001070985 cxw:SeniorNotesFourPointOneTwentyFivePercentDueTwentyTwentyMember 2018-12-31 0001070985 cxw:SeniorNotesFivePointZeroPercentDueTwentyTwentyTwoMember </w:t>
      </w:r>
      <w:r>
        <w:rPr>
          <w:rFonts w:eastAsia="Times New Roman"/>
          <w:vanish/>
        </w:rPr>
        <w:t>2019-03-31 0001070985 cxw:SeniorNotesFivePointZeroPercentDueTwentyTwentyTwoMember 2018-12-31 0001070985 cxw:SeniorNotesFourPointSeventyFivePercentDueTwentyTwentySevenMember 2019-03-31 0001070985 cxw:SeniorNotesFourPointSeventyFivePercentDueTwentyTwentySeve</w:t>
      </w:r>
      <w:r>
        <w:rPr>
          <w:rFonts w:eastAsia="Times New Roman"/>
          <w:vanish/>
        </w:rPr>
        <w:t>nMember 2018-12-31 0001070985 cxw:NonRecourseMortgageNoteFourPointFivePercentDueTwentyThirtyThreeMember 2019-03-31 0001070985 cxw:NonRecourseMortgageNoteFourPointFivePercentDueTwentyThirtyThreeMember 2018-12-31 0001070985 cxw:NonRecourseMortgageNoteFourPoi</w:t>
      </w:r>
      <w:r>
        <w:rPr>
          <w:rFonts w:eastAsia="Times New Roman"/>
          <w:vanish/>
        </w:rPr>
        <w:t>ntFortyThreePercentDueTwentyFortyMember 2019-03-31 0001070985 cxw:NonRecourseMortgageNoteFourPointFortyThreePercentDueTwentyFortyMember 2018-12-31 0001070985 cxw:NonRecourseMortgageNoteFourPointFivePercentDueTwentyThirtyFourMember 2019-03-31 0001070985 cxw</w:t>
      </w:r>
      <w:r>
        <w:rPr>
          <w:rFonts w:eastAsia="Times New Roman"/>
          <w:vanish/>
        </w:rPr>
        <w:t>:NonRecourseMortgageNoteFourPointFivePercentDueTwentyThirtyFourMember 2018-12-31 0001070985 us-gaap:RevolvingCreditFacilityMember cxw:RevolvingCreditFacilityDueInAprilTwentyTwentyThreeMember 2019-01-01 2019-03-31 0001070985 cxw:TermLoanDueInAprilTwentyTwen</w:t>
      </w:r>
      <w:r>
        <w:rPr>
          <w:rFonts w:eastAsia="Times New Roman"/>
          <w:vanish/>
        </w:rPr>
        <w:t>tyThreeMember 2019-01-01 2019-03-31 0001070985 cxw:SeniorNotesFourPointSixTwentyFivePercentDueTwentyTwentyThreeMember 2019-01-01 2019-03-31 0001070985 cxw:SeniorNotesFourPointOneTwentyFivePercentDueTwentyTwentyMember 2019-01-01 2019-03-31 0001070985 cxw:Se</w:t>
      </w:r>
      <w:r>
        <w:rPr>
          <w:rFonts w:eastAsia="Times New Roman"/>
          <w:vanish/>
        </w:rPr>
        <w:t>niorNotesFivePointZeroPercentDueTwentyTwentyTwoMember 2019-01-01 2019-03-31 0001070985 cxw:SeniorNotesFourPointSeventyFivePercentDueTwentyTwentySevenMember 2019-01-01 2019-03-31 0001070985 cxw:NonRecourseMortgageNoteFourPointFivePercentDueTwentyThirtyThree</w:t>
      </w:r>
      <w:r>
        <w:rPr>
          <w:rFonts w:eastAsia="Times New Roman"/>
          <w:vanish/>
        </w:rPr>
        <w:t>Member 2019-01-01 2019-03-31 0001070985 cxw:NonRecourseMortgageNoteFourPointFortyThreePercentDueTwentyFortyMember 2019-01-01 2019-03-31 0001070985 cxw:NonRecourseMortgageNoteFourPointFivePercentDueTwentyThirtyFourMember 2019-01-01 2019-03-31 0001070985 us-</w:t>
      </w:r>
      <w:r>
        <w:rPr>
          <w:rFonts w:eastAsia="Times New Roman"/>
          <w:vanish/>
        </w:rPr>
        <w:t>gaap:RevolvingCreditFacilityMember srt:MinimumMember us-gaap:BaseRateMember 2018-04-16 2018-04-17 0001070985 us-gaap:RevolvingCreditFacilityMember srt:MaximumMember us-gaap:BaseRateMember 2018-04-16 2018-04-17 0001070985 us-gaap:RevolvingCreditFacilityMemb</w:t>
      </w:r>
      <w:r>
        <w:rPr>
          <w:rFonts w:eastAsia="Times New Roman"/>
          <w:vanish/>
        </w:rPr>
        <w:t>er srt:MinimumMember us-gaap:LondonInterbankOfferedRateLIBORMember 2018-04-16 2018-04-17 0001070985 us-gaap:RevolvingCreditFacilityMember srt:MaximumMember us-gaap:LondonInterbankOfferedRateLIBORMember 2018-04-16 2018-04-17 0001070985 cxw:CreditAgreementMe</w:t>
      </w:r>
      <w:r>
        <w:rPr>
          <w:rFonts w:eastAsia="Times New Roman"/>
          <w:vanish/>
        </w:rPr>
        <w:t>mber 2018-04-17 0001070985 cxw:CreditAgreementMember cxw:TermLoanMember 2018-04-17 0001070985 us-gaap:RevolvingCreditFacilityMember cxw:CreditAgreementMember 2018-04-17 0001070985 cxw:CreditAgreementMember 2018-04-16 2018-04-17 0001070985 us-gaap:Revolving</w:t>
      </w:r>
      <w:r>
        <w:rPr>
          <w:rFonts w:eastAsia="Times New Roman"/>
          <w:vanish/>
        </w:rPr>
        <w:t>CreditFacilityMember 2018-04-17 0001070985 us-gaap:RevolvingCreditFacilityMember 2019-01-01 2019-03-31 0001070985 us-gaap:RevolvingCreditFacilityMember 2019-03-31 0001070985 us-gaap:RevolvingCreditFacilityMember us-gaap:BaseRateMember 2019-01-01 2019-03-31</w:t>
      </w:r>
      <w:r>
        <w:rPr>
          <w:rFonts w:eastAsia="Times New Roman"/>
          <w:vanish/>
        </w:rPr>
        <w:t xml:space="preserve"> 0001070985 us-gaap:RevolvingCreditFacilityMember us-gaap:LondonInterbankOfferedRateLIBORMember 2019-01-01 2019-03-31 0001070985 cxw:SeniorNotesFourPointOneTwentyFivePercentDueTwentyTwentyMember 2013-04-30 0001070985 cxw:SeniorNotesFourPointOneTwentyFivePe</w:t>
      </w:r>
      <w:r>
        <w:rPr>
          <w:rFonts w:eastAsia="Times New Roman"/>
          <w:vanish/>
        </w:rPr>
        <w:t>rcentDueTwentyTwentyMember 2013-04-01 2013-04-30 0001070985 cxw:SeniorNotesFourPointSixTwentyFivePercentDueTwentyTwentyThreeMember 2013-04-30 0001070985 cxw:SeniorNotesFourPointSixTwentyFivePercentDueTwentyTwentyThreeMember 2013-04-01 2013-04-30 0001070985</w:t>
      </w:r>
      <w:r>
        <w:rPr>
          <w:rFonts w:eastAsia="Times New Roman"/>
          <w:vanish/>
        </w:rPr>
        <w:t xml:space="preserve"> cxw:SeniorNotesFivePointZeroPercentDueTwentyTwentyTwoMember 2015-09-30 0001070985 cxw:SeniorNotesFivePointZeroPercentDueTwentyTwentyTwoMember 2015-09-01 2015-09-30 0001070985 cxw:SeniorNotesFourPointSeventyFivePercentDueTwentyTwentySevenMember 2017-10-31 </w:t>
      </w:r>
      <w:r>
        <w:rPr>
          <w:rFonts w:eastAsia="Times New Roman"/>
          <w:vanish/>
        </w:rPr>
        <w:t>0001070985 cxw:SeniorNotesFourPointSeventyFivePercentDueTwentyTwentySevenMember 2017-10-01 2017-10-31 0001070985 cxw:CapitalCommerceCenterMember 2018-01-17 2018-01-19 0001070985 cxw:NonRecourseMortgageNoteMember cxw:CapitalCommerceCenterMember 2018-01-19 0</w:t>
      </w:r>
      <w:r>
        <w:rPr>
          <w:rFonts w:eastAsia="Times New Roman"/>
          <w:vanish/>
        </w:rPr>
        <w:t>001070985 cxw:NonRecourseMortgageNoteMember cxw:CapitalCommerceCenterMember 2018-01-17 2018-01-19 0001070985 cxw:NonRecourseMortgageNoteMember cxw:CapitalCommerceCenterMember 2019-03-31 0001070985 us-gaap:PrivatePlacementMember cxw:NonRecourseSeniorSecured</w:t>
      </w:r>
      <w:r>
        <w:rPr>
          <w:rFonts w:eastAsia="Times New Roman"/>
          <w:vanish/>
        </w:rPr>
        <w:t>NotesMember 2018-04-20 0001070985 us-gaap:PrivatePlacementMember cxw:NonRecourseSeniorSecuredNotesMember 2018-04-19 2018-04-20 0001070985 us-gaap:PrivatePlacementMember cxw:NonRecourseSeniorSecuredNotesMember 2019-03-31 0001070985 cxw:NonRecourseSeniorSecu</w:t>
      </w:r>
      <w:r>
        <w:rPr>
          <w:rFonts w:eastAsia="Times New Roman"/>
          <w:vanish/>
        </w:rPr>
        <w:t>redNotesMember cxw:SSABaltimoreMember 2018-08-22 2018-08-23 0001070985 cxw:NonRecourseSeniorSecuredNotesMember cxw:SSABaltimoreMember 2018-08-23 0001070985 cxw:NonRecourseSeniorSecuredNotesMember cxw:SSABaltimoreMember 2019-03-31 0001070985 cxw:DividendPay</w:t>
      </w:r>
      <w:r>
        <w:rPr>
          <w:rFonts w:eastAsia="Times New Roman"/>
          <w:vanish/>
        </w:rPr>
        <w:t>mentOneMember 2019-01-01 2019-03-31 0001070985 cxw:DividendPaymentTwoMember 2019-01-01 2019-03-31 0001070985 cxw:DividendPaymentThreeMember 2019-01-01 2019-03-31 0001070985 cxw:DividendPaymentFourMember 2019-01-01 2019-03-31 0001070985 cxw:DividendPaymentF</w:t>
      </w:r>
      <w:r>
        <w:rPr>
          <w:rFonts w:eastAsia="Times New Roman"/>
          <w:vanish/>
        </w:rPr>
        <w:t>iveMember 2019-01-01 2019-03-31 0001070985 us-gaap:EmployeeStockOptionMember 2019-03-31 0001070985 cxw:EmployeesAndNonEmployeeDirectorsMember us-gaap:RestrictedStockMember 2019-01-01 2019-03-31 0001070985 us-gaap:RestrictedStockMember 2019-01-01 2019-03-31</w:t>
      </w:r>
      <w:r>
        <w:rPr>
          <w:rFonts w:eastAsia="Times New Roman"/>
          <w:vanish/>
        </w:rPr>
        <w:t xml:space="preserve"> 0001070985 cxw:EmployeesAndNonEmployeeDirectorsMember us-gaap:GeneralAndAdministrativeExpenseMember us-gaap:RestrictedStockMember 2019-01-01 2019-03-31 0001070985 cxw:EmployeeMember us-gaap:OperatingExpenseMember us-gaap:RestrictedStockMember 2019-01-01 2</w:t>
      </w:r>
      <w:r>
        <w:rPr>
          <w:rFonts w:eastAsia="Times New Roman"/>
          <w:vanish/>
        </w:rPr>
        <w:t>019-03-31 0001070985 cxw:EmployeesAndNonEmployeeDirectorsMember us-gaap:RestrictedStockMember 2018-01-01 2018-12-31 0001070985 us-gaap:RestrictedStockMember 2018-01-01 2018-12-31 0001070985 cxw:EmployeesAndNonEmployeeDirectorsMember us-gaap:GeneralAndAdmin</w:t>
      </w:r>
      <w:r>
        <w:rPr>
          <w:rFonts w:eastAsia="Times New Roman"/>
          <w:vanish/>
        </w:rPr>
        <w:t>istrativeExpenseMember us-gaap:RestrictedStockMember 2018-01-01 2018-12-31 0001070985 cxw:EmployeeMember us-gaap:OperatingExpenseMember us-gaap:RestrictedStockMember 2018-01-01 2018-12-31 0001070985 us-gaap:RestrictedStockMember cxw:OfficersAndExecutiveOff</w:t>
      </w:r>
      <w:r>
        <w:rPr>
          <w:rFonts w:eastAsia="Times New Roman"/>
          <w:vanish/>
        </w:rPr>
        <w:t>icersMember 2019-01-01 2019-03-31 0001070985 us-gaap:RestrictedStockMember cxw:OtherEmployeesMember 2019-01-01 2019-03-31 0001070985 us-gaap:RestrictedStockMember cxw:NonEmployeeDirectorsMember 2019-01-01 2019-03-31 0001070985 us-gaap:RestrictedStockMember</w:t>
      </w:r>
      <w:r>
        <w:rPr>
          <w:rFonts w:eastAsia="Times New Roman"/>
          <w:vanish/>
        </w:rPr>
        <w:t xml:space="preserve"> 2018-01-01 2018-03-31 0001070985 us-gaap:OperatingExpenseMember us-gaap:RestrictedStockMember 2019-01-01 2019-03-31 0001070985 us-gaap:OperatingExpenseMember us-gaap:RestrictedStockMember 2018-01-01 2018-03-31 0001070985 us-gaap:GeneralAndAdministrativeEx</w:t>
      </w:r>
      <w:r>
        <w:rPr>
          <w:rFonts w:eastAsia="Times New Roman"/>
          <w:vanish/>
        </w:rPr>
        <w:t>penseMember us-gaap:RestrictedStockMember 2019-01-01 2019-03-31 0001070985 us-gaap:GeneralAndAdministrativeExpenseMember us-gaap:RestrictedStockMember 2018-01-01 2018-03-31 0001070985 us-gaap:RestrictedStockMember 2019-03-31 0001070985 us-gaap:EmployeeStoc</w:t>
      </w:r>
      <w:r>
        <w:rPr>
          <w:rFonts w:eastAsia="Times New Roman"/>
          <w:vanish/>
        </w:rPr>
        <w:t>kOptionMember 2019-01-01 2019-03-31 0001070985 us-gaap:EmployeeStockOptionMember 2018-01-01 2018-03-31 cxw:LegalMatter 0001070985 us-gaap:OperatingSegmentsMember cxw:SafetySegmentMember 2019-01-01 2019-03-31 0001070985 us-gaap:OperatingSegmentsMember cxw:S</w:t>
      </w:r>
      <w:r>
        <w:rPr>
          <w:rFonts w:eastAsia="Times New Roman"/>
          <w:vanish/>
        </w:rPr>
        <w:t>afetySegmentMember 2018-01-01 2018-03-31 0001070985 us-gaap:OperatingSegmentsMember cxw:CommunitySegmentMember 2019-01-01 2019-03-31 0001070985 us-gaap:OperatingSegmentsMember cxw:CommunitySegmentMember 2018-01-01 2018-03-31 0001070985 us-gaap:OperatingSeg</w:t>
      </w:r>
      <w:r>
        <w:rPr>
          <w:rFonts w:eastAsia="Times New Roman"/>
          <w:vanish/>
        </w:rPr>
        <w:t>mentsMember cxw:PropertiesSegmentMember 2019-01-01 2019-03-31 0001070985 us-gaap:OperatingSegmentsMember cxw:PropertiesSegmentMember 2018-01-01 2018-03-31 0001070985 us-gaap:OperatingSegmentsMember 2019-01-01 2019-03-31 0001070985 us-gaap:OperatingSegments</w:t>
      </w:r>
      <w:r>
        <w:rPr>
          <w:rFonts w:eastAsia="Times New Roman"/>
          <w:vanish/>
        </w:rPr>
        <w:t>Member 2018-01-01 2018-03-31 0001070985 us-gaap:MaterialReconcilingItemsMember us-gaap:OtherIncomeMember 2019-01-01 2019-03-31 0001070985 us-gaap:MaterialReconcilingItemsMember us-gaap:OtherIncomeMember 2018-01-01 2018-03-31 0001070985 us-gaap:MaterialReco</w:t>
      </w:r>
      <w:r>
        <w:rPr>
          <w:rFonts w:eastAsia="Times New Roman"/>
          <w:vanish/>
        </w:rPr>
        <w:t>ncilingItemsMember 2019-01-01 2019-03-31 0001070985 us-gaap:MaterialReconcilingItemsMember 2018-01-01 2018-03-31 0001070985 cxw:SafetySegmentMember 2019-01-01 2019-03-31 0001070985 cxw:SafetySegmentMember 2018-01-01 2018-03-31 0001070985 cxw:CommunitySegme</w:t>
      </w:r>
      <w:r>
        <w:rPr>
          <w:rFonts w:eastAsia="Times New Roman"/>
          <w:vanish/>
        </w:rPr>
        <w:t xml:space="preserve">ntMember 2019-01-01 2019-03-31 0001070985 cxw:CommunitySegmentMember 2018-01-01 2018-03-31 0001070985 cxw:PropertiesSegmentMember 2019-01-01 2019-03-31 0001070985 cxw:PropertiesSegmentMember 2018-01-01 2018-03-31 0001070985 us-gaap:CorporateAndOtherMember </w:t>
      </w:r>
      <w:r>
        <w:rPr>
          <w:rFonts w:eastAsia="Times New Roman"/>
          <w:vanish/>
        </w:rPr>
        <w:t xml:space="preserve">2019-01-01 2019-03-31 0001070985 us-gaap:CorporateAndOtherMember 2018-01-01 2018-03-31 0001070985 cxw:PropertiesSegmentMember 2018-12-31 0001070985 us-gaap:CorporateAndOtherMember 2019-03-31 0001070985 us-gaap:CorporateAndOtherMember 2018-12-31 0001070985 </w:t>
      </w:r>
      <w:r>
        <w:rPr>
          <w:rFonts w:eastAsia="Times New Roman"/>
          <w:vanish/>
        </w:rPr>
        <w:t>srt:ParentCompanyMember srt:ReportableLegalEntitiesMember 2019-03-31 0001070985 srt:GuarantorSubsidiariesMember srt:ReportableLegalEntitiesMember 2019-03-31 0001070985 srt:NonGuarantorSubsidiariesMember srt:ReportableLegalEntitiesMember 2019-03-31 00010709</w:t>
      </w:r>
      <w:r>
        <w:rPr>
          <w:rFonts w:eastAsia="Times New Roman"/>
          <w:vanish/>
        </w:rPr>
        <w:t>85 srt:ConsolidationEliminationsMember 2019-03-31 0001070985 srt:ParentCompanyMember srt:ReportableLegalEntitiesMember 2018-12-31 0001070985 srt:GuarantorSubsidiariesMember srt:ReportableLegalEntitiesMember 2018-12-31 0001070985 srt:NonGuarantorSubsidiarie</w:t>
      </w:r>
      <w:r>
        <w:rPr>
          <w:rFonts w:eastAsia="Times New Roman"/>
          <w:vanish/>
        </w:rPr>
        <w:t>sMember srt:ReportableLegalEntitiesMember 2018-12-31 0001070985 srt:ConsolidationEliminationsMember 2018-12-31 0001070985 srt:ParentCompanyMember srt:ReportableLegalEntitiesMember 2019-01-01 2019-03-31 0001070985 srt:GuarantorSubsidiariesMember srt:Reporta</w:t>
      </w:r>
      <w:r>
        <w:rPr>
          <w:rFonts w:eastAsia="Times New Roman"/>
          <w:vanish/>
        </w:rPr>
        <w:t>bleLegalEntitiesMember 2019-01-01 2019-03-31 0001070985 srt:NonGuarantorSubsidiariesMember srt:ReportableLegalEntitiesMember 2019-01-01 2019-03-31 0001070985 srt:ConsolidationEliminationsMember 2019-01-01 2019-03-31 0001070985 srt:ParentCompanyMember srt:R</w:t>
      </w:r>
      <w:r>
        <w:rPr>
          <w:rFonts w:eastAsia="Times New Roman"/>
          <w:vanish/>
        </w:rPr>
        <w:t>eportableLegalEntitiesMember 2018-01-01 2018-03-31 0001070985 srt:GuarantorSubsidiariesMember srt:ReportableLegalEntitiesMember 2018-01-01 2018-03-31 0001070985 srt:ConsolidationEliminationsMember 2018-01-01 2018-03-31 0001070985 srt:ParentCompanyMember sr</w:t>
      </w:r>
      <w:r>
        <w:rPr>
          <w:rFonts w:eastAsia="Times New Roman"/>
          <w:vanish/>
        </w:rPr>
        <w:t>t:ReportableLegalEntitiesMember 2017-12-31 0001070985 srt:GuarantorSubsidiariesMember srt:ReportableLegalEntitiesMember 2017-12-31 0001070985 srt:ParentCompanyMember srt:ReportableLegalEntitiesMember 2018-03-31 0001070985 srt:GuarantorSubsidiariesMember sr</w:t>
      </w:r>
      <w:r>
        <w:rPr>
          <w:rFonts w:eastAsia="Times New Roman"/>
          <w:vanish/>
        </w:rPr>
        <w:t xml:space="preserve">t:ReportableLegalEntitiesMember 2018-03-31 </w:t>
      </w:r>
    </w:p>
    <w:p w:rsidR="00000000" w:rsidRDefault="00240F6E">
      <w:pPr>
        <w:pStyle w:val="a3"/>
        <w:pBdr>
          <w:bottom w:val="double" w:sz="6" w:space="1" w:color="auto"/>
        </w:pBdr>
        <w:spacing w:before="0" w:beforeAutospacing="0" w:after="0" w:afterAutospacing="0"/>
        <w:rPr>
          <w:b/>
          <w:bCs/>
          <w:sz w:val="8"/>
          <w:szCs w:val="8"/>
        </w:rPr>
      </w:pPr>
      <w:r>
        <w:rPr>
          <w:b/>
          <w:bCs/>
          <w:sz w:val="8"/>
          <w:szCs w:val="8"/>
        </w:rPr>
        <w:t> </w:t>
      </w:r>
    </w:p>
    <w:p w:rsidR="00000000" w:rsidRDefault="00240F6E">
      <w:pPr>
        <w:pStyle w:val="a3"/>
        <w:spacing w:before="80" w:beforeAutospacing="0" w:after="0" w:afterAutospacing="0"/>
        <w:jc w:val="center"/>
        <w:rPr>
          <w:b/>
          <w:bCs/>
          <w:sz w:val="36"/>
          <w:szCs w:val="36"/>
        </w:rPr>
      </w:pPr>
      <w:r>
        <w:rPr>
          <w:b/>
          <w:bCs/>
          <w:sz w:val="36"/>
          <w:szCs w:val="36"/>
        </w:rPr>
        <w:t>UNITED STATES</w:t>
      </w:r>
    </w:p>
    <w:p w:rsidR="00000000" w:rsidRDefault="00240F6E">
      <w:pPr>
        <w:pStyle w:val="a3"/>
        <w:spacing w:before="0" w:beforeAutospacing="0" w:after="0" w:afterAutospacing="0"/>
        <w:jc w:val="center"/>
        <w:rPr>
          <w:b/>
          <w:bCs/>
          <w:sz w:val="36"/>
          <w:szCs w:val="36"/>
        </w:rPr>
      </w:pPr>
      <w:r>
        <w:rPr>
          <w:b/>
          <w:bCs/>
          <w:sz w:val="36"/>
          <w:szCs w:val="36"/>
        </w:rPr>
        <w:t>SECURITIES AND EXCHANGE COMMISSION</w:t>
      </w:r>
    </w:p>
    <w:p w:rsidR="00000000" w:rsidRDefault="00240F6E">
      <w:pPr>
        <w:pStyle w:val="a3"/>
        <w:spacing w:before="0" w:beforeAutospacing="0" w:after="0" w:afterAutospacing="0"/>
        <w:jc w:val="center"/>
        <w:rPr>
          <w:b/>
          <w:bCs/>
        </w:rPr>
      </w:pPr>
      <w:r>
        <w:rPr>
          <w:b/>
          <w:bCs/>
        </w:rPr>
        <w:t>WASHINGTON, D.C.  20549</w:t>
      </w:r>
    </w:p>
    <w:p w:rsidR="00000000" w:rsidRDefault="00240F6E">
      <w:pPr>
        <w:pStyle w:val="a3"/>
        <w:pBdr>
          <w:bottom w:val="single" w:sz="6" w:space="1" w:color="auto"/>
        </w:pBdr>
        <w:spacing w:before="0" w:beforeAutospacing="0" w:afterAutospacing="0"/>
        <w:ind w:left="4762" w:right="4762"/>
        <w:jc w:val="center"/>
        <w:rPr>
          <w:b/>
          <w:bCs/>
          <w:sz w:val="10"/>
          <w:szCs w:val="10"/>
        </w:rPr>
      </w:pPr>
      <w:r>
        <w:rPr>
          <w:b/>
          <w:bCs/>
          <w:sz w:val="10"/>
          <w:szCs w:val="10"/>
        </w:rPr>
        <w:t> </w:t>
      </w:r>
    </w:p>
    <w:p w:rsidR="00000000" w:rsidRDefault="00240F6E">
      <w:pPr>
        <w:pStyle w:val="a3"/>
        <w:spacing w:before="0" w:beforeAutospacing="0" w:after="0" w:afterAutospacing="0"/>
        <w:jc w:val="center"/>
        <w:rPr>
          <w:b/>
          <w:bCs/>
          <w:sz w:val="36"/>
          <w:szCs w:val="36"/>
        </w:rPr>
      </w:pPr>
      <w:r>
        <w:rPr>
          <w:b/>
          <w:bCs/>
          <w:sz w:val="36"/>
          <w:szCs w:val="36"/>
        </w:rPr>
        <w:t>FORM 10-Q</w:t>
      </w:r>
    </w:p>
    <w:p w:rsidR="00000000" w:rsidRDefault="00240F6E">
      <w:pPr>
        <w:pStyle w:val="a3"/>
        <w:pBdr>
          <w:bottom w:val="single" w:sz="6" w:space="1" w:color="auto"/>
        </w:pBdr>
        <w:spacing w:before="0" w:beforeAutospacing="0" w:afterAutospacing="0"/>
        <w:ind w:left="4762" w:right="4762"/>
        <w:jc w:val="center"/>
        <w:rPr>
          <w:b/>
          <w:bCs/>
          <w:sz w:val="10"/>
          <w:szCs w:val="10"/>
        </w:rPr>
      </w:pPr>
      <w:r>
        <w:rPr>
          <w:b/>
          <w:bCs/>
          <w:sz w:val="10"/>
          <w:szCs w:val="1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85677997"/>
        </w:trPr>
        <w:tc>
          <w:tcPr>
            <w:tcW w:w="227" w:type="pct"/>
            <w:noWrap/>
            <w:hideMark/>
          </w:tcPr>
          <w:p w:rsidR="00000000" w:rsidRDefault="00240F6E">
            <w:pPr>
              <w:pStyle w:val="a3"/>
              <w:spacing w:before="0" w:beforeAutospacing="0" w:after="0" w:afterAutospacing="0"/>
              <w:jc w:val="both"/>
              <w:rPr>
                <w:rFonts w:ascii="MS Mincho" w:eastAsia="MS Mincho"/>
                <w:b/>
                <w:bCs/>
              </w:rPr>
            </w:pPr>
            <w:r>
              <w:rPr>
                <w:rFonts w:ascii="MS Mincho" w:eastAsia="MS Mincho" w:hint="eastAsia"/>
                <w:b/>
                <w:bCs/>
              </w:rPr>
              <w:t>☒</w:t>
            </w:r>
          </w:p>
        </w:tc>
        <w:tc>
          <w:tcPr>
            <w:tcW w:w="0" w:type="auto"/>
            <w:hideMark/>
          </w:tcPr>
          <w:p w:rsidR="00000000" w:rsidRDefault="00240F6E">
            <w:pPr>
              <w:pStyle w:val="a3"/>
              <w:spacing w:before="0" w:beforeAutospacing="0" w:after="0" w:afterAutospacing="0"/>
              <w:jc w:val="both"/>
              <w:rPr>
                <w:rFonts w:hint="eastAsia"/>
                <w:b/>
                <w:bCs/>
              </w:rPr>
            </w:pPr>
            <w:r>
              <w:rPr>
                <w:b/>
                <w:bCs/>
              </w:rPr>
              <w:t xml:space="preserve">QUARTERLY REPORT PURSUANT TO SECTION 13 OR 15(d) OF THE </w:t>
            </w:r>
            <w:r>
              <w:rPr>
                <w:b/>
                <w:bCs/>
                <w:sz w:val="22"/>
                <w:szCs w:val="22"/>
              </w:rPr>
              <w:t>SECURITIES EXCHANGE ACT OF 1934</w:t>
            </w:r>
          </w:p>
        </w:tc>
      </w:tr>
    </w:tbl>
    <w:p w:rsidR="00000000" w:rsidRDefault="00240F6E">
      <w:pPr>
        <w:pStyle w:val="a3"/>
        <w:spacing w:beforeAutospacing="0" w:after="0" w:afterAutospacing="0"/>
        <w:jc w:val="center"/>
        <w:rPr>
          <w:b/>
          <w:bCs/>
          <w:sz w:val="20"/>
          <w:szCs w:val="20"/>
        </w:rPr>
      </w:pPr>
      <w:r>
        <w:rPr>
          <w:b/>
          <w:bCs/>
          <w:sz w:val="20"/>
          <w:szCs w:val="20"/>
        </w:rPr>
        <w:t>FOR THE QUARTERLY PERIOD ENDED: </w:t>
      </w:r>
      <w:r>
        <w:rPr>
          <w:b/>
          <w:bCs/>
          <w:sz w:val="20"/>
          <w:szCs w:val="20"/>
        </w:rPr>
        <w:t> MARCH 31, 2019</w:t>
      </w:r>
    </w:p>
    <w:p w:rsidR="00000000" w:rsidRDefault="00240F6E">
      <w:pPr>
        <w:pStyle w:val="a3"/>
        <w:spacing w:beforeAutospacing="0" w:after="0" w:afterAutospacing="0"/>
        <w:jc w:val="center"/>
        <w:rPr>
          <w:b/>
          <w:bCs/>
          <w:sz w:val="20"/>
          <w:szCs w:val="20"/>
        </w:rPr>
      </w:pPr>
      <w:r>
        <w:rPr>
          <w:b/>
          <w:bCs/>
          <w:sz w:val="20"/>
          <w:szCs w:val="20"/>
        </w:rPr>
        <w:t>OR</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174421552"/>
        </w:trPr>
        <w:tc>
          <w:tcPr>
            <w:tcW w:w="227" w:type="pct"/>
            <w:noWrap/>
            <w:hideMark/>
          </w:tcPr>
          <w:p w:rsidR="00000000" w:rsidRDefault="00240F6E">
            <w:pPr>
              <w:pStyle w:val="a3"/>
              <w:spacing w:before="60" w:beforeAutospacing="0" w:after="0" w:afterAutospacing="0"/>
              <w:jc w:val="both"/>
              <w:rPr>
                <w:rFonts w:ascii="MS Mincho" w:eastAsia="MS Mincho"/>
                <w:b/>
                <w:bCs/>
              </w:rPr>
            </w:pPr>
            <w:r>
              <w:rPr>
                <w:rFonts w:ascii="MS Mincho" w:eastAsia="MS Mincho" w:hint="eastAsia"/>
                <w:b/>
                <w:bCs/>
              </w:rPr>
              <w:t>☐</w:t>
            </w:r>
          </w:p>
        </w:tc>
        <w:tc>
          <w:tcPr>
            <w:tcW w:w="0" w:type="auto"/>
            <w:hideMark/>
          </w:tcPr>
          <w:p w:rsidR="00000000" w:rsidRDefault="00240F6E">
            <w:pPr>
              <w:pStyle w:val="a3"/>
              <w:spacing w:before="60" w:beforeAutospacing="0" w:after="0" w:afterAutospacing="0"/>
              <w:jc w:val="both"/>
              <w:rPr>
                <w:rFonts w:hint="eastAsia"/>
                <w:b/>
                <w:bCs/>
              </w:rPr>
            </w:pPr>
            <w:r>
              <w:rPr>
                <w:b/>
                <w:bCs/>
              </w:rPr>
              <w:t xml:space="preserve">TRANSITION REPORT PURSUANT TO SECTION 13 OR 15(d) OF THE </w:t>
            </w:r>
            <w:r>
              <w:rPr>
                <w:b/>
                <w:bCs/>
                <w:sz w:val="22"/>
                <w:szCs w:val="22"/>
              </w:rPr>
              <w:t>SECURITIES EXCHANGE ACT OF 1934</w:t>
            </w:r>
          </w:p>
        </w:tc>
      </w:tr>
    </w:tbl>
    <w:p w:rsidR="00000000" w:rsidRDefault="00240F6E">
      <w:pPr>
        <w:pStyle w:val="a3"/>
        <w:spacing w:before="60" w:beforeAutospacing="0" w:after="0" w:afterAutospacing="0"/>
        <w:jc w:val="center"/>
        <w:rPr>
          <w:b/>
          <w:bCs/>
          <w:sz w:val="20"/>
          <w:szCs w:val="20"/>
        </w:rPr>
      </w:pPr>
      <w:r>
        <w:rPr>
          <w:b/>
          <w:bCs/>
          <w:sz w:val="20"/>
          <w:szCs w:val="20"/>
        </w:rPr>
        <w:t>FOR THE TRANSITION PERIOD FROM</w:t>
      </w:r>
      <w:r>
        <w:rPr>
          <w:rFonts w:ascii="Calibri" w:hAnsi="Calibri" w:cs="Calibri"/>
          <w:b/>
          <w:bCs/>
        </w:rPr>
        <w:t xml:space="preserve"> </w:t>
      </w:r>
      <w:r>
        <w:rPr>
          <w:rFonts w:ascii="Calibri" w:hAnsi="Calibri" w:cs="Calibri"/>
          <w:b/>
          <w:bCs/>
          <w:u w:val="single"/>
        </w:rPr>
        <w:t>          </w:t>
      </w:r>
      <w:r>
        <w:rPr>
          <w:rFonts w:ascii="Calibri" w:hAnsi="Calibri" w:cs="Calibri"/>
          <w:b/>
          <w:bCs/>
        </w:rPr>
        <w:t xml:space="preserve"> </w:t>
      </w:r>
      <w:r>
        <w:rPr>
          <w:b/>
          <w:bCs/>
          <w:sz w:val="20"/>
          <w:szCs w:val="20"/>
        </w:rPr>
        <w:t>TO</w:t>
      </w:r>
      <w:r>
        <w:rPr>
          <w:rFonts w:ascii="Calibri" w:hAnsi="Calibri" w:cs="Calibri"/>
          <w:b/>
          <w:bCs/>
        </w:rPr>
        <w:t xml:space="preserve"> </w:t>
      </w:r>
      <w:r>
        <w:rPr>
          <w:rFonts w:ascii="Calibri" w:hAnsi="Calibri" w:cs="Calibri"/>
          <w:b/>
          <w:bCs/>
          <w:u w:val="single"/>
        </w:rPr>
        <w:t>          </w:t>
      </w:r>
    </w:p>
    <w:p w:rsidR="00000000" w:rsidRDefault="00240F6E">
      <w:pPr>
        <w:pStyle w:val="a3"/>
        <w:spacing w:before="60" w:beforeAutospacing="0" w:after="0" w:afterAutospacing="0"/>
        <w:jc w:val="center"/>
        <w:rPr>
          <w:b/>
          <w:bCs/>
          <w:sz w:val="20"/>
          <w:szCs w:val="20"/>
        </w:rPr>
      </w:pPr>
      <w:r>
        <w:rPr>
          <w:b/>
          <w:bCs/>
          <w:sz w:val="20"/>
          <w:szCs w:val="20"/>
        </w:rPr>
        <w:t>COMMISSION FILE NUMBER: 001-16109</w:t>
      </w:r>
    </w:p>
    <w:p w:rsidR="00000000" w:rsidRDefault="00240F6E">
      <w:pPr>
        <w:pStyle w:val="a3"/>
        <w:pBdr>
          <w:bottom w:val="single" w:sz="6" w:space="1" w:color="auto"/>
        </w:pBdr>
        <w:spacing w:before="0" w:beforeAutospacing="0" w:afterAutospacing="0"/>
        <w:ind w:left="4762" w:right="4762"/>
        <w:jc w:val="center"/>
        <w:rPr>
          <w:b/>
          <w:bCs/>
          <w:sz w:val="10"/>
          <w:szCs w:val="10"/>
        </w:rPr>
      </w:pPr>
      <w:r>
        <w:rPr>
          <w:b/>
          <w:bCs/>
          <w:sz w:val="10"/>
          <w:szCs w:val="10"/>
        </w:rPr>
        <w:t> </w:t>
      </w:r>
    </w:p>
    <w:p w:rsidR="00000000" w:rsidRDefault="00240F6E">
      <w:pPr>
        <w:pStyle w:val="a3"/>
        <w:spacing w:before="0" w:beforeAutospacing="0" w:after="0" w:afterAutospacing="0"/>
        <w:jc w:val="center"/>
        <w:rPr>
          <w:b/>
          <w:bCs/>
          <w:sz w:val="48"/>
          <w:szCs w:val="48"/>
        </w:rPr>
      </w:pPr>
      <w:r>
        <w:rPr>
          <w:b/>
          <w:bCs/>
          <w:sz w:val="48"/>
          <w:szCs w:val="48"/>
        </w:rPr>
        <w:t>CORECIVIC, INC.</w:t>
      </w:r>
    </w:p>
    <w:p w:rsidR="00000000" w:rsidRDefault="00240F6E">
      <w:pPr>
        <w:pStyle w:val="a3"/>
        <w:spacing w:before="0" w:beforeAutospacing="0" w:after="0" w:afterAutospacing="0"/>
        <w:jc w:val="center"/>
        <w:rPr>
          <w:b/>
          <w:bCs/>
          <w:sz w:val="20"/>
          <w:szCs w:val="20"/>
        </w:rPr>
      </w:pPr>
      <w:r>
        <w:rPr>
          <w:b/>
          <w:bCs/>
          <w:sz w:val="20"/>
          <w:szCs w:val="20"/>
        </w:rPr>
        <w:t>(Exact name of registrant as specified in its charter)</w:t>
      </w:r>
    </w:p>
    <w:p w:rsidR="00000000" w:rsidRDefault="00240F6E">
      <w:pPr>
        <w:pStyle w:val="a3"/>
        <w:pBdr>
          <w:bottom w:val="single" w:sz="6" w:space="1" w:color="auto"/>
        </w:pBdr>
        <w:spacing w:before="0" w:beforeAutospacing="0" w:after="0" w:afterAutospacing="0"/>
        <w:ind w:left="4762" w:right="4762"/>
        <w:jc w:val="center"/>
        <w:rPr>
          <w:b/>
          <w:bCs/>
          <w:sz w:val="10"/>
          <w:szCs w:val="10"/>
        </w:rPr>
      </w:pPr>
      <w:r>
        <w:rPr>
          <w:b/>
          <w:bCs/>
          <w:sz w:val="10"/>
          <w:szCs w:val="10"/>
        </w:rPr>
        <w:t> </w:t>
      </w:r>
    </w:p>
    <w:p w:rsidR="00000000" w:rsidRDefault="00240F6E">
      <w:pPr>
        <w:pStyle w:val="a3"/>
        <w:spacing w:before="0" w:beforeAutospacing="0" w:after="0" w:afterAutospacing="0"/>
        <w:rPr>
          <w:sz w:val="10"/>
          <w:szCs w:val="10"/>
        </w:rPr>
      </w:pPr>
      <w:r>
        <w:rPr>
          <w:sz w:val="10"/>
          <w:szCs w:val="10"/>
        </w:rPr>
        <w:t> </w:t>
      </w:r>
    </w:p>
    <w:tbl>
      <w:tblPr>
        <w:tblW w:w="5000" w:type="pct"/>
        <w:tblCellMar>
          <w:left w:w="0" w:type="dxa"/>
          <w:right w:w="0" w:type="dxa"/>
        </w:tblCellMar>
        <w:tblLook w:val="04A0" w:firstRow="1" w:lastRow="0" w:firstColumn="1" w:lastColumn="0" w:noHBand="0" w:noVBand="1"/>
      </w:tblPr>
      <w:tblGrid>
        <w:gridCol w:w="4153"/>
        <w:gridCol w:w="4153"/>
      </w:tblGrid>
      <w:tr w:rsidR="00000000">
        <w:trPr>
          <w:divId w:val="997617227"/>
        </w:trPr>
        <w:tc>
          <w:tcPr>
            <w:tcW w:w="2500" w:type="pct"/>
            <w:shd w:val="clear" w:color="auto" w:fill="FFFFFF"/>
            <w:hideMark/>
          </w:tcPr>
          <w:p w:rsidR="00000000" w:rsidRDefault="00240F6E">
            <w:pPr>
              <w:pStyle w:val="a3"/>
              <w:spacing w:before="0" w:beforeAutospacing="0" w:after="0" w:afterAutospacing="0"/>
              <w:jc w:val="center"/>
              <w:rPr>
                <w:b/>
                <w:bCs/>
                <w:sz w:val="20"/>
                <w:szCs w:val="20"/>
              </w:rPr>
            </w:pPr>
            <w:r>
              <w:rPr>
                <w:b/>
                <w:bCs/>
                <w:sz w:val="20"/>
                <w:szCs w:val="20"/>
              </w:rPr>
              <w:t>MARYLAND</w:t>
            </w:r>
          </w:p>
        </w:tc>
        <w:tc>
          <w:tcPr>
            <w:tcW w:w="2500" w:type="pct"/>
            <w:shd w:val="clear" w:color="auto" w:fill="FFFFFF"/>
            <w:hideMark/>
          </w:tcPr>
          <w:p w:rsidR="00000000" w:rsidRDefault="00240F6E">
            <w:pPr>
              <w:pStyle w:val="a3"/>
              <w:spacing w:before="0" w:beforeAutospacing="0" w:after="0" w:afterAutospacing="0"/>
              <w:jc w:val="center"/>
              <w:rPr>
                <w:b/>
                <w:bCs/>
                <w:sz w:val="20"/>
                <w:szCs w:val="20"/>
              </w:rPr>
            </w:pPr>
            <w:r>
              <w:rPr>
                <w:b/>
                <w:bCs/>
                <w:sz w:val="20"/>
                <w:szCs w:val="20"/>
              </w:rPr>
              <w:t>62-1763875</w:t>
            </w:r>
          </w:p>
        </w:tc>
      </w:tr>
      <w:tr w:rsidR="00000000">
        <w:trPr>
          <w:divId w:val="997617227"/>
        </w:trPr>
        <w:tc>
          <w:tcPr>
            <w:tcW w:w="2500" w:type="pct"/>
            <w:shd w:val="clear" w:color="auto" w:fill="FFFFFF"/>
            <w:hideMark/>
          </w:tcPr>
          <w:p w:rsidR="00000000" w:rsidRDefault="00240F6E">
            <w:pPr>
              <w:pStyle w:val="a3"/>
              <w:spacing w:before="0" w:beforeAutospacing="0" w:after="0" w:afterAutospacing="0"/>
              <w:jc w:val="center"/>
              <w:rPr>
                <w:b/>
                <w:bCs/>
                <w:sz w:val="16"/>
                <w:szCs w:val="16"/>
              </w:rPr>
            </w:pPr>
            <w:r>
              <w:rPr>
                <w:b/>
                <w:bCs/>
                <w:sz w:val="16"/>
                <w:szCs w:val="16"/>
              </w:rPr>
              <w:t>(State or other jurisdiction of</w:t>
            </w:r>
            <w:r>
              <w:rPr>
                <w:rFonts w:ascii="Calibri" w:hAnsi="Calibri" w:cs="Calibri"/>
                <w:b/>
                <w:bCs/>
                <w:color w:val="000000"/>
                <w:sz w:val="16"/>
                <w:szCs w:val="16"/>
              </w:rPr>
              <w:t xml:space="preserve"> </w:t>
            </w:r>
          </w:p>
          <w:p w:rsidR="00000000" w:rsidRDefault="00240F6E">
            <w:pPr>
              <w:pStyle w:val="a3"/>
              <w:spacing w:before="0" w:beforeAutospacing="0" w:after="0" w:afterAutospacing="0"/>
              <w:jc w:val="center"/>
              <w:rPr>
                <w:b/>
                <w:bCs/>
                <w:sz w:val="16"/>
                <w:szCs w:val="16"/>
              </w:rPr>
            </w:pPr>
            <w:r>
              <w:rPr>
                <w:b/>
                <w:bCs/>
                <w:sz w:val="16"/>
                <w:szCs w:val="16"/>
              </w:rPr>
              <w:t>incorporation or organization)</w:t>
            </w:r>
          </w:p>
        </w:tc>
        <w:tc>
          <w:tcPr>
            <w:tcW w:w="2500" w:type="pct"/>
            <w:shd w:val="clear" w:color="auto" w:fill="FFFFFF"/>
            <w:hideMark/>
          </w:tcPr>
          <w:p w:rsidR="00000000" w:rsidRDefault="00240F6E">
            <w:pPr>
              <w:pStyle w:val="a3"/>
              <w:spacing w:before="0" w:beforeAutospacing="0" w:after="0" w:afterAutospacing="0"/>
              <w:jc w:val="center"/>
              <w:rPr>
                <w:b/>
                <w:bCs/>
                <w:sz w:val="16"/>
                <w:szCs w:val="16"/>
              </w:rPr>
            </w:pPr>
            <w:r>
              <w:rPr>
                <w:b/>
                <w:bCs/>
                <w:sz w:val="16"/>
                <w:szCs w:val="16"/>
              </w:rPr>
              <w:t xml:space="preserve">(I.R.S. Employer </w:t>
            </w:r>
          </w:p>
          <w:p w:rsidR="00000000" w:rsidRDefault="00240F6E">
            <w:pPr>
              <w:pStyle w:val="a3"/>
              <w:spacing w:before="0" w:beforeAutospacing="0" w:after="0" w:afterAutospacing="0"/>
              <w:jc w:val="center"/>
              <w:rPr>
                <w:b/>
                <w:bCs/>
                <w:sz w:val="16"/>
                <w:szCs w:val="16"/>
              </w:rPr>
            </w:pPr>
            <w:r>
              <w:rPr>
                <w:b/>
                <w:bCs/>
                <w:sz w:val="16"/>
                <w:szCs w:val="16"/>
              </w:rPr>
              <w:t>Identification Number)</w:t>
            </w:r>
          </w:p>
        </w:tc>
      </w:tr>
    </w:tbl>
    <w:p w:rsidR="00000000" w:rsidRDefault="00240F6E">
      <w:pPr>
        <w:pStyle w:val="a3"/>
        <w:spacing w:before="0" w:beforeAutospacing="0" w:after="0" w:afterAutospacing="0"/>
        <w:rPr>
          <w:sz w:val="10"/>
          <w:szCs w:val="10"/>
        </w:rPr>
      </w:pPr>
      <w:r>
        <w:rPr>
          <w:sz w:val="10"/>
          <w:szCs w:val="10"/>
        </w:rPr>
        <w:t> </w:t>
      </w:r>
    </w:p>
    <w:p w:rsidR="00000000" w:rsidRDefault="00240F6E">
      <w:pPr>
        <w:pStyle w:val="a3"/>
        <w:spacing w:before="0" w:beforeAutospacing="0" w:after="0" w:afterAutospacing="0"/>
        <w:ind w:firstLine="816"/>
        <w:jc w:val="center"/>
        <w:rPr>
          <w:b/>
          <w:bCs/>
          <w:sz w:val="20"/>
          <w:szCs w:val="20"/>
        </w:rPr>
      </w:pPr>
      <w:r>
        <w:rPr>
          <w:b/>
          <w:bCs/>
          <w:sz w:val="20"/>
          <w:szCs w:val="20"/>
        </w:rPr>
        <w:t>10 BURTON HILLS BLVD., NASHVILLE, TENNESSEE  37215</w:t>
      </w:r>
    </w:p>
    <w:p w:rsidR="00000000" w:rsidRDefault="00240F6E">
      <w:pPr>
        <w:pStyle w:val="a3"/>
        <w:spacing w:before="0" w:beforeAutospacing="0" w:after="0" w:afterAutospacing="0"/>
        <w:ind w:firstLine="816"/>
        <w:jc w:val="center"/>
        <w:rPr>
          <w:b/>
          <w:bCs/>
          <w:sz w:val="16"/>
          <w:szCs w:val="16"/>
        </w:rPr>
      </w:pPr>
      <w:r>
        <w:rPr>
          <w:b/>
          <w:bCs/>
          <w:sz w:val="16"/>
          <w:szCs w:val="16"/>
        </w:rPr>
        <w:t>(Address and zip code of principal executive offices)</w:t>
      </w:r>
    </w:p>
    <w:p w:rsidR="00000000" w:rsidRDefault="00240F6E">
      <w:pPr>
        <w:pStyle w:val="a3"/>
        <w:spacing w:beforeAutospacing="0" w:after="0" w:afterAutospacing="0"/>
        <w:jc w:val="center"/>
        <w:rPr>
          <w:b/>
          <w:bCs/>
          <w:sz w:val="20"/>
          <w:szCs w:val="20"/>
        </w:rPr>
      </w:pPr>
      <w:r>
        <w:rPr>
          <w:b/>
          <w:bCs/>
          <w:sz w:val="20"/>
          <w:szCs w:val="20"/>
        </w:rPr>
        <w:t>(615) 263-3000</w:t>
      </w:r>
    </w:p>
    <w:p w:rsidR="00000000" w:rsidRDefault="00240F6E">
      <w:pPr>
        <w:pStyle w:val="a3"/>
        <w:spacing w:before="0" w:beforeAutospacing="0" w:after="0" w:afterAutospacing="0"/>
        <w:jc w:val="center"/>
        <w:rPr>
          <w:b/>
          <w:bCs/>
          <w:sz w:val="16"/>
          <w:szCs w:val="16"/>
        </w:rPr>
      </w:pPr>
      <w:r>
        <w:rPr>
          <w:b/>
          <w:bCs/>
          <w:sz w:val="16"/>
          <w:szCs w:val="16"/>
        </w:rPr>
        <w:t>(Registrant's telephone number, including area code)</w:t>
      </w:r>
    </w:p>
    <w:p w:rsidR="00000000" w:rsidRDefault="00240F6E">
      <w:pPr>
        <w:pStyle w:val="a3"/>
        <w:pBdr>
          <w:bottom w:val="single" w:sz="6" w:space="1" w:color="auto"/>
        </w:pBdr>
        <w:spacing w:before="0" w:beforeAutospacing="0" w:afterAutospacing="0"/>
        <w:ind w:left="4762" w:right="4762"/>
        <w:jc w:val="center"/>
        <w:rPr>
          <w:sz w:val="10"/>
          <w:szCs w:val="10"/>
        </w:rPr>
      </w:pPr>
      <w:r>
        <w:rPr>
          <w:sz w:val="10"/>
          <w:szCs w:val="10"/>
        </w:rPr>
        <w:t> </w:t>
      </w:r>
    </w:p>
    <w:p w:rsidR="00000000" w:rsidRDefault="00240F6E">
      <w:pPr>
        <w:pStyle w:val="a3"/>
        <w:spacing w:beforeAutospacing="0" w:after="0" w:afterAutospacing="0"/>
        <w:jc w:val="both"/>
        <w:rPr>
          <w:sz w:val="20"/>
          <w:szCs w:val="20"/>
        </w:rPr>
      </w:pPr>
      <w:r>
        <w:rPr>
          <w:sz w:val="20"/>
          <w:szCs w:val="20"/>
        </w:rPr>
        <w:t xml:space="preserve">Indicate by check mark whether the registrant: (1) has filed all reports required to be filed by Section 13 or 15(d) of the Securities Exchange Act of 1934 during the preceding 12 months (or for such shorter period that the registrant was required to file </w:t>
      </w:r>
      <w:r>
        <w:rPr>
          <w:sz w:val="20"/>
          <w:szCs w:val="20"/>
        </w:rPr>
        <w:t>such reports), and (2) has been subject to such filing requirements for the past 90 days.</w:t>
      </w:r>
    </w:p>
    <w:p w:rsidR="00000000" w:rsidRDefault="00240F6E">
      <w:pPr>
        <w:pStyle w:val="a3"/>
        <w:spacing w:before="0" w:beforeAutospacing="0" w:after="0" w:afterAutospacing="0"/>
        <w:jc w:val="both"/>
        <w:rPr>
          <w:sz w:val="20"/>
          <w:szCs w:val="20"/>
        </w:rPr>
      </w:pPr>
      <w:r>
        <w:rPr>
          <w:sz w:val="20"/>
          <w:szCs w:val="20"/>
        </w:rPr>
        <w:t>Yes  </w:t>
      </w:r>
      <w:r>
        <w:rPr>
          <w:rFonts w:ascii="MS Mincho" w:eastAsia="MS Mincho" w:hint="eastAsia"/>
          <w:sz w:val="20"/>
          <w:szCs w:val="20"/>
        </w:rPr>
        <w:t>☒</w:t>
      </w:r>
      <w:r>
        <w:rPr>
          <w:sz w:val="20"/>
          <w:szCs w:val="20"/>
        </w:rPr>
        <w:t>    No  </w:t>
      </w:r>
      <w:r>
        <w:rPr>
          <w:rFonts w:ascii="MS Mincho" w:eastAsia="MS Mincho" w:hint="eastAsia"/>
          <w:sz w:val="20"/>
          <w:szCs w:val="20"/>
        </w:rPr>
        <w:t>☐</w:t>
      </w:r>
    </w:p>
    <w:p w:rsidR="00000000" w:rsidRDefault="00240F6E">
      <w:pPr>
        <w:pStyle w:val="a3"/>
        <w:spacing w:before="40" w:beforeAutospacing="0" w:after="0" w:afterAutospacing="0"/>
        <w:jc w:val="both"/>
        <w:rPr>
          <w:sz w:val="20"/>
          <w:szCs w:val="20"/>
        </w:rPr>
      </w:pPr>
      <w:r>
        <w:rPr>
          <w:sz w:val="20"/>
          <w:szCs w:val="20"/>
        </w:rPr>
        <w:t>Indicate by check mark whether the registrant has submitted electronically every Interactive Data File required to be submitted pursuant to Rule 405 of Regulation S-T during the preceding 12 months (or for such shorter period that the registrant was requir</w:t>
      </w:r>
      <w:r>
        <w:rPr>
          <w:sz w:val="20"/>
          <w:szCs w:val="20"/>
        </w:rPr>
        <w:t>ed to submit such files).</w:t>
      </w:r>
    </w:p>
    <w:p w:rsidR="00000000" w:rsidRDefault="00240F6E">
      <w:pPr>
        <w:pStyle w:val="a3"/>
        <w:spacing w:before="0" w:beforeAutospacing="0" w:after="0" w:afterAutospacing="0"/>
        <w:jc w:val="both"/>
        <w:rPr>
          <w:sz w:val="20"/>
          <w:szCs w:val="20"/>
        </w:rPr>
      </w:pPr>
      <w:r>
        <w:rPr>
          <w:sz w:val="20"/>
          <w:szCs w:val="20"/>
        </w:rPr>
        <w:t>Yes  </w:t>
      </w:r>
      <w:r>
        <w:rPr>
          <w:rFonts w:ascii="MS Mincho" w:eastAsia="MS Mincho" w:hint="eastAsia"/>
          <w:sz w:val="20"/>
          <w:szCs w:val="20"/>
        </w:rPr>
        <w:t>☒</w:t>
      </w:r>
      <w:r>
        <w:rPr>
          <w:sz w:val="20"/>
          <w:szCs w:val="20"/>
        </w:rPr>
        <w:t>    No  </w:t>
      </w:r>
      <w:r>
        <w:rPr>
          <w:rFonts w:ascii="MS Mincho" w:eastAsia="MS Mincho" w:hint="eastAsia"/>
          <w:sz w:val="20"/>
          <w:szCs w:val="20"/>
        </w:rPr>
        <w:t>☐</w:t>
      </w:r>
    </w:p>
    <w:p w:rsidR="00000000" w:rsidRDefault="00240F6E">
      <w:pPr>
        <w:pStyle w:val="a3"/>
        <w:spacing w:before="40" w:beforeAutospacing="0" w:after="0" w:afterAutospacing="0"/>
        <w:jc w:val="both"/>
        <w:rPr>
          <w:sz w:val="20"/>
          <w:szCs w:val="20"/>
        </w:rPr>
      </w:pPr>
      <w:r>
        <w:rPr>
          <w:sz w:val="20"/>
          <w:szCs w:val="20"/>
        </w:rPr>
        <w:t>Indicate by check mark whether the registrant is a large accelerated filer, an accelerated filer, a non-accelerated filer, a smaller reporting company, or an emerging growth company. See definitions of "large accel</w:t>
      </w:r>
      <w:r>
        <w:rPr>
          <w:sz w:val="20"/>
          <w:szCs w:val="20"/>
        </w:rPr>
        <w:t xml:space="preserve">erated filer", "accelerated filer", "smaller reporting company", and "emerging growth company" in Rule 12b-2 of the Exchange Act. </w:t>
      </w:r>
    </w:p>
    <w:p w:rsidR="00000000" w:rsidRDefault="00240F6E">
      <w:pPr>
        <w:pStyle w:val="a3"/>
        <w:spacing w:before="0" w:beforeAutospacing="0" w:after="0" w:afterAutospacing="0"/>
        <w:rPr>
          <w:sz w:val="10"/>
          <w:szCs w:val="10"/>
        </w:rPr>
      </w:pPr>
      <w:r>
        <w:rPr>
          <w:sz w:val="10"/>
          <w:szCs w:val="10"/>
        </w:rPr>
        <w:t> </w:t>
      </w:r>
    </w:p>
    <w:tbl>
      <w:tblPr>
        <w:tblW w:w="5000" w:type="pct"/>
        <w:tblCellMar>
          <w:left w:w="0" w:type="dxa"/>
          <w:right w:w="0" w:type="dxa"/>
        </w:tblCellMar>
        <w:tblLook w:val="04A0" w:firstRow="1" w:lastRow="0" w:firstColumn="1" w:lastColumn="0" w:noHBand="0" w:noVBand="1"/>
      </w:tblPr>
      <w:tblGrid>
        <w:gridCol w:w="3251"/>
        <w:gridCol w:w="347"/>
        <w:gridCol w:w="557"/>
        <w:gridCol w:w="3432"/>
        <w:gridCol w:w="719"/>
      </w:tblGrid>
      <w:tr w:rsidR="00000000">
        <w:trPr>
          <w:divId w:val="818770248"/>
        </w:trPr>
        <w:tc>
          <w:tcPr>
            <w:tcW w:w="1957" w:type="pct"/>
            <w:shd w:val="clear" w:color="auto" w:fill="FFFFFF"/>
            <w:vAlign w:val="bottom"/>
            <w:hideMark/>
          </w:tcPr>
          <w:p w:rsidR="00000000" w:rsidRDefault="00240F6E">
            <w:pPr>
              <w:pStyle w:val="a3"/>
              <w:spacing w:before="0" w:beforeAutospacing="0" w:after="0" w:afterAutospacing="0"/>
              <w:rPr>
                <w:color w:val="000000"/>
                <w:sz w:val="20"/>
                <w:szCs w:val="20"/>
              </w:rPr>
            </w:pPr>
            <w:r>
              <w:rPr>
                <w:color w:val="000000"/>
                <w:sz w:val="20"/>
                <w:szCs w:val="20"/>
              </w:rPr>
              <w:t>Large accelerated filer</w:t>
            </w:r>
          </w:p>
        </w:tc>
        <w:tc>
          <w:tcPr>
            <w:tcW w:w="209" w:type="pct"/>
            <w:shd w:val="clear" w:color="auto" w:fill="FFFFFF"/>
            <w:vAlign w:val="bottom"/>
            <w:hideMark/>
          </w:tcPr>
          <w:p w:rsidR="00000000" w:rsidRDefault="00240F6E">
            <w:pPr>
              <w:pStyle w:val="a3"/>
              <w:spacing w:before="0" w:beforeAutospacing="0" w:after="0" w:afterAutospacing="0"/>
              <w:jc w:val="center"/>
              <w:rPr>
                <w:rFonts w:ascii="MS Mincho" w:eastAsia="MS Mincho"/>
                <w:color w:val="000000"/>
                <w:sz w:val="20"/>
                <w:szCs w:val="20"/>
              </w:rPr>
            </w:pPr>
            <w:r>
              <w:rPr>
                <w:rFonts w:ascii="MS Mincho" w:eastAsia="MS Mincho" w:hint="eastAsia"/>
                <w:color w:val="000000"/>
                <w:sz w:val="20"/>
                <w:szCs w:val="20"/>
              </w:rPr>
              <w:t>☒</w:t>
            </w:r>
          </w:p>
        </w:tc>
        <w:tc>
          <w:tcPr>
            <w:tcW w:w="335" w:type="pct"/>
            <w:shd w:val="clear" w:color="auto" w:fill="FFFFFF"/>
            <w:vAlign w:val="bottom"/>
            <w:hideMark/>
          </w:tcPr>
          <w:p w:rsidR="00000000" w:rsidRDefault="00240F6E">
            <w:pPr>
              <w:pStyle w:val="a3"/>
              <w:spacing w:before="0" w:beforeAutospacing="0" w:after="0" w:afterAutospacing="0"/>
              <w:rPr>
                <w:rFonts w:hint="eastAsia"/>
                <w:color w:val="000000"/>
                <w:sz w:val="20"/>
                <w:szCs w:val="20"/>
              </w:rPr>
            </w:pPr>
            <w:r>
              <w:rPr>
                <w:color w:val="000000"/>
                <w:sz w:val="20"/>
                <w:szCs w:val="20"/>
              </w:rPr>
              <w:t> </w:t>
            </w:r>
          </w:p>
        </w:tc>
        <w:tc>
          <w:tcPr>
            <w:tcW w:w="6" w:type="dxa"/>
            <w:shd w:val="clear" w:color="auto" w:fill="FFFFFF"/>
            <w:vAlign w:val="bottom"/>
            <w:hideMark/>
          </w:tcPr>
          <w:p w:rsidR="00000000" w:rsidRDefault="00240F6E">
            <w:pPr>
              <w:pStyle w:val="a3"/>
              <w:spacing w:before="0" w:beforeAutospacing="0" w:after="0" w:afterAutospacing="0"/>
              <w:rPr>
                <w:color w:val="000000"/>
                <w:sz w:val="20"/>
                <w:szCs w:val="20"/>
              </w:rPr>
            </w:pPr>
            <w:r>
              <w:rPr>
                <w:color w:val="000000"/>
                <w:sz w:val="20"/>
                <w:szCs w:val="20"/>
              </w:rPr>
              <w:t>Accelerated filer</w:t>
            </w:r>
          </w:p>
        </w:tc>
        <w:tc>
          <w:tcPr>
            <w:tcW w:w="6" w:type="dxa"/>
            <w:shd w:val="clear" w:color="auto" w:fill="FFFFFF"/>
            <w:vAlign w:val="bottom"/>
            <w:hideMark/>
          </w:tcPr>
          <w:p w:rsidR="00000000" w:rsidRDefault="00240F6E">
            <w:pPr>
              <w:pStyle w:val="a3"/>
              <w:spacing w:before="0" w:beforeAutospacing="0" w:after="0" w:afterAutospacing="0"/>
              <w:jc w:val="center"/>
              <w:rPr>
                <w:rFonts w:ascii="MS Mincho" w:eastAsia="MS Mincho"/>
                <w:color w:val="000000"/>
                <w:sz w:val="20"/>
                <w:szCs w:val="20"/>
              </w:rPr>
            </w:pPr>
            <w:r>
              <w:rPr>
                <w:rFonts w:ascii="MS Mincho" w:eastAsia="MS Mincho" w:hint="eastAsia"/>
                <w:color w:val="000000"/>
                <w:sz w:val="20"/>
                <w:szCs w:val="20"/>
              </w:rPr>
              <w:t>☐</w:t>
            </w:r>
          </w:p>
        </w:tc>
      </w:tr>
      <w:tr w:rsidR="00000000">
        <w:trPr>
          <w:divId w:val="818770248"/>
        </w:trPr>
        <w:tc>
          <w:tcPr>
            <w:tcW w:w="1957" w:type="pct"/>
            <w:shd w:val="clear" w:color="auto" w:fill="FFFFFF"/>
            <w:vAlign w:val="bottom"/>
            <w:hideMark/>
          </w:tcPr>
          <w:p w:rsidR="00000000" w:rsidRDefault="00240F6E">
            <w:pPr>
              <w:pStyle w:val="a3"/>
              <w:spacing w:before="0" w:beforeAutospacing="0" w:after="0" w:afterAutospacing="0"/>
              <w:rPr>
                <w:rFonts w:hint="eastAsia"/>
                <w:sz w:val="4"/>
                <w:szCs w:val="4"/>
              </w:rPr>
            </w:pPr>
            <w:r>
              <w:rPr>
                <w:sz w:val="4"/>
                <w:szCs w:val="4"/>
              </w:rPr>
              <w:t> </w:t>
            </w:r>
          </w:p>
        </w:tc>
        <w:tc>
          <w:tcPr>
            <w:tcW w:w="209" w:type="pct"/>
            <w:shd w:val="clear" w:color="auto" w:fill="FFFFFF"/>
            <w:vAlign w:val="bottom"/>
            <w:hideMark/>
          </w:tcPr>
          <w:p w:rsidR="00000000" w:rsidRDefault="00240F6E">
            <w:pPr>
              <w:pStyle w:val="a3"/>
              <w:spacing w:before="0" w:beforeAutospacing="0" w:after="0" w:afterAutospacing="0"/>
              <w:jc w:val="center"/>
              <w:rPr>
                <w:sz w:val="4"/>
                <w:szCs w:val="4"/>
              </w:rPr>
            </w:pPr>
            <w:r>
              <w:rPr>
                <w:sz w:val="4"/>
                <w:szCs w:val="4"/>
              </w:rPr>
              <w:t> </w:t>
            </w:r>
          </w:p>
        </w:tc>
        <w:tc>
          <w:tcPr>
            <w:tcW w:w="335" w:type="pct"/>
            <w:shd w:val="clear" w:color="auto" w:fill="FFFFFF"/>
            <w:vAlign w:val="bottom"/>
            <w:hideMark/>
          </w:tcPr>
          <w:p w:rsidR="00000000" w:rsidRDefault="00240F6E">
            <w:pPr>
              <w:pStyle w:val="a3"/>
              <w:spacing w:before="0" w:beforeAutospacing="0" w:after="0" w:afterAutospacing="0"/>
              <w:rPr>
                <w:sz w:val="4"/>
                <w:szCs w:val="4"/>
              </w:rPr>
            </w:pPr>
            <w:r>
              <w:rPr>
                <w:sz w:val="4"/>
                <w:szCs w:val="4"/>
              </w:rPr>
              <w:t> </w:t>
            </w:r>
          </w:p>
        </w:tc>
        <w:tc>
          <w:tcPr>
            <w:tcW w:w="6" w:type="dxa"/>
            <w:shd w:val="clear" w:color="auto" w:fill="FFFFFF"/>
            <w:vAlign w:val="bottom"/>
            <w:hideMark/>
          </w:tcPr>
          <w:p w:rsidR="00000000" w:rsidRDefault="00240F6E">
            <w:pPr>
              <w:pStyle w:val="a3"/>
              <w:spacing w:before="0" w:beforeAutospacing="0" w:after="0" w:afterAutospacing="0"/>
              <w:rPr>
                <w:sz w:val="4"/>
                <w:szCs w:val="4"/>
              </w:rPr>
            </w:pPr>
            <w:r>
              <w:rPr>
                <w:sz w:val="4"/>
                <w:szCs w:val="4"/>
              </w:rPr>
              <w:t> </w:t>
            </w:r>
          </w:p>
        </w:tc>
        <w:tc>
          <w:tcPr>
            <w:tcW w:w="6" w:type="dxa"/>
            <w:shd w:val="clear" w:color="auto" w:fill="FFFFFF"/>
            <w:vAlign w:val="bottom"/>
            <w:hideMark/>
          </w:tcPr>
          <w:p w:rsidR="00000000" w:rsidRDefault="00240F6E">
            <w:pPr>
              <w:pStyle w:val="a3"/>
              <w:spacing w:before="0" w:beforeAutospacing="0" w:after="0" w:afterAutospacing="0"/>
              <w:jc w:val="center"/>
              <w:rPr>
                <w:sz w:val="4"/>
                <w:szCs w:val="4"/>
              </w:rPr>
            </w:pPr>
            <w:r>
              <w:rPr>
                <w:sz w:val="4"/>
                <w:szCs w:val="4"/>
              </w:rPr>
              <w:t> </w:t>
            </w:r>
          </w:p>
        </w:tc>
      </w:tr>
      <w:tr w:rsidR="00000000">
        <w:trPr>
          <w:divId w:val="818770248"/>
        </w:trPr>
        <w:tc>
          <w:tcPr>
            <w:tcW w:w="1957" w:type="pct"/>
            <w:shd w:val="clear" w:color="auto" w:fill="FFFFFF"/>
            <w:vAlign w:val="bottom"/>
            <w:hideMark/>
          </w:tcPr>
          <w:p w:rsidR="00000000" w:rsidRDefault="00240F6E">
            <w:pPr>
              <w:pStyle w:val="a3"/>
              <w:spacing w:before="0" w:beforeAutospacing="0" w:after="0" w:afterAutospacing="0"/>
              <w:rPr>
                <w:color w:val="000000"/>
                <w:sz w:val="20"/>
                <w:szCs w:val="20"/>
              </w:rPr>
            </w:pPr>
            <w:r>
              <w:rPr>
                <w:color w:val="000000"/>
                <w:sz w:val="20"/>
                <w:szCs w:val="20"/>
              </w:rPr>
              <w:t>Non-accelerated filer</w:t>
            </w:r>
          </w:p>
        </w:tc>
        <w:tc>
          <w:tcPr>
            <w:tcW w:w="209" w:type="pct"/>
            <w:shd w:val="clear" w:color="auto" w:fill="FFFFFF"/>
            <w:vAlign w:val="bottom"/>
            <w:hideMark/>
          </w:tcPr>
          <w:p w:rsidR="00000000" w:rsidRDefault="00240F6E">
            <w:pPr>
              <w:pStyle w:val="a3"/>
              <w:spacing w:before="0" w:beforeAutospacing="0" w:after="0" w:afterAutospacing="0"/>
              <w:jc w:val="center"/>
              <w:rPr>
                <w:rFonts w:ascii="MS Mincho" w:eastAsia="MS Mincho"/>
                <w:color w:val="000000"/>
                <w:sz w:val="20"/>
                <w:szCs w:val="20"/>
              </w:rPr>
            </w:pPr>
            <w:r>
              <w:rPr>
                <w:rFonts w:ascii="MS Mincho" w:eastAsia="MS Mincho" w:hint="eastAsia"/>
                <w:color w:val="000000"/>
                <w:sz w:val="20"/>
                <w:szCs w:val="20"/>
              </w:rPr>
              <w:t>☐</w:t>
            </w:r>
          </w:p>
        </w:tc>
        <w:tc>
          <w:tcPr>
            <w:tcW w:w="335" w:type="pct"/>
            <w:shd w:val="clear" w:color="auto" w:fill="FFFFFF"/>
            <w:vAlign w:val="bottom"/>
            <w:hideMark/>
          </w:tcPr>
          <w:p w:rsidR="00000000" w:rsidRDefault="00240F6E">
            <w:pPr>
              <w:pStyle w:val="a3"/>
              <w:spacing w:before="0" w:beforeAutospacing="0" w:after="0" w:afterAutospacing="0"/>
              <w:rPr>
                <w:rFonts w:hint="eastAsia"/>
                <w:sz w:val="20"/>
                <w:szCs w:val="20"/>
              </w:rPr>
            </w:pPr>
            <w:r>
              <w:rPr>
                <w:sz w:val="20"/>
                <w:szCs w:val="20"/>
              </w:rPr>
              <w:t> </w:t>
            </w:r>
          </w:p>
        </w:tc>
        <w:tc>
          <w:tcPr>
            <w:tcW w:w="6" w:type="dxa"/>
            <w:shd w:val="clear" w:color="auto" w:fill="FFFFFF"/>
            <w:vAlign w:val="bottom"/>
            <w:hideMark/>
          </w:tcPr>
          <w:p w:rsidR="00000000" w:rsidRDefault="00240F6E">
            <w:pPr>
              <w:pStyle w:val="a3"/>
              <w:spacing w:before="0" w:beforeAutospacing="0" w:after="0" w:afterAutospacing="0"/>
              <w:rPr>
                <w:color w:val="000000"/>
                <w:sz w:val="20"/>
                <w:szCs w:val="20"/>
              </w:rPr>
            </w:pPr>
            <w:r>
              <w:rPr>
                <w:color w:val="000000"/>
                <w:sz w:val="20"/>
                <w:szCs w:val="20"/>
              </w:rPr>
              <w:t>Smaller reporting company</w:t>
            </w:r>
          </w:p>
        </w:tc>
        <w:tc>
          <w:tcPr>
            <w:tcW w:w="6" w:type="dxa"/>
            <w:shd w:val="clear" w:color="auto" w:fill="FFFFFF"/>
            <w:vAlign w:val="bottom"/>
            <w:hideMark/>
          </w:tcPr>
          <w:p w:rsidR="00000000" w:rsidRDefault="00240F6E">
            <w:pPr>
              <w:pStyle w:val="a3"/>
              <w:spacing w:before="0" w:beforeAutospacing="0" w:after="0" w:afterAutospacing="0"/>
              <w:jc w:val="center"/>
              <w:rPr>
                <w:rFonts w:ascii="MS Mincho" w:eastAsia="MS Mincho"/>
                <w:color w:val="000000"/>
                <w:sz w:val="20"/>
                <w:szCs w:val="20"/>
              </w:rPr>
            </w:pPr>
            <w:r>
              <w:rPr>
                <w:rFonts w:ascii="MS Mincho" w:eastAsia="MS Mincho" w:hint="eastAsia"/>
                <w:color w:val="000000"/>
                <w:sz w:val="20"/>
                <w:szCs w:val="20"/>
              </w:rPr>
              <w:t>☐</w:t>
            </w:r>
          </w:p>
        </w:tc>
      </w:tr>
      <w:tr w:rsidR="00000000">
        <w:trPr>
          <w:divId w:val="818770248"/>
        </w:trPr>
        <w:tc>
          <w:tcPr>
            <w:tcW w:w="1957" w:type="pct"/>
            <w:shd w:val="clear" w:color="auto" w:fill="FFFFFF"/>
            <w:vAlign w:val="bottom"/>
            <w:hideMark/>
          </w:tcPr>
          <w:p w:rsidR="00000000" w:rsidRDefault="00240F6E">
            <w:pPr>
              <w:pStyle w:val="a3"/>
              <w:spacing w:before="0" w:beforeAutospacing="0" w:after="0" w:afterAutospacing="0"/>
              <w:rPr>
                <w:rFonts w:hint="eastAsia"/>
                <w:sz w:val="4"/>
                <w:szCs w:val="4"/>
              </w:rPr>
            </w:pPr>
            <w:r>
              <w:rPr>
                <w:sz w:val="4"/>
                <w:szCs w:val="4"/>
              </w:rPr>
              <w:t> </w:t>
            </w:r>
          </w:p>
        </w:tc>
        <w:tc>
          <w:tcPr>
            <w:tcW w:w="209" w:type="pct"/>
            <w:shd w:val="clear" w:color="auto" w:fill="FFFFFF"/>
            <w:vAlign w:val="bottom"/>
            <w:hideMark/>
          </w:tcPr>
          <w:p w:rsidR="00000000" w:rsidRDefault="00240F6E">
            <w:pPr>
              <w:pStyle w:val="a3"/>
              <w:spacing w:before="0" w:beforeAutospacing="0" w:after="0" w:afterAutospacing="0"/>
              <w:jc w:val="center"/>
              <w:rPr>
                <w:sz w:val="4"/>
                <w:szCs w:val="4"/>
              </w:rPr>
            </w:pPr>
            <w:r>
              <w:rPr>
                <w:sz w:val="4"/>
                <w:szCs w:val="4"/>
              </w:rPr>
              <w:t> </w:t>
            </w:r>
          </w:p>
        </w:tc>
        <w:tc>
          <w:tcPr>
            <w:tcW w:w="335" w:type="pct"/>
            <w:shd w:val="clear" w:color="auto" w:fill="FFFFFF"/>
            <w:vAlign w:val="bottom"/>
            <w:hideMark/>
          </w:tcPr>
          <w:p w:rsidR="00000000" w:rsidRDefault="00240F6E">
            <w:pPr>
              <w:pStyle w:val="a3"/>
              <w:spacing w:before="0" w:beforeAutospacing="0" w:after="0" w:afterAutospacing="0"/>
              <w:rPr>
                <w:sz w:val="4"/>
                <w:szCs w:val="4"/>
              </w:rPr>
            </w:pPr>
            <w:r>
              <w:rPr>
                <w:sz w:val="4"/>
                <w:szCs w:val="4"/>
              </w:rPr>
              <w:t> </w:t>
            </w:r>
          </w:p>
        </w:tc>
        <w:tc>
          <w:tcPr>
            <w:tcW w:w="6" w:type="dxa"/>
            <w:shd w:val="clear" w:color="auto" w:fill="FFFFFF"/>
            <w:vAlign w:val="bottom"/>
            <w:hideMark/>
          </w:tcPr>
          <w:p w:rsidR="00000000" w:rsidRDefault="00240F6E">
            <w:pPr>
              <w:pStyle w:val="a3"/>
              <w:spacing w:before="0" w:beforeAutospacing="0" w:after="0" w:afterAutospacing="0"/>
              <w:rPr>
                <w:sz w:val="4"/>
                <w:szCs w:val="4"/>
              </w:rPr>
            </w:pPr>
            <w:r>
              <w:rPr>
                <w:sz w:val="4"/>
                <w:szCs w:val="4"/>
              </w:rPr>
              <w:t> </w:t>
            </w:r>
          </w:p>
        </w:tc>
        <w:tc>
          <w:tcPr>
            <w:tcW w:w="6" w:type="dxa"/>
            <w:shd w:val="clear" w:color="auto" w:fill="FFFFFF"/>
            <w:vAlign w:val="bottom"/>
            <w:hideMark/>
          </w:tcPr>
          <w:p w:rsidR="00000000" w:rsidRDefault="00240F6E">
            <w:pPr>
              <w:pStyle w:val="a3"/>
              <w:spacing w:before="0" w:beforeAutospacing="0" w:after="0" w:afterAutospacing="0"/>
              <w:jc w:val="center"/>
              <w:rPr>
                <w:sz w:val="4"/>
                <w:szCs w:val="4"/>
              </w:rPr>
            </w:pPr>
            <w:r>
              <w:rPr>
                <w:sz w:val="4"/>
                <w:szCs w:val="4"/>
              </w:rPr>
              <w:t> </w:t>
            </w:r>
          </w:p>
        </w:tc>
      </w:tr>
      <w:tr w:rsidR="00000000">
        <w:trPr>
          <w:divId w:val="818770248"/>
        </w:trPr>
        <w:tc>
          <w:tcPr>
            <w:tcW w:w="1957" w:type="pct"/>
            <w:shd w:val="clear" w:color="auto" w:fill="FFFFFF"/>
            <w:vAlign w:val="bottom"/>
            <w:hideMark/>
          </w:tcPr>
          <w:p w:rsidR="00000000" w:rsidRDefault="00240F6E">
            <w:pPr>
              <w:pStyle w:val="a3"/>
              <w:spacing w:before="0" w:beforeAutospacing="0" w:after="0" w:afterAutospacing="0"/>
              <w:rPr>
                <w:sz w:val="20"/>
                <w:szCs w:val="20"/>
              </w:rPr>
            </w:pPr>
            <w:r>
              <w:rPr>
                <w:sz w:val="20"/>
                <w:szCs w:val="20"/>
              </w:rPr>
              <w:t>Emerging growth company</w:t>
            </w:r>
          </w:p>
        </w:tc>
        <w:tc>
          <w:tcPr>
            <w:tcW w:w="209" w:type="pct"/>
            <w:shd w:val="clear" w:color="auto" w:fill="FFFFFF"/>
            <w:vAlign w:val="bottom"/>
            <w:hideMark/>
          </w:tcPr>
          <w:p w:rsidR="00000000" w:rsidRDefault="00240F6E">
            <w:pPr>
              <w:pStyle w:val="a3"/>
              <w:spacing w:before="0" w:beforeAutospacing="0" w:after="0" w:afterAutospacing="0"/>
              <w:jc w:val="center"/>
              <w:rPr>
                <w:rFonts w:ascii="MS Mincho" w:eastAsia="MS Mincho"/>
                <w:color w:val="000000"/>
                <w:sz w:val="20"/>
                <w:szCs w:val="20"/>
              </w:rPr>
            </w:pPr>
            <w:r>
              <w:rPr>
                <w:rFonts w:ascii="MS Mincho" w:eastAsia="MS Mincho" w:hint="eastAsia"/>
                <w:color w:val="000000"/>
                <w:sz w:val="20"/>
                <w:szCs w:val="20"/>
              </w:rPr>
              <w:t>☐</w:t>
            </w:r>
          </w:p>
        </w:tc>
        <w:tc>
          <w:tcPr>
            <w:tcW w:w="335" w:type="pct"/>
            <w:shd w:val="clear" w:color="auto" w:fill="FFFFFF"/>
            <w:vAlign w:val="bottom"/>
            <w:hideMark/>
          </w:tcPr>
          <w:p w:rsidR="00000000" w:rsidRDefault="00240F6E">
            <w:pPr>
              <w:pStyle w:val="a3"/>
              <w:spacing w:before="0" w:beforeAutospacing="0" w:after="0" w:afterAutospacing="0"/>
              <w:rPr>
                <w:rFonts w:hint="eastAsia"/>
                <w:sz w:val="20"/>
                <w:szCs w:val="20"/>
              </w:rPr>
            </w:pPr>
            <w:r>
              <w:rPr>
                <w:sz w:val="20"/>
                <w:szCs w:val="20"/>
              </w:rPr>
              <w:t> </w:t>
            </w:r>
          </w:p>
        </w:tc>
        <w:tc>
          <w:tcPr>
            <w:tcW w:w="6" w:type="dxa"/>
            <w:shd w:val="clear" w:color="auto" w:fill="FFFFFF"/>
            <w:vAlign w:val="bottom"/>
            <w:hideMark/>
          </w:tcPr>
          <w:p w:rsidR="00000000" w:rsidRDefault="00240F6E">
            <w:pPr>
              <w:pStyle w:val="a3"/>
              <w:spacing w:before="0" w:beforeAutospacing="0" w:after="0" w:afterAutospacing="0"/>
              <w:rPr>
                <w:sz w:val="20"/>
                <w:szCs w:val="20"/>
              </w:rPr>
            </w:pPr>
            <w:r>
              <w:rPr>
                <w:sz w:val="20"/>
                <w:szCs w:val="20"/>
              </w:rPr>
              <w:t> </w:t>
            </w:r>
          </w:p>
        </w:tc>
        <w:tc>
          <w:tcPr>
            <w:tcW w:w="6" w:type="dxa"/>
            <w:shd w:val="clear" w:color="auto" w:fill="FFFFFF"/>
            <w:vAlign w:val="bottom"/>
            <w:hideMark/>
          </w:tcPr>
          <w:p w:rsidR="00000000" w:rsidRDefault="00240F6E">
            <w:pPr>
              <w:pStyle w:val="a3"/>
              <w:spacing w:before="0" w:beforeAutospacing="0" w:after="0" w:afterAutospacing="0"/>
              <w:jc w:val="center"/>
              <w:rPr>
                <w:sz w:val="20"/>
                <w:szCs w:val="20"/>
              </w:rPr>
            </w:pPr>
            <w:r>
              <w:rPr>
                <w:sz w:val="20"/>
                <w:szCs w:val="20"/>
              </w:rPr>
              <w:t> </w:t>
            </w:r>
          </w:p>
        </w:tc>
      </w:tr>
    </w:tbl>
    <w:p w:rsidR="00000000" w:rsidRDefault="00240F6E">
      <w:pPr>
        <w:pStyle w:val="a3"/>
        <w:spacing w:before="0" w:beforeAutospacing="0" w:after="0" w:afterAutospacing="0"/>
        <w:rPr>
          <w:sz w:val="10"/>
          <w:szCs w:val="10"/>
        </w:rPr>
      </w:pPr>
      <w:r>
        <w:rPr>
          <w:sz w:val="10"/>
          <w:szCs w:val="10"/>
        </w:rPr>
        <w:t> </w:t>
      </w:r>
    </w:p>
    <w:p w:rsidR="00000000" w:rsidRDefault="00240F6E">
      <w:pPr>
        <w:pStyle w:val="a3"/>
        <w:spacing w:before="0" w:beforeAutospacing="0" w:after="0" w:afterAutospacing="0"/>
        <w:jc w:val="both"/>
        <w:rPr>
          <w:sz w:val="20"/>
          <w:szCs w:val="20"/>
        </w:rPr>
      </w:pPr>
      <w:r>
        <w:rPr>
          <w:sz w:val="20"/>
          <w:szCs w:val="20"/>
        </w:rPr>
        <w:t>If an emerging growth company, indicate by check mark if the registrant has elected not to use the extended transition period for complying with any new or revised financial account</w:t>
      </w:r>
      <w:r>
        <w:rPr>
          <w:sz w:val="20"/>
          <w:szCs w:val="20"/>
        </w:rPr>
        <w:t>ing standards provided pursuant to Section 13(a) of the Exchange Act.  </w:t>
      </w:r>
      <w:r>
        <w:rPr>
          <w:rFonts w:ascii="MS Mincho" w:eastAsia="MS Mincho" w:hint="eastAsia"/>
          <w:sz w:val="20"/>
          <w:szCs w:val="20"/>
        </w:rPr>
        <w:t>☐</w:t>
      </w:r>
    </w:p>
    <w:p w:rsidR="00000000" w:rsidRDefault="00240F6E">
      <w:pPr>
        <w:pStyle w:val="a3"/>
        <w:spacing w:before="40" w:beforeAutospacing="0" w:after="0" w:afterAutospacing="0"/>
        <w:jc w:val="both"/>
        <w:rPr>
          <w:sz w:val="20"/>
          <w:szCs w:val="20"/>
        </w:rPr>
      </w:pPr>
      <w:r>
        <w:rPr>
          <w:sz w:val="20"/>
          <w:szCs w:val="20"/>
        </w:rPr>
        <w:t>Indicate by check mark whether the registrant is a shell company (as defined in Rule 12b-2 of the Exchange Act). Yes  </w:t>
      </w:r>
      <w:r>
        <w:rPr>
          <w:rFonts w:ascii="MS Mincho" w:eastAsia="MS Mincho" w:hint="eastAsia"/>
          <w:sz w:val="20"/>
          <w:szCs w:val="20"/>
        </w:rPr>
        <w:t>☐</w:t>
      </w:r>
      <w:r>
        <w:rPr>
          <w:sz w:val="20"/>
          <w:szCs w:val="20"/>
        </w:rPr>
        <w:t>    No  </w:t>
      </w:r>
      <w:r>
        <w:rPr>
          <w:rFonts w:ascii="MS Mincho" w:eastAsia="MS Mincho" w:hint="eastAsia"/>
          <w:sz w:val="20"/>
          <w:szCs w:val="20"/>
        </w:rPr>
        <w:t>☒</w:t>
      </w:r>
    </w:p>
    <w:p w:rsidR="00000000" w:rsidRDefault="00240F6E">
      <w:pPr>
        <w:pStyle w:val="a3"/>
        <w:spacing w:before="0" w:beforeAutospacing="0" w:afterAutospacing="0"/>
        <w:jc w:val="center"/>
        <w:rPr>
          <w:sz w:val="20"/>
          <w:szCs w:val="20"/>
        </w:rPr>
      </w:pPr>
      <w:r>
        <w:rPr>
          <w:sz w:val="20"/>
          <w:szCs w:val="20"/>
        </w:rPr>
        <w:t>Securities registered pursuant to Section 12(b) of the Act:</w:t>
      </w:r>
    </w:p>
    <w:tbl>
      <w:tblPr>
        <w:tblW w:w="5000" w:type="pct"/>
        <w:tblInd w:w="1" w:type="dxa"/>
        <w:tblCellMar>
          <w:left w:w="0" w:type="dxa"/>
          <w:right w:w="0" w:type="dxa"/>
        </w:tblCellMar>
        <w:tblLook w:val="04A0" w:firstRow="1" w:lastRow="0" w:firstColumn="1" w:lastColumn="0" w:noHBand="0" w:noVBand="1"/>
      </w:tblPr>
      <w:tblGrid>
        <w:gridCol w:w="3114"/>
        <w:gridCol w:w="2077"/>
        <w:gridCol w:w="3115"/>
      </w:tblGrid>
      <w:tr w:rsidR="00000000">
        <w:trPr>
          <w:divId w:val="1634866985"/>
        </w:trPr>
        <w:tc>
          <w:tcPr>
            <w:tcW w:w="1875" w:type="pct"/>
            <w:vAlign w:val="center"/>
            <w:hideMark/>
          </w:tcPr>
          <w:p w:rsidR="00000000" w:rsidRDefault="00240F6E">
            <w:pPr>
              <w:rPr>
                <w:sz w:val="20"/>
                <w:szCs w:val="20"/>
              </w:rPr>
            </w:pPr>
          </w:p>
        </w:tc>
        <w:tc>
          <w:tcPr>
            <w:tcW w:w="1250" w:type="pct"/>
            <w:vAlign w:val="center"/>
            <w:hideMark/>
          </w:tcPr>
          <w:p w:rsidR="00000000" w:rsidRDefault="00240F6E">
            <w:pPr>
              <w:rPr>
                <w:rFonts w:eastAsia="Times New Roman"/>
                <w:sz w:val="20"/>
                <w:szCs w:val="20"/>
              </w:rPr>
            </w:pPr>
          </w:p>
        </w:tc>
        <w:tc>
          <w:tcPr>
            <w:tcW w:w="1875" w:type="pct"/>
            <w:vAlign w:val="center"/>
            <w:hideMark/>
          </w:tcPr>
          <w:p w:rsidR="00000000" w:rsidRDefault="00240F6E">
            <w:pPr>
              <w:rPr>
                <w:rFonts w:eastAsia="Times New Roman"/>
                <w:sz w:val="20"/>
                <w:szCs w:val="20"/>
              </w:rPr>
            </w:pPr>
          </w:p>
        </w:tc>
      </w:tr>
      <w:tr w:rsidR="00000000">
        <w:trPr>
          <w:divId w:val="1634866985"/>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240F6E">
            <w:pPr>
              <w:pStyle w:val="a3"/>
              <w:spacing w:before="0" w:beforeAutospacing="0" w:after="0" w:afterAutospacing="0"/>
              <w:jc w:val="both"/>
              <w:rPr>
                <w:sz w:val="20"/>
                <w:szCs w:val="20"/>
              </w:rPr>
            </w:pPr>
            <w:r>
              <w:rPr>
                <w:sz w:val="20"/>
                <w:szCs w:val="20"/>
              </w:rPr>
              <w:lastRenderedPageBreak/>
              <w:t>             Title of each class</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240F6E">
            <w:pPr>
              <w:pStyle w:val="a3"/>
              <w:spacing w:before="0" w:beforeAutospacing="0" w:after="0" w:afterAutospacing="0"/>
              <w:jc w:val="both"/>
              <w:rPr>
                <w:sz w:val="20"/>
                <w:szCs w:val="20"/>
              </w:rPr>
            </w:pPr>
            <w:r>
              <w:rPr>
                <w:sz w:val="20"/>
                <w:szCs w:val="20"/>
              </w:rPr>
              <w:t>     Trading Symbol(s)</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240F6E">
            <w:pPr>
              <w:pStyle w:val="a3"/>
              <w:spacing w:before="0" w:beforeAutospacing="0" w:after="0" w:afterAutospacing="0"/>
              <w:jc w:val="both"/>
              <w:rPr>
                <w:sz w:val="20"/>
                <w:szCs w:val="20"/>
              </w:rPr>
            </w:pPr>
            <w:r>
              <w:rPr>
                <w:sz w:val="20"/>
                <w:szCs w:val="20"/>
              </w:rPr>
              <w:t>Name of</w:t>
            </w:r>
            <w:r>
              <w:rPr>
                <w:sz w:val="20"/>
                <w:szCs w:val="20"/>
              </w:rPr>
              <w:t xml:space="preserve"> each exchange on which registered</w:t>
            </w:r>
          </w:p>
        </w:tc>
      </w:tr>
      <w:tr w:rsidR="00000000">
        <w:trPr>
          <w:divId w:val="1634866985"/>
        </w:trPr>
        <w:tc>
          <w:tcPr>
            <w:tcW w:w="0" w:type="auto"/>
            <w:tcBorders>
              <w:top w:val="single" w:sz="6" w:space="0" w:color="000000"/>
              <w:left w:val="single" w:sz="6" w:space="0" w:color="000000"/>
              <w:bottom w:val="single" w:sz="6" w:space="0" w:color="000000"/>
              <w:right w:val="single" w:sz="6" w:space="0" w:color="000000"/>
            </w:tcBorders>
            <w:hideMark/>
          </w:tcPr>
          <w:p w:rsidR="00000000" w:rsidRDefault="00240F6E">
            <w:pPr>
              <w:pStyle w:val="a3"/>
              <w:spacing w:before="0" w:beforeAutospacing="0" w:after="0" w:afterAutospacing="0"/>
              <w:jc w:val="both"/>
              <w:rPr>
                <w:sz w:val="20"/>
                <w:szCs w:val="20"/>
              </w:rPr>
            </w:pPr>
            <w:r>
              <w:rPr>
                <w:sz w:val="20"/>
                <w:szCs w:val="20"/>
              </w:rPr>
              <w:t>              Common Stock</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240F6E">
            <w:pPr>
              <w:pStyle w:val="a3"/>
              <w:spacing w:before="0" w:beforeAutospacing="0" w:after="0" w:afterAutospacing="0"/>
              <w:jc w:val="both"/>
              <w:rPr>
                <w:sz w:val="20"/>
                <w:szCs w:val="20"/>
              </w:rPr>
            </w:pPr>
            <w:r>
              <w:rPr>
                <w:sz w:val="20"/>
                <w:szCs w:val="20"/>
              </w:rPr>
              <w:t>              CXW</w:t>
            </w:r>
          </w:p>
        </w:tc>
        <w:tc>
          <w:tcPr>
            <w:tcW w:w="0" w:type="auto"/>
            <w:tcBorders>
              <w:top w:val="single" w:sz="6" w:space="0" w:color="000000"/>
              <w:left w:val="single" w:sz="6" w:space="0" w:color="000000"/>
              <w:bottom w:val="single" w:sz="6" w:space="0" w:color="000000"/>
              <w:right w:val="single" w:sz="6" w:space="0" w:color="000000"/>
            </w:tcBorders>
            <w:hideMark/>
          </w:tcPr>
          <w:p w:rsidR="00000000" w:rsidRDefault="00240F6E">
            <w:pPr>
              <w:pStyle w:val="a3"/>
              <w:spacing w:before="0" w:beforeAutospacing="0" w:after="0" w:afterAutospacing="0"/>
              <w:jc w:val="both"/>
              <w:rPr>
                <w:sz w:val="20"/>
                <w:szCs w:val="20"/>
              </w:rPr>
            </w:pPr>
            <w:r>
              <w:rPr>
                <w:sz w:val="20"/>
                <w:szCs w:val="20"/>
              </w:rPr>
              <w:t>               New York Stock Exchange</w:t>
            </w:r>
          </w:p>
        </w:tc>
      </w:tr>
    </w:tbl>
    <w:p w:rsidR="00000000" w:rsidRDefault="00240F6E">
      <w:pPr>
        <w:pStyle w:val="a3"/>
        <w:spacing w:before="40" w:beforeAutospacing="0" w:after="0" w:afterAutospacing="0"/>
        <w:jc w:val="both"/>
        <w:rPr>
          <w:sz w:val="20"/>
          <w:szCs w:val="20"/>
        </w:rPr>
      </w:pPr>
      <w:r>
        <w:rPr>
          <w:sz w:val="20"/>
          <w:szCs w:val="20"/>
        </w:rPr>
        <w:t>Indicate the number of shares outstanding of each class of Common Stock as of May 3, 2019:</w:t>
      </w:r>
    </w:p>
    <w:p w:rsidR="00000000" w:rsidRDefault="00240F6E">
      <w:pPr>
        <w:pStyle w:val="a3"/>
        <w:spacing w:before="60" w:beforeAutospacing="0" w:after="0" w:afterAutospacing="0"/>
        <w:jc w:val="center"/>
        <w:rPr>
          <w:sz w:val="20"/>
          <w:szCs w:val="20"/>
        </w:rPr>
      </w:pPr>
      <w:r>
        <w:rPr>
          <w:sz w:val="20"/>
          <w:szCs w:val="20"/>
        </w:rPr>
        <w:t xml:space="preserve">Shares of Common Stock, $0.01 par value per </w:t>
      </w:r>
      <w:r>
        <w:rPr>
          <w:sz w:val="20"/>
          <w:szCs w:val="20"/>
        </w:rPr>
        <w:t>share: 119,067,887 shares outstanding.</w:t>
      </w:r>
    </w:p>
    <w:p w:rsidR="00000000" w:rsidRDefault="00240F6E">
      <w:pPr>
        <w:pStyle w:val="a3"/>
        <w:pBdr>
          <w:bottom w:val="double" w:sz="6" w:space="1" w:color="auto"/>
        </w:pBdr>
        <w:spacing w:before="0" w:beforeAutospacing="0" w:after="0" w:afterAutospacing="0"/>
        <w:rPr>
          <w:sz w:val="8"/>
          <w:szCs w:val="8"/>
        </w:rPr>
      </w:pPr>
      <w:r>
        <w:rPr>
          <w:sz w:val="8"/>
          <w:szCs w:val="8"/>
        </w:rPr>
        <w:t> </w:t>
      </w:r>
    </w:p>
    <w:p w:rsidR="00000000" w:rsidRDefault="00240F6E">
      <w:pPr>
        <w:pStyle w:val="a3"/>
        <w:spacing w:before="0" w:beforeAutospacing="0" w:after="0" w:afterAutospacing="0"/>
        <w:rPr>
          <w:sz w:val="4"/>
          <w:szCs w:val="4"/>
        </w:rPr>
      </w:pPr>
      <w:r>
        <w:rPr>
          <w:sz w:val="4"/>
          <w:szCs w:val="4"/>
        </w:rPr>
        <w:t> </w:t>
      </w:r>
    </w:p>
    <w:p w:rsidR="00000000" w:rsidRDefault="00240F6E">
      <w:pPr>
        <w:pStyle w:val="a3"/>
        <w:spacing w:before="0" w:beforeAutospacing="0" w:after="0" w:afterAutospacing="0"/>
        <w:rPr>
          <w:b/>
          <w:bCs/>
          <w:sz w:val="4"/>
          <w:szCs w:val="4"/>
        </w:rPr>
      </w:pPr>
      <w:r>
        <w:rPr>
          <w:b/>
          <w:bCs/>
          <w:sz w:val="4"/>
          <w:szCs w:val="4"/>
        </w:rPr>
        <w:t> </w:t>
      </w:r>
    </w:p>
    <w:p w:rsidR="00000000" w:rsidRDefault="00240F6E">
      <w:pPr>
        <w:pStyle w:val="a3"/>
        <w:spacing w:before="0" w:beforeAutospacing="0" w:after="0" w:afterAutospacing="0"/>
        <w:jc w:val="center"/>
        <w:rPr>
          <w:b/>
          <w:bCs/>
          <w:sz w:val="4"/>
          <w:szCs w:val="4"/>
        </w:rPr>
      </w:pPr>
      <w:r>
        <w:rPr>
          <w:b/>
          <w:bCs/>
          <w:sz w:val="4"/>
          <w:szCs w:val="4"/>
        </w:rPr>
        <w:t> </w:t>
      </w:r>
    </w:p>
    <w:p w:rsidR="00000000" w:rsidRDefault="00240F6E">
      <w:pPr>
        <w:rPr>
          <w:rFonts w:eastAsia="Times New Roman"/>
        </w:rPr>
      </w:pPr>
      <w:r>
        <w:rPr>
          <w:rFonts w:eastAsia="Times New Roman"/>
        </w:rPr>
        <w:pict>
          <v:rect id="_x0000_i1025" style="width:0;height:1.5pt" o:hralign="center" o:hrstd="t" o:hr="t" fillcolor="#a0a0a0" stroked="f"/>
        </w:pict>
      </w:r>
    </w:p>
    <w:p w:rsidR="00000000" w:rsidRDefault="00240F6E">
      <w:pPr>
        <w:pStyle w:val="a3"/>
        <w:spacing w:before="0" w:beforeAutospacing="0" w:after="0" w:afterAutospacing="0"/>
        <w:jc w:val="center"/>
        <w:rPr>
          <w:b/>
          <w:bCs/>
          <w:sz w:val="20"/>
          <w:szCs w:val="20"/>
        </w:rPr>
      </w:pPr>
      <w:r>
        <w:rPr>
          <w:b/>
          <w:bCs/>
          <w:sz w:val="20"/>
          <w:szCs w:val="20"/>
        </w:rPr>
        <w:t>CORECIVIC, INC.</w:t>
      </w:r>
    </w:p>
    <w:p w:rsidR="00000000" w:rsidRDefault="00240F6E">
      <w:pPr>
        <w:pStyle w:val="a3"/>
        <w:spacing w:before="0" w:beforeAutospacing="0" w:after="0" w:afterAutospacing="0"/>
        <w:jc w:val="center"/>
        <w:rPr>
          <w:sz w:val="20"/>
          <w:szCs w:val="20"/>
        </w:rPr>
      </w:pPr>
      <w:r>
        <w:rPr>
          <w:sz w:val="20"/>
          <w:szCs w:val="20"/>
        </w:rPr>
        <w:t> </w:t>
      </w:r>
    </w:p>
    <w:p w:rsidR="00000000" w:rsidRDefault="00240F6E">
      <w:pPr>
        <w:pStyle w:val="a3"/>
        <w:spacing w:before="0" w:beforeAutospacing="0" w:after="0" w:afterAutospacing="0"/>
        <w:jc w:val="center"/>
        <w:rPr>
          <w:b/>
          <w:bCs/>
          <w:sz w:val="20"/>
          <w:szCs w:val="20"/>
        </w:rPr>
      </w:pPr>
      <w:r>
        <w:rPr>
          <w:b/>
          <w:bCs/>
          <w:sz w:val="20"/>
          <w:szCs w:val="20"/>
        </w:rPr>
        <w:t>FORM 10-Q</w:t>
      </w:r>
    </w:p>
    <w:p w:rsidR="00000000" w:rsidRDefault="00240F6E">
      <w:pPr>
        <w:pStyle w:val="a3"/>
        <w:spacing w:before="0" w:beforeAutospacing="0" w:after="0" w:afterAutospacing="0"/>
        <w:jc w:val="center"/>
        <w:rPr>
          <w:sz w:val="20"/>
          <w:szCs w:val="20"/>
        </w:rPr>
      </w:pPr>
      <w:r>
        <w:rPr>
          <w:sz w:val="20"/>
          <w:szCs w:val="20"/>
        </w:rPr>
        <w:t> </w:t>
      </w:r>
    </w:p>
    <w:p w:rsidR="00000000" w:rsidRDefault="00240F6E">
      <w:pPr>
        <w:pStyle w:val="a3"/>
        <w:spacing w:before="0" w:beforeAutospacing="0" w:after="0" w:afterAutospacing="0"/>
        <w:jc w:val="center"/>
        <w:rPr>
          <w:b/>
          <w:bCs/>
          <w:sz w:val="20"/>
          <w:szCs w:val="20"/>
        </w:rPr>
      </w:pPr>
      <w:r>
        <w:rPr>
          <w:b/>
          <w:bCs/>
          <w:sz w:val="20"/>
          <w:szCs w:val="20"/>
        </w:rPr>
        <w:t>FOR THE QUARTERLY PERIOD ENDED MARCH 31, 2019</w:t>
      </w:r>
    </w:p>
    <w:p w:rsidR="00000000" w:rsidRDefault="00240F6E">
      <w:pPr>
        <w:pStyle w:val="a3"/>
        <w:spacing w:before="0" w:beforeAutospacing="0" w:after="0" w:afterAutospacing="0"/>
        <w:jc w:val="center"/>
        <w:rPr>
          <w:sz w:val="20"/>
          <w:szCs w:val="20"/>
        </w:rPr>
      </w:pPr>
      <w:r>
        <w:rPr>
          <w:sz w:val="20"/>
          <w:szCs w:val="20"/>
        </w:rPr>
        <w:t> </w:t>
      </w:r>
    </w:p>
    <w:p w:rsidR="00000000" w:rsidRDefault="00240F6E">
      <w:pPr>
        <w:pStyle w:val="a3"/>
        <w:spacing w:before="0" w:beforeAutospacing="0" w:after="0" w:afterAutospacing="0"/>
        <w:jc w:val="center"/>
        <w:rPr>
          <w:b/>
          <w:bCs/>
          <w:sz w:val="20"/>
          <w:szCs w:val="20"/>
        </w:rPr>
      </w:pPr>
      <w:r>
        <w:rPr>
          <w:b/>
          <w:bCs/>
          <w:sz w:val="20"/>
          <w:szCs w:val="20"/>
        </w:rPr>
        <w:t>INDEX</w:t>
      </w:r>
    </w:p>
    <w:p w:rsidR="00000000" w:rsidRDefault="00240F6E">
      <w:pPr>
        <w:pStyle w:val="a3"/>
        <w:spacing w:before="0" w:beforeAutospacing="0" w:after="0" w:afterAutospacing="0"/>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634"/>
        <w:gridCol w:w="72"/>
        <w:gridCol w:w="7004"/>
        <w:gridCol w:w="73"/>
        <w:gridCol w:w="523"/>
      </w:tblGrid>
      <w:tr w:rsidR="00000000">
        <w:trPr>
          <w:divId w:val="812674100"/>
        </w:trPr>
        <w:tc>
          <w:tcPr>
            <w:tcW w:w="50" w:type="pct"/>
            <w:gridSpan w:val="3"/>
            <w:hideMark/>
          </w:tcPr>
          <w:p w:rsidR="00000000" w:rsidRDefault="00240F6E">
            <w:pPr>
              <w:pStyle w:val="a3"/>
              <w:spacing w:before="0" w:beforeAutospacing="0" w:after="0" w:afterAutospacing="0"/>
              <w:rPr>
                <w:b/>
                <w:bCs/>
                <w:sz w:val="20"/>
                <w:szCs w:val="20"/>
              </w:rPr>
            </w:pPr>
            <w:r>
              <w:rPr>
                <w:b/>
                <w:bCs/>
                <w:sz w:val="20"/>
                <w:szCs w:val="20"/>
              </w:rPr>
              <w:t> </w:t>
            </w:r>
          </w:p>
        </w:tc>
        <w:tc>
          <w:tcPr>
            <w:tcW w:w="51" w:type="pct"/>
            <w:hideMark/>
          </w:tcPr>
          <w:p w:rsidR="00000000" w:rsidRDefault="00240F6E">
            <w:pPr>
              <w:pStyle w:val="a3"/>
              <w:spacing w:before="0" w:beforeAutospacing="0" w:after="0" w:afterAutospacing="0"/>
              <w:rPr>
                <w:b/>
                <w:bCs/>
                <w:sz w:val="20"/>
                <w:szCs w:val="20"/>
              </w:rPr>
            </w:pPr>
            <w:r>
              <w:rPr>
                <w:b/>
                <w:bCs/>
                <w:sz w:val="20"/>
                <w:szCs w:val="20"/>
              </w:rPr>
              <w:t> </w:t>
            </w:r>
          </w:p>
        </w:tc>
        <w:tc>
          <w:tcPr>
            <w:tcW w:w="281" w:type="pct"/>
            <w:tcBorders>
              <w:bottom w:val="single" w:sz="6" w:space="0" w:color="000000"/>
            </w:tcBorders>
            <w:hideMark/>
          </w:tcPr>
          <w:p w:rsidR="00000000" w:rsidRDefault="00240F6E">
            <w:pPr>
              <w:pStyle w:val="a3"/>
              <w:spacing w:before="0" w:beforeAutospacing="0" w:after="0" w:afterAutospacing="0"/>
              <w:jc w:val="center"/>
              <w:rPr>
                <w:sz w:val="20"/>
                <w:szCs w:val="20"/>
              </w:rPr>
            </w:pPr>
            <w:r>
              <w:rPr>
                <w:sz w:val="20"/>
                <w:szCs w:val="20"/>
              </w:rPr>
              <w:t>PAGE</w:t>
            </w:r>
          </w:p>
        </w:tc>
      </w:tr>
      <w:tr w:rsidR="00000000">
        <w:trPr>
          <w:divId w:val="812674100"/>
        </w:trPr>
        <w:tc>
          <w:tcPr>
            <w:tcW w:w="50" w:type="pct"/>
            <w:gridSpan w:val="3"/>
            <w:hideMark/>
          </w:tcPr>
          <w:p w:rsidR="00000000" w:rsidRDefault="00240F6E">
            <w:pPr>
              <w:pStyle w:val="a3"/>
              <w:spacing w:before="0" w:beforeAutospacing="0" w:after="0" w:afterAutospacing="0"/>
              <w:rPr>
                <w:b/>
                <w:bCs/>
                <w:sz w:val="20"/>
                <w:szCs w:val="20"/>
              </w:rPr>
            </w:pPr>
            <w:hyperlink w:anchor="PART_I_FINANCIAL_INFORMATION" w:history="1">
              <w:r>
                <w:rPr>
                  <w:rStyle w:val="a4"/>
                  <w:b/>
                  <w:bCs/>
                  <w:sz w:val="20"/>
                  <w:szCs w:val="20"/>
                </w:rPr>
                <w:t>PART 1 – FINANCIAL INFORMATION</w:t>
              </w:r>
            </w:hyperlink>
          </w:p>
        </w:tc>
        <w:tc>
          <w:tcPr>
            <w:tcW w:w="51" w:type="pct"/>
            <w:hideMark/>
          </w:tcPr>
          <w:p w:rsidR="00000000" w:rsidRDefault="00240F6E">
            <w:pPr>
              <w:pStyle w:val="a3"/>
              <w:spacing w:before="0" w:beforeAutospacing="0" w:after="0" w:afterAutospacing="0"/>
              <w:rPr>
                <w:b/>
                <w:bCs/>
                <w:sz w:val="20"/>
                <w:szCs w:val="20"/>
              </w:rPr>
            </w:pPr>
            <w:r>
              <w:rPr>
                <w:b/>
                <w:bCs/>
                <w:sz w:val="20"/>
                <w:szCs w:val="20"/>
              </w:rPr>
              <w:t> </w:t>
            </w:r>
          </w:p>
        </w:tc>
        <w:tc>
          <w:tcPr>
            <w:tcW w:w="281" w:type="pct"/>
            <w:hideMark/>
          </w:tcPr>
          <w:p w:rsidR="00000000" w:rsidRDefault="00240F6E">
            <w:pPr>
              <w:pStyle w:val="a3"/>
              <w:spacing w:before="0" w:beforeAutospacing="0" w:after="0" w:afterAutospacing="0"/>
              <w:jc w:val="center"/>
              <w:rPr>
                <w:sz w:val="20"/>
                <w:szCs w:val="20"/>
              </w:rPr>
            </w:pPr>
            <w:r>
              <w:rPr>
                <w:sz w:val="20"/>
                <w:szCs w:val="20"/>
              </w:rPr>
              <w:t> </w:t>
            </w:r>
          </w:p>
        </w:tc>
      </w:tr>
      <w:tr w:rsidR="00000000">
        <w:trPr>
          <w:divId w:val="812674100"/>
        </w:trPr>
        <w:tc>
          <w:tcPr>
            <w:tcW w:w="385" w:type="pct"/>
            <w:hideMark/>
          </w:tcPr>
          <w:p w:rsidR="00000000" w:rsidRDefault="00240F6E">
            <w:pPr>
              <w:pStyle w:val="a3"/>
              <w:spacing w:before="0" w:beforeAutospacing="0" w:after="0" w:afterAutospacing="0"/>
              <w:rPr>
                <w:b/>
                <w:bCs/>
                <w:sz w:val="12"/>
                <w:szCs w:val="12"/>
              </w:rPr>
            </w:pPr>
            <w:r>
              <w:rPr>
                <w:b/>
                <w:bCs/>
                <w:sz w:val="12"/>
                <w:szCs w:val="12"/>
              </w:rPr>
              <w:t> </w:t>
            </w:r>
          </w:p>
        </w:tc>
        <w:tc>
          <w:tcPr>
            <w:tcW w:w="50" w:type="pct"/>
            <w:hideMark/>
          </w:tcPr>
          <w:p w:rsidR="00000000" w:rsidRDefault="00240F6E">
            <w:pPr>
              <w:pStyle w:val="a3"/>
              <w:spacing w:before="0" w:beforeAutospacing="0" w:after="0" w:afterAutospacing="0"/>
              <w:rPr>
                <w:b/>
                <w:bCs/>
                <w:sz w:val="12"/>
                <w:szCs w:val="12"/>
              </w:rPr>
            </w:pPr>
            <w:r>
              <w:rPr>
                <w:b/>
                <w:bCs/>
                <w:sz w:val="12"/>
                <w:szCs w:val="12"/>
              </w:rPr>
              <w:t> </w:t>
            </w:r>
          </w:p>
        </w:tc>
        <w:tc>
          <w:tcPr>
            <w:tcW w:w="4174" w:type="pct"/>
            <w:hideMark/>
          </w:tcPr>
          <w:p w:rsidR="00000000" w:rsidRDefault="00240F6E">
            <w:pPr>
              <w:pStyle w:val="a3"/>
              <w:spacing w:before="0" w:beforeAutospacing="0" w:after="0" w:afterAutospacing="0"/>
              <w:rPr>
                <w:b/>
                <w:bCs/>
                <w:sz w:val="12"/>
                <w:szCs w:val="12"/>
              </w:rPr>
            </w:pPr>
            <w:r>
              <w:rPr>
                <w:b/>
                <w:bCs/>
                <w:sz w:val="12"/>
                <w:szCs w:val="12"/>
              </w:rPr>
              <w:t> </w:t>
            </w:r>
          </w:p>
        </w:tc>
        <w:tc>
          <w:tcPr>
            <w:tcW w:w="51" w:type="pct"/>
            <w:hideMark/>
          </w:tcPr>
          <w:p w:rsidR="00000000" w:rsidRDefault="00240F6E">
            <w:pPr>
              <w:pStyle w:val="a3"/>
              <w:spacing w:before="0" w:beforeAutospacing="0" w:after="0" w:afterAutospacing="0"/>
              <w:rPr>
                <w:b/>
                <w:bCs/>
                <w:sz w:val="12"/>
                <w:szCs w:val="12"/>
              </w:rPr>
            </w:pPr>
            <w:r>
              <w:rPr>
                <w:b/>
                <w:bCs/>
                <w:sz w:val="12"/>
                <w:szCs w:val="12"/>
              </w:rPr>
              <w:t> </w:t>
            </w:r>
          </w:p>
        </w:tc>
        <w:tc>
          <w:tcPr>
            <w:tcW w:w="281" w:type="pct"/>
            <w:hideMark/>
          </w:tcPr>
          <w:p w:rsidR="00000000" w:rsidRDefault="00240F6E">
            <w:pPr>
              <w:pStyle w:val="a3"/>
              <w:spacing w:before="0" w:beforeAutospacing="0" w:after="0" w:afterAutospacing="0"/>
              <w:rPr>
                <w:b/>
                <w:bCs/>
                <w:sz w:val="12"/>
                <w:szCs w:val="12"/>
              </w:rPr>
            </w:pPr>
            <w:r>
              <w:rPr>
                <w:b/>
                <w:bCs/>
                <w:sz w:val="12"/>
                <w:szCs w:val="12"/>
              </w:rPr>
              <w:t> </w:t>
            </w:r>
          </w:p>
        </w:tc>
      </w:tr>
      <w:tr w:rsidR="00000000">
        <w:trPr>
          <w:divId w:val="812674100"/>
        </w:trPr>
        <w:tc>
          <w:tcPr>
            <w:tcW w:w="385" w:type="pct"/>
            <w:hideMark/>
          </w:tcPr>
          <w:p w:rsidR="00000000" w:rsidRDefault="00240F6E">
            <w:pPr>
              <w:pStyle w:val="a3"/>
              <w:spacing w:before="0" w:beforeAutospacing="0" w:after="0" w:afterAutospacing="0"/>
              <w:rPr>
                <w:sz w:val="20"/>
                <w:szCs w:val="20"/>
              </w:rPr>
            </w:pPr>
            <w:r>
              <w:rPr>
                <w:sz w:val="20"/>
                <w:szCs w:val="20"/>
              </w:rPr>
              <w:t>Item 1.</w:t>
            </w:r>
          </w:p>
        </w:tc>
        <w:tc>
          <w:tcPr>
            <w:tcW w:w="50" w:type="pct"/>
            <w:hideMark/>
          </w:tcPr>
          <w:p w:rsidR="00000000" w:rsidRDefault="00240F6E">
            <w:pPr>
              <w:pStyle w:val="a3"/>
              <w:spacing w:before="0" w:beforeAutospacing="0" w:after="0" w:afterAutospacing="0"/>
              <w:rPr>
                <w:b/>
                <w:bCs/>
                <w:sz w:val="20"/>
                <w:szCs w:val="20"/>
              </w:rPr>
            </w:pPr>
            <w:r>
              <w:rPr>
                <w:b/>
                <w:bCs/>
                <w:sz w:val="20"/>
                <w:szCs w:val="20"/>
              </w:rPr>
              <w:t> </w:t>
            </w:r>
          </w:p>
        </w:tc>
        <w:tc>
          <w:tcPr>
            <w:tcW w:w="4174" w:type="pct"/>
            <w:hideMark/>
          </w:tcPr>
          <w:p w:rsidR="00000000" w:rsidRDefault="00240F6E">
            <w:pPr>
              <w:pStyle w:val="a3"/>
              <w:spacing w:before="0" w:beforeAutospacing="0" w:after="0" w:afterAutospacing="0"/>
              <w:rPr>
                <w:sz w:val="20"/>
                <w:szCs w:val="20"/>
              </w:rPr>
            </w:pPr>
            <w:hyperlink w:anchor="ITEM_1_FINANCIAL_STATEMENTS" w:history="1">
              <w:r>
                <w:rPr>
                  <w:rStyle w:val="a4"/>
                  <w:sz w:val="20"/>
                  <w:szCs w:val="20"/>
                </w:rPr>
                <w:t>Financial Statements</w:t>
              </w:r>
            </w:hyperlink>
          </w:p>
        </w:tc>
        <w:tc>
          <w:tcPr>
            <w:tcW w:w="51" w:type="pct"/>
            <w:hideMark/>
          </w:tcPr>
          <w:p w:rsidR="00000000" w:rsidRDefault="00240F6E">
            <w:pPr>
              <w:pStyle w:val="a3"/>
              <w:spacing w:before="0" w:beforeAutospacing="0" w:after="0" w:afterAutospacing="0"/>
              <w:rPr>
                <w:b/>
                <w:bCs/>
                <w:sz w:val="20"/>
                <w:szCs w:val="20"/>
              </w:rPr>
            </w:pPr>
            <w:r>
              <w:rPr>
                <w:b/>
                <w:bCs/>
                <w:sz w:val="20"/>
                <w:szCs w:val="20"/>
              </w:rPr>
              <w:t> </w:t>
            </w:r>
          </w:p>
        </w:tc>
        <w:tc>
          <w:tcPr>
            <w:tcW w:w="281" w:type="pct"/>
            <w:hideMark/>
          </w:tcPr>
          <w:p w:rsidR="00000000" w:rsidRDefault="00240F6E">
            <w:pPr>
              <w:pStyle w:val="a3"/>
              <w:spacing w:before="0" w:beforeAutospacing="0" w:after="0" w:afterAutospacing="0"/>
              <w:jc w:val="right"/>
              <w:rPr>
                <w:sz w:val="20"/>
                <w:szCs w:val="20"/>
              </w:rPr>
            </w:pPr>
            <w:r>
              <w:rPr>
                <w:sz w:val="20"/>
                <w:szCs w:val="20"/>
              </w:rPr>
              <w:t>1</w:t>
            </w:r>
          </w:p>
        </w:tc>
      </w:tr>
      <w:tr w:rsidR="00000000">
        <w:trPr>
          <w:divId w:val="812674100"/>
        </w:trPr>
        <w:tc>
          <w:tcPr>
            <w:tcW w:w="385" w:type="pct"/>
            <w:hideMark/>
          </w:tcPr>
          <w:p w:rsidR="00000000" w:rsidRDefault="00240F6E">
            <w:pPr>
              <w:pStyle w:val="a3"/>
              <w:spacing w:before="0" w:beforeAutospacing="0" w:after="0" w:afterAutospacing="0"/>
              <w:rPr>
                <w:sz w:val="20"/>
                <w:szCs w:val="20"/>
              </w:rPr>
            </w:pPr>
            <w:r>
              <w:rPr>
                <w:sz w:val="20"/>
                <w:szCs w:val="20"/>
              </w:rPr>
              <w:t>    a)</w:t>
            </w:r>
          </w:p>
        </w:tc>
        <w:tc>
          <w:tcPr>
            <w:tcW w:w="50" w:type="pct"/>
            <w:hideMark/>
          </w:tcPr>
          <w:p w:rsidR="00000000" w:rsidRDefault="00240F6E">
            <w:pPr>
              <w:pStyle w:val="a3"/>
              <w:spacing w:before="0" w:beforeAutospacing="0" w:after="0" w:afterAutospacing="0"/>
              <w:rPr>
                <w:b/>
                <w:bCs/>
                <w:sz w:val="20"/>
                <w:szCs w:val="20"/>
              </w:rPr>
            </w:pPr>
            <w:r>
              <w:rPr>
                <w:b/>
                <w:bCs/>
                <w:sz w:val="20"/>
                <w:szCs w:val="20"/>
              </w:rPr>
              <w:t> </w:t>
            </w:r>
          </w:p>
        </w:tc>
        <w:tc>
          <w:tcPr>
            <w:tcW w:w="4174" w:type="pct"/>
            <w:hideMark/>
          </w:tcPr>
          <w:p w:rsidR="00000000" w:rsidRDefault="00240F6E">
            <w:pPr>
              <w:pStyle w:val="a3"/>
              <w:spacing w:before="0" w:beforeAutospacing="0" w:after="0" w:afterAutospacing="0"/>
              <w:rPr>
                <w:sz w:val="20"/>
                <w:szCs w:val="20"/>
              </w:rPr>
            </w:pPr>
            <w:hyperlink w:anchor="CONSOLIDATED_BALANCE_SHEETS" w:history="1">
              <w:r>
                <w:rPr>
                  <w:rStyle w:val="a4"/>
                  <w:sz w:val="20"/>
                  <w:szCs w:val="20"/>
                </w:rPr>
                <w:t xml:space="preserve">Consolidated Balance Sheets as of </w:t>
              </w:r>
            </w:hyperlink>
            <w:r>
              <w:rPr>
                <w:sz w:val="20"/>
                <w:szCs w:val="20"/>
              </w:rPr>
              <w:t>March 31, 2019 (Unaudited) and December 31, 2018</w:t>
            </w:r>
          </w:p>
        </w:tc>
        <w:tc>
          <w:tcPr>
            <w:tcW w:w="51" w:type="pct"/>
            <w:hideMark/>
          </w:tcPr>
          <w:p w:rsidR="00000000" w:rsidRDefault="00240F6E">
            <w:pPr>
              <w:pStyle w:val="a3"/>
              <w:spacing w:before="0" w:beforeAutospacing="0" w:after="0" w:afterAutospacing="0"/>
              <w:rPr>
                <w:b/>
                <w:bCs/>
                <w:sz w:val="20"/>
                <w:szCs w:val="20"/>
              </w:rPr>
            </w:pPr>
            <w:r>
              <w:rPr>
                <w:b/>
                <w:bCs/>
                <w:sz w:val="20"/>
                <w:szCs w:val="20"/>
              </w:rPr>
              <w:t> </w:t>
            </w:r>
          </w:p>
        </w:tc>
        <w:tc>
          <w:tcPr>
            <w:tcW w:w="281" w:type="pct"/>
            <w:hideMark/>
          </w:tcPr>
          <w:p w:rsidR="00000000" w:rsidRDefault="00240F6E">
            <w:pPr>
              <w:pStyle w:val="a3"/>
              <w:spacing w:before="0" w:beforeAutospacing="0" w:after="0" w:afterAutospacing="0"/>
              <w:jc w:val="right"/>
              <w:rPr>
                <w:sz w:val="20"/>
                <w:szCs w:val="20"/>
              </w:rPr>
            </w:pPr>
            <w:r>
              <w:rPr>
                <w:sz w:val="20"/>
                <w:szCs w:val="20"/>
              </w:rPr>
              <w:t>1</w:t>
            </w:r>
          </w:p>
        </w:tc>
      </w:tr>
      <w:tr w:rsidR="00000000">
        <w:trPr>
          <w:divId w:val="812674100"/>
        </w:trPr>
        <w:tc>
          <w:tcPr>
            <w:tcW w:w="385" w:type="pct"/>
            <w:hideMark/>
          </w:tcPr>
          <w:p w:rsidR="00000000" w:rsidRDefault="00240F6E">
            <w:pPr>
              <w:pStyle w:val="a3"/>
              <w:spacing w:before="0" w:beforeAutospacing="0" w:after="0" w:afterAutospacing="0"/>
              <w:rPr>
                <w:sz w:val="20"/>
                <w:szCs w:val="20"/>
              </w:rPr>
            </w:pPr>
            <w:r>
              <w:rPr>
                <w:sz w:val="20"/>
                <w:szCs w:val="20"/>
              </w:rPr>
              <w:t>    b)</w:t>
            </w:r>
          </w:p>
        </w:tc>
        <w:tc>
          <w:tcPr>
            <w:tcW w:w="50" w:type="pct"/>
            <w:hideMark/>
          </w:tcPr>
          <w:p w:rsidR="00000000" w:rsidRDefault="00240F6E">
            <w:pPr>
              <w:pStyle w:val="a3"/>
              <w:spacing w:before="0" w:beforeAutospacing="0" w:after="0" w:afterAutospacing="0"/>
              <w:rPr>
                <w:b/>
                <w:bCs/>
                <w:sz w:val="20"/>
                <w:szCs w:val="20"/>
              </w:rPr>
            </w:pPr>
            <w:r>
              <w:rPr>
                <w:b/>
                <w:bCs/>
                <w:sz w:val="20"/>
                <w:szCs w:val="20"/>
              </w:rPr>
              <w:t> </w:t>
            </w:r>
          </w:p>
        </w:tc>
        <w:tc>
          <w:tcPr>
            <w:tcW w:w="4174" w:type="pct"/>
            <w:hideMark/>
          </w:tcPr>
          <w:p w:rsidR="00000000" w:rsidRDefault="00240F6E">
            <w:pPr>
              <w:pStyle w:val="a3"/>
              <w:spacing w:before="0" w:beforeAutospacing="0" w:after="0" w:afterAutospacing="0"/>
              <w:jc w:val="both"/>
              <w:rPr>
                <w:sz w:val="20"/>
                <w:szCs w:val="20"/>
              </w:rPr>
            </w:pPr>
            <w:hyperlink w:anchor="CONSOLIDATED_STATEMENTS_OF_OPERATIONS" w:history="1">
              <w:r>
                <w:rPr>
                  <w:rStyle w:val="a4"/>
                  <w:sz w:val="20"/>
                  <w:szCs w:val="20"/>
                </w:rPr>
                <w:t xml:space="preserve">Consolidated Statements of Operations (Unaudited) for the </w:t>
              </w:r>
            </w:hyperlink>
            <w:r>
              <w:rPr>
                <w:sz w:val="20"/>
                <w:szCs w:val="20"/>
              </w:rPr>
              <w:t>three months ended March 31, 2019 and 2018</w:t>
            </w:r>
          </w:p>
        </w:tc>
        <w:tc>
          <w:tcPr>
            <w:tcW w:w="51" w:type="pct"/>
            <w:hideMark/>
          </w:tcPr>
          <w:p w:rsidR="00000000" w:rsidRDefault="00240F6E">
            <w:pPr>
              <w:pStyle w:val="a3"/>
              <w:spacing w:before="0" w:beforeAutospacing="0" w:after="0" w:afterAutospacing="0"/>
              <w:rPr>
                <w:b/>
                <w:bCs/>
                <w:sz w:val="20"/>
                <w:szCs w:val="20"/>
              </w:rPr>
            </w:pPr>
            <w:r>
              <w:rPr>
                <w:b/>
                <w:bCs/>
                <w:sz w:val="20"/>
                <w:szCs w:val="20"/>
              </w:rPr>
              <w:t> </w:t>
            </w:r>
          </w:p>
        </w:tc>
        <w:tc>
          <w:tcPr>
            <w:tcW w:w="281" w:type="pct"/>
            <w:vAlign w:val="bottom"/>
            <w:hideMark/>
          </w:tcPr>
          <w:p w:rsidR="00000000" w:rsidRDefault="00240F6E">
            <w:pPr>
              <w:pStyle w:val="a3"/>
              <w:spacing w:before="0" w:beforeAutospacing="0" w:after="0" w:afterAutospacing="0"/>
              <w:jc w:val="right"/>
              <w:rPr>
                <w:sz w:val="20"/>
                <w:szCs w:val="20"/>
              </w:rPr>
            </w:pPr>
            <w:r>
              <w:rPr>
                <w:sz w:val="20"/>
                <w:szCs w:val="20"/>
              </w:rPr>
              <w:t>2</w:t>
            </w:r>
          </w:p>
        </w:tc>
      </w:tr>
      <w:tr w:rsidR="00000000">
        <w:trPr>
          <w:divId w:val="812674100"/>
        </w:trPr>
        <w:tc>
          <w:tcPr>
            <w:tcW w:w="385" w:type="pct"/>
            <w:hideMark/>
          </w:tcPr>
          <w:p w:rsidR="00000000" w:rsidRDefault="00240F6E">
            <w:pPr>
              <w:pStyle w:val="a3"/>
              <w:spacing w:before="0" w:beforeAutospacing="0" w:after="0" w:afterAutospacing="0"/>
              <w:rPr>
                <w:sz w:val="20"/>
                <w:szCs w:val="20"/>
              </w:rPr>
            </w:pPr>
            <w:r>
              <w:rPr>
                <w:sz w:val="20"/>
                <w:szCs w:val="20"/>
              </w:rPr>
              <w:t>    c)</w:t>
            </w:r>
          </w:p>
        </w:tc>
        <w:tc>
          <w:tcPr>
            <w:tcW w:w="50" w:type="pct"/>
            <w:hideMark/>
          </w:tcPr>
          <w:p w:rsidR="00000000" w:rsidRDefault="00240F6E">
            <w:pPr>
              <w:pStyle w:val="a3"/>
              <w:spacing w:before="0" w:beforeAutospacing="0" w:after="0" w:afterAutospacing="0"/>
              <w:rPr>
                <w:b/>
                <w:bCs/>
                <w:sz w:val="20"/>
                <w:szCs w:val="20"/>
              </w:rPr>
            </w:pPr>
            <w:r>
              <w:rPr>
                <w:b/>
                <w:bCs/>
                <w:sz w:val="20"/>
                <w:szCs w:val="20"/>
              </w:rPr>
              <w:t> </w:t>
            </w:r>
          </w:p>
        </w:tc>
        <w:tc>
          <w:tcPr>
            <w:tcW w:w="4174" w:type="pct"/>
            <w:hideMark/>
          </w:tcPr>
          <w:p w:rsidR="00000000" w:rsidRDefault="00240F6E">
            <w:pPr>
              <w:pStyle w:val="a3"/>
              <w:spacing w:before="0" w:beforeAutospacing="0" w:after="0" w:afterAutospacing="0"/>
              <w:jc w:val="both"/>
              <w:rPr>
                <w:sz w:val="20"/>
                <w:szCs w:val="20"/>
              </w:rPr>
            </w:pPr>
            <w:hyperlink w:anchor="CONSOLIDATED_STATEMENTS_CASH_FLOWS" w:history="1">
              <w:r>
                <w:rPr>
                  <w:rStyle w:val="a4"/>
                  <w:sz w:val="20"/>
                  <w:szCs w:val="20"/>
                </w:rPr>
                <w:t xml:space="preserve">Consolidated Statements </w:t>
              </w:r>
              <w:r>
                <w:rPr>
                  <w:rStyle w:val="a4"/>
                  <w:sz w:val="20"/>
                  <w:szCs w:val="20"/>
                </w:rPr>
                <w:t xml:space="preserve">of Cash Flows (Unaudited) for the </w:t>
              </w:r>
            </w:hyperlink>
            <w:r>
              <w:rPr>
                <w:sz w:val="20"/>
                <w:szCs w:val="20"/>
              </w:rPr>
              <w:t>three months ended March 31, 2019 and 2018</w:t>
            </w:r>
          </w:p>
        </w:tc>
        <w:tc>
          <w:tcPr>
            <w:tcW w:w="51" w:type="pct"/>
            <w:hideMark/>
          </w:tcPr>
          <w:p w:rsidR="00000000" w:rsidRDefault="00240F6E">
            <w:pPr>
              <w:pStyle w:val="a3"/>
              <w:spacing w:before="0" w:beforeAutospacing="0" w:after="0" w:afterAutospacing="0"/>
              <w:rPr>
                <w:b/>
                <w:bCs/>
                <w:sz w:val="20"/>
                <w:szCs w:val="20"/>
              </w:rPr>
            </w:pPr>
            <w:r>
              <w:rPr>
                <w:b/>
                <w:bCs/>
                <w:sz w:val="20"/>
                <w:szCs w:val="20"/>
              </w:rPr>
              <w:t> </w:t>
            </w:r>
          </w:p>
        </w:tc>
        <w:tc>
          <w:tcPr>
            <w:tcW w:w="281" w:type="pct"/>
            <w:hideMark/>
          </w:tcPr>
          <w:p w:rsidR="00000000" w:rsidRDefault="00240F6E">
            <w:pPr>
              <w:pStyle w:val="a3"/>
              <w:spacing w:before="0" w:beforeAutospacing="0" w:after="0" w:afterAutospacing="0"/>
              <w:jc w:val="right"/>
              <w:rPr>
                <w:sz w:val="20"/>
                <w:szCs w:val="20"/>
              </w:rPr>
            </w:pPr>
            <w:r>
              <w:rPr>
                <w:sz w:val="20"/>
                <w:szCs w:val="20"/>
              </w:rPr>
              <w:t>3</w:t>
            </w:r>
          </w:p>
        </w:tc>
      </w:tr>
      <w:tr w:rsidR="00000000">
        <w:trPr>
          <w:divId w:val="812674100"/>
        </w:trPr>
        <w:tc>
          <w:tcPr>
            <w:tcW w:w="385" w:type="pct"/>
            <w:hideMark/>
          </w:tcPr>
          <w:p w:rsidR="00000000" w:rsidRDefault="00240F6E">
            <w:pPr>
              <w:pStyle w:val="a3"/>
              <w:spacing w:before="0" w:beforeAutospacing="0" w:after="0" w:afterAutospacing="0"/>
              <w:rPr>
                <w:sz w:val="20"/>
                <w:szCs w:val="20"/>
              </w:rPr>
            </w:pPr>
            <w:r>
              <w:rPr>
                <w:sz w:val="20"/>
                <w:szCs w:val="20"/>
              </w:rPr>
              <w:t>    d)</w:t>
            </w:r>
          </w:p>
        </w:tc>
        <w:tc>
          <w:tcPr>
            <w:tcW w:w="50" w:type="pct"/>
            <w:hideMark/>
          </w:tcPr>
          <w:p w:rsidR="00000000" w:rsidRDefault="00240F6E">
            <w:pPr>
              <w:pStyle w:val="a3"/>
              <w:spacing w:before="0" w:beforeAutospacing="0" w:after="0" w:afterAutospacing="0"/>
              <w:rPr>
                <w:b/>
                <w:bCs/>
                <w:sz w:val="20"/>
                <w:szCs w:val="20"/>
              </w:rPr>
            </w:pPr>
            <w:r>
              <w:rPr>
                <w:b/>
                <w:bCs/>
                <w:sz w:val="20"/>
                <w:szCs w:val="20"/>
              </w:rPr>
              <w:t> </w:t>
            </w:r>
          </w:p>
        </w:tc>
        <w:tc>
          <w:tcPr>
            <w:tcW w:w="4174" w:type="pct"/>
            <w:hideMark/>
          </w:tcPr>
          <w:p w:rsidR="00000000" w:rsidRDefault="00240F6E">
            <w:pPr>
              <w:pStyle w:val="a3"/>
              <w:spacing w:before="0" w:beforeAutospacing="0" w:after="0" w:afterAutospacing="0"/>
              <w:jc w:val="both"/>
              <w:rPr>
                <w:sz w:val="20"/>
                <w:szCs w:val="20"/>
              </w:rPr>
            </w:pPr>
            <w:hyperlink w:anchor="STATEMENT_OF_STOCKHOLDERS_EQUITY" w:history="1">
              <w:r>
                <w:rPr>
                  <w:rStyle w:val="a4"/>
                  <w:sz w:val="20"/>
                  <w:szCs w:val="20"/>
                </w:rPr>
                <w:t xml:space="preserve">Consolidated Statement of Stockholders' Equity (Unaudited) for the quarterly period ended </w:t>
              </w:r>
            </w:hyperlink>
            <w:r>
              <w:rPr>
                <w:sz w:val="20"/>
                <w:szCs w:val="20"/>
              </w:rPr>
              <w:t>March 31, 2019</w:t>
            </w:r>
          </w:p>
        </w:tc>
        <w:tc>
          <w:tcPr>
            <w:tcW w:w="51" w:type="pct"/>
            <w:hideMark/>
          </w:tcPr>
          <w:p w:rsidR="00000000" w:rsidRDefault="00240F6E">
            <w:pPr>
              <w:pStyle w:val="a3"/>
              <w:spacing w:before="0" w:beforeAutospacing="0" w:after="0" w:afterAutospacing="0"/>
              <w:rPr>
                <w:b/>
                <w:bCs/>
                <w:sz w:val="20"/>
                <w:szCs w:val="20"/>
              </w:rPr>
            </w:pPr>
            <w:r>
              <w:rPr>
                <w:b/>
                <w:bCs/>
                <w:sz w:val="20"/>
                <w:szCs w:val="20"/>
              </w:rPr>
              <w:t> </w:t>
            </w:r>
          </w:p>
        </w:tc>
        <w:tc>
          <w:tcPr>
            <w:tcW w:w="281" w:type="pct"/>
            <w:hideMark/>
          </w:tcPr>
          <w:p w:rsidR="00000000" w:rsidRDefault="00240F6E">
            <w:pPr>
              <w:pStyle w:val="a3"/>
              <w:spacing w:before="0" w:beforeAutospacing="0" w:after="0" w:afterAutospacing="0"/>
              <w:jc w:val="right"/>
              <w:rPr>
                <w:sz w:val="20"/>
                <w:szCs w:val="20"/>
              </w:rPr>
            </w:pPr>
            <w:r>
              <w:rPr>
                <w:sz w:val="20"/>
                <w:szCs w:val="20"/>
              </w:rPr>
              <w:t>4</w:t>
            </w:r>
          </w:p>
        </w:tc>
      </w:tr>
      <w:tr w:rsidR="00000000">
        <w:trPr>
          <w:divId w:val="812674100"/>
        </w:trPr>
        <w:tc>
          <w:tcPr>
            <w:tcW w:w="385" w:type="pct"/>
            <w:hideMark/>
          </w:tcPr>
          <w:p w:rsidR="00000000" w:rsidRDefault="00240F6E">
            <w:pPr>
              <w:pStyle w:val="a3"/>
              <w:spacing w:before="0" w:beforeAutospacing="0" w:after="0" w:afterAutospacing="0"/>
              <w:rPr>
                <w:sz w:val="20"/>
                <w:szCs w:val="20"/>
              </w:rPr>
            </w:pPr>
            <w:r>
              <w:rPr>
                <w:sz w:val="20"/>
                <w:szCs w:val="20"/>
              </w:rPr>
              <w:t>    e)</w:t>
            </w:r>
          </w:p>
        </w:tc>
        <w:tc>
          <w:tcPr>
            <w:tcW w:w="50" w:type="pct"/>
            <w:hideMark/>
          </w:tcPr>
          <w:p w:rsidR="00000000" w:rsidRDefault="00240F6E">
            <w:pPr>
              <w:pStyle w:val="a3"/>
              <w:spacing w:before="0" w:beforeAutospacing="0" w:after="0" w:afterAutospacing="0"/>
              <w:rPr>
                <w:b/>
                <w:bCs/>
                <w:sz w:val="20"/>
                <w:szCs w:val="20"/>
              </w:rPr>
            </w:pPr>
            <w:r>
              <w:rPr>
                <w:b/>
                <w:bCs/>
                <w:sz w:val="20"/>
                <w:szCs w:val="20"/>
              </w:rPr>
              <w:t> </w:t>
            </w:r>
          </w:p>
        </w:tc>
        <w:tc>
          <w:tcPr>
            <w:tcW w:w="4174" w:type="pct"/>
            <w:hideMark/>
          </w:tcPr>
          <w:p w:rsidR="00000000" w:rsidRDefault="00240F6E">
            <w:pPr>
              <w:pStyle w:val="a3"/>
              <w:spacing w:before="0" w:beforeAutospacing="0" w:after="0" w:afterAutospacing="0"/>
              <w:jc w:val="both"/>
              <w:rPr>
                <w:sz w:val="20"/>
                <w:szCs w:val="20"/>
              </w:rPr>
            </w:pPr>
            <w:hyperlink w:anchor="STATEMENT_OF_STOCKHOLDERS_EQUITY_2" w:history="1">
              <w:r>
                <w:rPr>
                  <w:rStyle w:val="a4"/>
                  <w:sz w:val="20"/>
                  <w:szCs w:val="20"/>
                </w:rPr>
                <w:t xml:space="preserve">Consolidated Statement of Stockholders' Equity (Unaudited) for the quarterly period ended </w:t>
              </w:r>
            </w:hyperlink>
            <w:r>
              <w:rPr>
                <w:sz w:val="20"/>
                <w:szCs w:val="20"/>
              </w:rPr>
              <w:t>March 31, 2018</w:t>
            </w:r>
          </w:p>
        </w:tc>
        <w:tc>
          <w:tcPr>
            <w:tcW w:w="51" w:type="pct"/>
            <w:hideMark/>
          </w:tcPr>
          <w:p w:rsidR="00000000" w:rsidRDefault="00240F6E">
            <w:pPr>
              <w:pStyle w:val="a3"/>
              <w:spacing w:before="0" w:beforeAutospacing="0" w:after="0" w:afterAutospacing="0"/>
              <w:rPr>
                <w:b/>
                <w:bCs/>
                <w:sz w:val="20"/>
                <w:szCs w:val="20"/>
              </w:rPr>
            </w:pPr>
            <w:r>
              <w:rPr>
                <w:b/>
                <w:bCs/>
                <w:sz w:val="20"/>
                <w:szCs w:val="20"/>
              </w:rPr>
              <w:t> </w:t>
            </w:r>
          </w:p>
        </w:tc>
        <w:tc>
          <w:tcPr>
            <w:tcW w:w="281" w:type="pct"/>
            <w:hideMark/>
          </w:tcPr>
          <w:p w:rsidR="00000000" w:rsidRDefault="00240F6E">
            <w:pPr>
              <w:pStyle w:val="a3"/>
              <w:spacing w:before="0" w:beforeAutospacing="0" w:after="0" w:afterAutospacing="0"/>
              <w:jc w:val="right"/>
              <w:rPr>
                <w:sz w:val="20"/>
                <w:szCs w:val="20"/>
              </w:rPr>
            </w:pPr>
            <w:r>
              <w:rPr>
                <w:sz w:val="20"/>
                <w:szCs w:val="20"/>
              </w:rPr>
              <w:t>5</w:t>
            </w:r>
          </w:p>
        </w:tc>
      </w:tr>
      <w:tr w:rsidR="00000000">
        <w:trPr>
          <w:divId w:val="812674100"/>
        </w:trPr>
        <w:tc>
          <w:tcPr>
            <w:tcW w:w="385" w:type="pct"/>
            <w:hideMark/>
          </w:tcPr>
          <w:p w:rsidR="00000000" w:rsidRDefault="00240F6E">
            <w:pPr>
              <w:pStyle w:val="a3"/>
              <w:spacing w:before="0" w:beforeAutospacing="0" w:after="0" w:afterAutospacing="0"/>
              <w:rPr>
                <w:sz w:val="20"/>
                <w:szCs w:val="20"/>
              </w:rPr>
            </w:pPr>
            <w:r>
              <w:rPr>
                <w:sz w:val="20"/>
                <w:szCs w:val="20"/>
              </w:rPr>
              <w:t>    f)</w:t>
            </w:r>
          </w:p>
        </w:tc>
        <w:tc>
          <w:tcPr>
            <w:tcW w:w="50" w:type="pct"/>
            <w:hideMark/>
          </w:tcPr>
          <w:p w:rsidR="00000000" w:rsidRDefault="00240F6E">
            <w:pPr>
              <w:pStyle w:val="a3"/>
              <w:spacing w:before="0" w:beforeAutospacing="0" w:after="0" w:afterAutospacing="0"/>
              <w:rPr>
                <w:b/>
                <w:bCs/>
                <w:sz w:val="20"/>
                <w:szCs w:val="20"/>
              </w:rPr>
            </w:pPr>
            <w:r>
              <w:rPr>
                <w:b/>
                <w:bCs/>
                <w:sz w:val="20"/>
                <w:szCs w:val="20"/>
              </w:rPr>
              <w:t> </w:t>
            </w:r>
          </w:p>
        </w:tc>
        <w:tc>
          <w:tcPr>
            <w:tcW w:w="4174" w:type="pct"/>
            <w:hideMark/>
          </w:tcPr>
          <w:p w:rsidR="00000000" w:rsidRDefault="00240F6E">
            <w:pPr>
              <w:pStyle w:val="a3"/>
              <w:spacing w:before="0" w:beforeAutospacing="0" w:after="0" w:afterAutospacing="0"/>
              <w:rPr>
                <w:sz w:val="20"/>
                <w:szCs w:val="20"/>
              </w:rPr>
            </w:pPr>
            <w:hyperlink w:anchor="NOTES_TO_CONSOLIDATED_FINANCIAL_STATEME" w:history="1">
              <w:r>
                <w:rPr>
                  <w:rStyle w:val="a4"/>
                  <w:sz w:val="20"/>
                  <w:szCs w:val="20"/>
                </w:rPr>
                <w:t>Notes to Consolidated Financial Statements (Unaudited)</w:t>
              </w:r>
            </w:hyperlink>
          </w:p>
        </w:tc>
        <w:tc>
          <w:tcPr>
            <w:tcW w:w="51" w:type="pct"/>
            <w:hideMark/>
          </w:tcPr>
          <w:p w:rsidR="00000000" w:rsidRDefault="00240F6E">
            <w:pPr>
              <w:pStyle w:val="a3"/>
              <w:spacing w:before="0" w:beforeAutospacing="0" w:after="0" w:afterAutospacing="0"/>
              <w:rPr>
                <w:b/>
                <w:bCs/>
                <w:sz w:val="20"/>
                <w:szCs w:val="20"/>
              </w:rPr>
            </w:pPr>
            <w:r>
              <w:rPr>
                <w:b/>
                <w:bCs/>
                <w:sz w:val="20"/>
                <w:szCs w:val="20"/>
              </w:rPr>
              <w:t> </w:t>
            </w:r>
          </w:p>
        </w:tc>
        <w:tc>
          <w:tcPr>
            <w:tcW w:w="281" w:type="pct"/>
            <w:hideMark/>
          </w:tcPr>
          <w:p w:rsidR="00000000" w:rsidRDefault="00240F6E">
            <w:pPr>
              <w:pStyle w:val="a3"/>
              <w:spacing w:before="0" w:beforeAutospacing="0" w:after="0" w:afterAutospacing="0"/>
              <w:jc w:val="right"/>
              <w:rPr>
                <w:sz w:val="20"/>
                <w:szCs w:val="20"/>
              </w:rPr>
            </w:pPr>
            <w:r>
              <w:rPr>
                <w:sz w:val="20"/>
                <w:szCs w:val="20"/>
              </w:rPr>
              <w:t>6</w:t>
            </w:r>
          </w:p>
        </w:tc>
      </w:tr>
      <w:tr w:rsidR="00000000">
        <w:trPr>
          <w:divId w:val="812674100"/>
        </w:trPr>
        <w:tc>
          <w:tcPr>
            <w:tcW w:w="385" w:type="pct"/>
            <w:hideMark/>
          </w:tcPr>
          <w:p w:rsidR="00000000" w:rsidRDefault="00240F6E">
            <w:pPr>
              <w:pStyle w:val="a3"/>
              <w:spacing w:before="0" w:beforeAutospacing="0" w:after="0" w:afterAutospacing="0"/>
              <w:rPr>
                <w:sz w:val="20"/>
                <w:szCs w:val="20"/>
              </w:rPr>
            </w:pPr>
            <w:r>
              <w:rPr>
                <w:sz w:val="20"/>
                <w:szCs w:val="20"/>
              </w:rPr>
              <w:t>Item 2.</w:t>
            </w:r>
          </w:p>
        </w:tc>
        <w:tc>
          <w:tcPr>
            <w:tcW w:w="50" w:type="pct"/>
            <w:hideMark/>
          </w:tcPr>
          <w:p w:rsidR="00000000" w:rsidRDefault="00240F6E">
            <w:pPr>
              <w:pStyle w:val="a3"/>
              <w:spacing w:before="0" w:beforeAutospacing="0" w:after="0" w:afterAutospacing="0"/>
              <w:rPr>
                <w:b/>
                <w:bCs/>
                <w:sz w:val="20"/>
                <w:szCs w:val="20"/>
              </w:rPr>
            </w:pPr>
            <w:r>
              <w:rPr>
                <w:b/>
                <w:bCs/>
                <w:sz w:val="20"/>
                <w:szCs w:val="20"/>
              </w:rPr>
              <w:t> </w:t>
            </w:r>
          </w:p>
        </w:tc>
        <w:tc>
          <w:tcPr>
            <w:tcW w:w="4174" w:type="pct"/>
            <w:hideMark/>
          </w:tcPr>
          <w:p w:rsidR="00000000" w:rsidRDefault="00240F6E">
            <w:pPr>
              <w:pStyle w:val="a3"/>
              <w:spacing w:before="0" w:beforeAutospacing="0" w:after="0" w:afterAutospacing="0"/>
              <w:jc w:val="both"/>
              <w:rPr>
                <w:sz w:val="20"/>
                <w:szCs w:val="20"/>
              </w:rPr>
            </w:pPr>
            <w:hyperlink w:anchor="ITEM_2_MANAGEMENTS_DISCUSSION_AND_ANAL" w:history="1">
              <w:r>
                <w:rPr>
                  <w:rStyle w:val="a4"/>
                  <w:sz w:val="20"/>
                  <w:szCs w:val="20"/>
                </w:rPr>
                <w:t>Management's Discussion and Analysis of Financial Condition and</w:t>
              </w:r>
              <w:r>
                <w:rPr>
                  <w:rStyle w:val="a4"/>
                  <w:sz w:val="20"/>
                  <w:szCs w:val="20"/>
                </w:rPr>
                <w:t xml:space="preserve"> Results of Operations</w:t>
              </w:r>
            </w:hyperlink>
          </w:p>
        </w:tc>
        <w:tc>
          <w:tcPr>
            <w:tcW w:w="51" w:type="pct"/>
            <w:hideMark/>
          </w:tcPr>
          <w:p w:rsidR="00000000" w:rsidRDefault="00240F6E">
            <w:pPr>
              <w:pStyle w:val="a3"/>
              <w:spacing w:before="0" w:beforeAutospacing="0" w:after="0" w:afterAutospacing="0"/>
              <w:rPr>
                <w:b/>
                <w:bCs/>
                <w:sz w:val="20"/>
                <w:szCs w:val="20"/>
              </w:rPr>
            </w:pPr>
            <w:r>
              <w:rPr>
                <w:b/>
                <w:bCs/>
                <w:sz w:val="20"/>
                <w:szCs w:val="20"/>
              </w:rPr>
              <w:t> </w:t>
            </w:r>
          </w:p>
        </w:tc>
        <w:tc>
          <w:tcPr>
            <w:tcW w:w="281" w:type="pct"/>
            <w:hideMark/>
          </w:tcPr>
          <w:p w:rsidR="00000000" w:rsidRDefault="00240F6E">
            <w:pPr>
              <w:pStyle w:val="a3"/>
              <w:spacing w:before="0" w:beforeAutospacing="0" w:after="0" w:afterAutospacing="0"/>
              <w:jc w:val="right"/>
              <w:rPr>
                <w:sz w:val="20"/>
                <w:szCs w:val="20"/>
              </w:rPr>
            </w:pPr>
            <w:r>
              <w:rPr>
                <w:sz w:val="20"/>
                <w:szCs w:val="20"/>
              </w:rPr>
              <w:t>24</w:t>
            </w:r>
          </w:p>
        </w:tc>
      </w:tr>
      <w:tr w:rsidR="00000000">
        <w:trPr>
          <w:divId w:val="812674100"/>
        </w:trPr>
        <w:tc>
          <w:tcPr>
            <w:tcW w:w="385" w:type="pct"/>
            <w:hideMark/>
          </w:tcPr>
          <w:p w:rsidR="00000000" w:rsidRDefault="00240F6E">
            <w:pPr>
              <w:pStyle w:val="a3"/>
              <w:spacing w:before="0" w:beforeAutospacing="0" w:after="0" w:afterAutospacing="0"/>
              <w:rPr>
                <w:sz w:val="20"/>
                <w:szCs w:val="20"/>
              </w:rPr>
            </w:pPr>
            <w:r>
              <w:rPr>
                <w:sz w:val="20"/>
                <w:szCs w:val="20"/>
              </w:rPr>
              <w:t>Item 3.</w:t>
            </w:r>
          </w:p>
        </w:tc>
        <w:tc>
          <w:tcPr>
            <w:tcW w:w="50" w:type="pct"/>
            <w:hideMark/>
          </w:tcPr>
          <w:p w:rsidR="00000000" w:rsidRDefault="00240F6E">
            <w:pPr>
              <w:pStyle w:val="a3"/>
              <w:spacing w:before="0" w:beforeAutospacing="0" w:after="0" w:afterAutospacing="0"/>
              <w:rPr>
                <w:b/>
                <w:bCs/>
                <w:sz w:val="20"/>
                <w:szCs w:val="20"/>
              </w:rPr>
            </w:pPr>
            <w:r>
              <w:rPr>
                <w:b/>
                <w:bCs/>
                <w:sz w:val="20"/>
                <w:szCs w:val="20"/>
              </w:rPr>
              <w:t> </w:t>
            </w:r>
          </w:p>
        </w:tc>
        <w:tc>
          <w:tcPr>
            <w:tcW w:w="4174" w:type="pct"/>
            <w:hideMark/>
          </w:tcPr>
          <w:p w:rsidR="00000000" w:rsidRDefault="00240F6E">
            <w:pPr>
              <w:pStyle w:val="a3"/>
              <w:spacing w:before="0" w:beforeAutospacing="0" w:after="0" w:afterAutospacing="0"/>
              <w:rPr>
                <w:sz w:val="20"/>
                <w:szCs w:val="20"/>
              </w:rPr>
            </w:pPr>
            <w:hyperlink w:anchor="ITEM_3_QUANTITATIVE_AND_QUALITATIVE_DIS" w:history="1">
              <w:r>
                <w:rPr>
                  <w:rStyle w:val="a4"/>
                  <w:sz w:val="20"/>
                  <w:szCs w:val="20"/>
                </w:rPr>
                <w:t>Quantitative and Qualitative Disclosures About Market Risk</w:t>
              </w:r>
            </w:hyperlink>
          </w:p>
        </w:tc>
        <w:tc>
          <w:tcPr>
            <w:tcW w:w="51" w:type="pct"/>
            <w:hideMark/>
          </w:tcPr>
          <w:p w:rsidR="00000000" w:rsidRDefault="00240F6E">
            <w:pPr>
              <w:pStyle w:val="a3"/>
              <w:spacing w:before="0" w:beforeAutospacing="0" w:after="0" w:afterAutospacing="0"/>
              <w:rPr>
                <w:b/>
                <w:bCs/>
                <w:sz w:val="20"/>
                <w:szCs w:val="20"/>
              </w:rPr>
            </w:pPr>
            <w:r>
              <w:rPr>
                <w:b/>
                <w:bCs/>
                <w:sz w:val="20"/>
                <w:szCs w:val="20"/>
              </w:rPr>
              <w:t> </w:t>
            </w:r>
          </w:p>
        </w:tc>
        <w:tc>
          <w:tcPr>
            <w:tcW w:w="281" w:type="pct"/>
            <w:hideMark/>
          </w:tcPr>
          <w:p w:rsidR="00000000" w:rsidRDefault="00240F6E">
            <w:pPr>
              <w:pStyle w:val="a3"/>
              <w:spacing w:before="0" w:beforeAutospacing="0" w:after="0" w:afterAutospacing="0"/>
              <w:jc w:val="right"/>
              <w:rPr>
                <w:sz w:val="20"/>
                <w:szCs w:val="20"/>
              </w:rPr>
            </w:pPr>
            <w:r>
              <w:rPr>
                <w:sz w:val="20"/>
                <w:szCs w:val="20"/>
              </w:rPr>
              <w:t>40</w:t>
            </w:r>
          </w:p>
        </w:tc>
      </w:tr>
      <w:tr w:rsidR="00000000">
        <w:trPr>
          <w:divId w:val="812674100"/>
        </w:trPr>
        <w:tc>
          <w:tcPr>
            <w:tcW w:w="385" w:type="pct"/>
            <w:hideMark/>
          </w:tcPr>
          <w:p w:rsidR="00000000" w:rsidRDefault="00240F6E">
            <w:pPr>
              <w:pStyle w:val="a3"/>
              <w:spacing w:before="0" w:beforeAutospacing="0" w:after="0" w:afterAutospacing="0"/>
              <w:rPr>
                <w:sz w:val="20"/>
                <w:szCs w:val="20"/>
              </w:rPr>
            </w:pPr>
            <w:r>
              <w:rPr>
                <w:sz w:val="20"/>
                <w:szCs w:val="20"/>
              </w:rPr>
              <w:t>Item 4.</w:t>
            </w:r>
          </w:p>
        </w:tc>
        <w:tc>
          <w:tcPr>
            <w:tcW w:w="50" w:type="pct"/>
            <w:hideMark/>
          </w:tcPr>
          <w:p w:rsidR="00000000" w:rsidRDefault="00240F6E">
            <w:pPr>
              <w:pStyle w:val="a3"/>
              <w:spacing w:before="0" w:beforeAutospacing="0" w:after="0" w:afterAutospacing="0"/>
              <w:rPr>
                <w:b/>
                <w:bCs/>
                <w:sz w:val="20"/>
                <w:szCs w:val="20"/>
              </w:rPr>
            </w:pPr>
            <w:r>
              <w:rPr>
                <w:b/>
                <w:bCs/>
                <w:sz w:val="20"/>
                <w:szCs w:val="20"/>
              </w:rPr>
              <w:t> </w:t>
            </w:r>
          </w:p>
        </w:tc>
        <w:tc>
          <w:tcPr>
            <w:tcW w:w="4174" w:type="pct"/>
            <w:hideMark/>
          </w:tcPr>
          <w:p w:rsidR="00000000" w:rsidRDefault="00240F6E">
            <w:pPr>
              <w:pStyle w:val="a3"/>
              <w:spacing w:before="0" w:beforeAutospacing="0" w:after="0" w:afterAutospacing="0"/>
              <w:rPr>
                <w:sz w:val="20"/>
                <w:szCs w:val="20"/>
              </w:rPr>
            </w:pPr>
            <w:hyperlink w:anchor="ITEM_4_CONTROLS_AND_PROCEDURES" w:history="1">
              <w:r>
                <w:rPr>
                  <w:rStyle w:val="a4"/>
                  <w:sz w:val="20"/>
                  <w:szCs w:val="20"/>
                </w:rPr>
                <w:t>Controls and Procedures</w:t>
              </w:r>
            </w:hyperlink>
          </w:p>
        </w:tc>
        <w:tc>
          <w:tcPr>
            <w:tcW w:w="51" w:type="pct"/>
            <w:hideMark/>
          </w:tcPr>
          <w:p w:rsidR="00000000" w:rsidRDefault="00240F6E">
            <w:pPr>
              <w:pStyle w:val="a3"/>
              <w:spacing w:before="0" w:beforeAutospacing="0" w:after="0" w:afterAutospacing="0"/>
              <w:rPr>
                <w:b/>
                <w:bCs/>
                <w:sz w:val="20"/>
                <w:szCs w:val="20"/>
              </w:rPr>
            </w:pPr>
            <w:r>
              <w:rPr>
                <w:b/>
                <w:bCs/>
                <w:sz w:val="20"/>
                <w:szCs w:val="20"/>
              </w:rPr>
              <w:t> </w:t>
            </w:r>
          </w:p>
        </w:tc>
        <w:tc>
          <w:tcPr>
            <w:tcW w:w="281" w:type="pct"/>
            <w:hideMark/>
          </w:tcPr>
          <w:p w:rsidR="00000000" w:rsidRDefault="00240F6E">
            <w:pPr>
              <w:pStyle w:val="a3"/>
              <w:spacing w:before="0" w:beforeAutospacing="0" w:after="0" w:afterAutospacing="0"/>
              <w:jc w:val="right"/>
              <w:rPr>
                <w:sz w:val="20"/>
                <w:szCs w:val="20"/>
              </w:rPr>
            </w:pPr>
            <w:r>
              <w:rPr>
                <w:sz w:val="20"/>
                <w:szCs w:val="20"/>
              </w:rPr>
              <w:t>40</w:t>
            </w:r>
          </w:p>
        </w:tc>
      </w:tr>
      <w:tr w:rsidR="00000000">
        <w:trPr>
          <w:divId w:val="812674100"/>
        </w:trPr>
        <w:tc>
          <w:tcPr>
            <w:tcW w:w="385" w:type="pct"/>
            <w:hideMark/>
          </w:tcPr>
          <w:p w:rsidR="00000000" w:rsidRDefault="00240F6E">
            <w:pPr>
              <w:pStyle w:val="a3"/>
              <w:spacing w:before="0" w:beforeAutospacing="0" w:after="0" w:afterAutospacing="0"/>
              <w:rPr>
                <w:b/>
                <w:bCs/>
                <w:sz w:val="12"/>
                <w:szCs w:val="12"/>
              </w:rPr>
            </w:pPr>
            <w:r>
              <w:rPr>
                <w:b/>
                <w:bCs/>
                <w:sz w:val="12"/>
                <w:szCs w:val="12"/>
              </w:rPr>
              <w:t> </w:t>
            </w:r>
          </w:p>
        </w:tc>
        <w:tc>
          <w:tcPr>
            <w:tcW w:w="50" w:type="pct"/>
            <w:hideMark/>
          </w:tcPr>
          <w:p w:rsidR="00000000" w:rsidRDefault="00240F6E">
            <w:pPr>
              <w:pStyle w:val="a3"/>
              <w:spacing w:before="0" w:beforeAutospacing="0" w:after="0" w:afterAutospacing="0"/>
              <w:rPr>
                <w:b/>
                <w:bCs/>
                <w:sz w:val="12"/>
                <w:szCs w:val="12"/>
              </w:rPr>
            </w:pPr>
            <w:r>
              <w:rPr>
                <w:b/>
                <w:bCs/>
                <w:sz w:val="12"/>
                <w:szCs w:val="12"/>
              </w:rPr>
              <w:t> </w:t>
            </w:r>
          </w:p>
        </w:tc>
        <w:tc>
          <w:tcPr>
            <w:tcW w:w="4174" w:type="pct"/>
            <w:hideMark/>
          </w:tcPr>
          <w:p w:rsidR="00000000" w:rsidRDefault="00240F6E">
            <w:pPr>
              <w:pStyle w:val="a3"/>
              <w:spacing w:before="0" w:beforeAutospacing="0" w:after="0" w:afterAutospacing="0"/>
              <w:rPr>
                <w:b/>
                <w:bCs/>
                <w:sz w:val="12"/>
                <w:szCs w:val="12"/>
              </w:rPr>
            </w:pPr>
            <w:r>
              <w:rPr>
                <w:b/>
                <w:bCs/>
                <w:sz w:val="12"/>
                <w:szCs w:val="12"/>
              </w:rPr>
              <w:t> </w:t>
            </w:r>
          </w:p>
        </w:tc>
        <w:tc>
          <w:tcPr>
            <w:tcW w:w="51" w:type="pct"/>
            <w:hideMark/>
          </w:tcPr>
          <w:p w:rsidR="00000000" w:rsidRDefault="00240F6E">
            <w:pPr>
              <w:pStyle w:val="a3"/>
              <w:spacing w:before="0" w:beforeAutospacing="0" w:after="0" w:afterAutospacing="0"/>
              <w:rPr>
                <w:b/>
                <w:bCs/>
                <w:sz w:val="12"/>
                <w:szCs w:val="12"/>
              </w:rPr>
            </w:pPr>
            <w:r>
              <w:rPr>
                <w:b/>
                <w:bCs/>
                <w:sz w:val="12"/>
                <w:szCs w:val="12"/>
              </w:rPr>
              <w:t> </w:t>
            </w:r>
          </w:p>
        </w:tc>
        <w:tc>
          <w:tcPr>
            <w:tcW w:w="281" w:type="pct"/>
            <w:hideMark/>
          </w:tcPr>
          <w:p w:rsidR="00000000" w:rsidRDefault="00240F6E">
            <w:pPr>
              <w:pStyle w:val="a3"/>
              <w:spacing w:before="0" w:beforeAutospacing="0" w:after="0" w:afterAutospacing="0"/>
              <w:jc w:val="right"/>
              <w:rPr>
                <w:sz w:val="12"/>
                <w:szCs w:val="12"/>
              </w:rPr>
            </w:pPr>
            <w:r>
              <w:rPr>
                <w:sz w:val="12"/>
                <w:szCs w:val="12"/>
              </w:rPr>
              <w:t> </w:t>
            </w:r>
          </w:p>
        </w:tc>
      </w:tr>
      <w:tr w:rsidR="00000000">
        <w:trPr>
          <w:divId w:val="812674100"/>
        </w:trPr>
        <w:tc>
          <w:tcPr>
            <w:tcW w:w="50" w:type="pct"/>
            <w:gridSpan w:val="3"/>
            <w:hideMark/>
          </w:tcPr>
          <w:p w:rsidR="00000000" w:rsidRDefault="00240F6E">
            <w:pPr>
              <w:pStyle w:val="a3"/>
              <w:spacing w:before="0" w:beforeAutospacing="0" w:after="0" w:afterAutospacing="0"/>
              <w:rPr>
                <w:b/>
                <w:bCs/>
                <w:sz w:val="20"/>
                <w:szCs w:val="20"/>
              </w:rPr>
            </w:pPr>
            <w:hyperlink w:anchor="PART_II_OR_INFORMATION" w:history="1">
              <w:r>
                <w:rPr>
                  <w:rStyle w:val="a4"/>
                  <w:b/>
                  <w:bCs/>
                  <w:sz w:val="20"/>
                  <w:szCs w:val="20"/>
                </w:rPr>
                <w:t>PART II – OTHER INFORMATION</w:t>
              </w:r>
            </w:hyperlink>
          </w:p>
        </w:tc>
        <w:tc>
          <w:tcPr>
            <w:tcW w:w="51" w:type="pct"/>
            <w:hideMark/>
          </w:tcPr>
          <w:p w:rsidR="00000000" w:rsidRDefault="00240F6E">
            <w:pPr>
              <w:pStyle w:val="a3"/>
              <w:spacing w:before="0" w:beforeAutospacing="0" w:after="0" w:afterAutospacing="0"/>
              <w:rPr>
                <w:b/>
                <w:bCs/>
                <w:sz w:val="20"/>
                <w:szCs w:val="20"/>
              </w:rPr>
            </w:pPr>
            <w:r>
              <w:rPr>
                <w:b/>
                <w:bCs/>
                <w:sz w:val="20"/>
                <w:szCs w:val="20"/>
              </w:rPr>
              <w:t> </w:t>
            </w:r>
          </w:p>
        </w:tc>
        <w:tc>
          <w:tcPr>
            <w:tcW w:w="281" w:type="pct"/>
            <w:hideMark/>
          </w:tcPr>
          <w:p w:rsidR="00000000" w:rsidRDefault="00240F6E">
            <w:pPr>
              <w:pStyle w:val="a3"/>
              <w:spacing w:before="0" w:beforeAutospacing="0" w:after="0" w:afterAutospacing="0"/>
              <w:jc w:val="right"/>
              <w:rPr>
                <w:sz w:val="20"/>
                <w:szCs w:val="20"/>
              </w:rPr>
            </w:pPr>
            <w:r>
              <w:rPr>
                <w:sz w:val="20"/>
                <w:szCs w:val="20"/>
              </w:rPr>
              <w:t> </w:t>
            </w:r>
          </w:p>
        </w:tc>
      </w:tr>
      <w:tr w:rsidR="00000000">
        <w:trPr>
          <w:divId w:val="812674100"/>
        </w:trPr>
        <w:tc>
          <w:tcPr>
            <w:tcW w:w="385" w:type="pct"/>
            <w:hideMark/>
          </w:tcPr>
          <w:p w:rsidR="00000000" w:rsidRDefault="00240F6E">
            <w:pPr>
              <w:pStyle w:val="a3"/>
              <w:spacing w:before="0" w:beforeAutospacing="0" w:after="0" w:afterAutospacing="0"/>
              <w:rPr>
                <w:b/>
                <w:bCs/>
                <w:sz w:val="12"/>
                <w:szCs w:val="12"/>
              </w:rPr>
            </w:pPr>
            <w:r>
              <w:rPr>
                <w:b/>
                <w:bCs/>
                <w:sz w:val="12"/>
                <w:szCs w:val="12"/>
              </w:rPr>
              <w:t> </w:t>
            </w:r>
          </w:p>
        </w:tc>
        <w:tc>
          <w:tcPr>
            <w:tcW w:w="50" w:type="pct"/>
            <w:hideMark/>
          </w:tcPr>
          <w:p w:rsidR="00000000" w:rsidRDefault="00240F6E">
            <w:pPr>
              <w:pStyle w:val="a3"/>
              <w:spacing w:before="0" w:beforeAutospacing="0" w:after="0" w:afterAutospacing="0"/>
              <w:rPr>
                <w:b/>
                <w:bCs/>
                <w:sz w:val="12"/>
                <w:szCs w:val="12"/>
              </w:rPr>
            </w:pPr>
            <w:r>
              <w:rPr>
                <w:b/>
                <w:bCs/>
                <w:sz w:val="12"/>
                <w:szCs w:val="12"/>
              </w:rPr>
              <w:t> </w:t>
            </w:r>
          </w:p>
        </w:tc>
        <w:tc>
          <w:tcPr>
            <w:tcW w:w="4174" w:type="pct"/>
            <w:hideMark/>
          </w:tcPr>
          <w:p w:rsidR="00000000" w:rsidRDefault="00240F6E">
            <w:pPr>
              <w:pStyle w:val="a3"/>
              <w:spacing w:before="0" w:beforeAutospacing="0" w:after="0" w:afterAutospacing="0"/>
              <w:rPr>
                <w:b/>
                <w:bCs/>
                <w:sz w:val="12"/>
                <w:szCs w:val="12"/>
              </w:rPr>
            </w:pPr>
            <w:r>
              <w:rPr>
                <w:b/>
                <w:bCs/>
                <w:sz w:val="12"/>
                <w:szCs w:val="12"/>
              </w:rPr>
              <w:t> </w:t>
            </w:r>
          </w:p>
        </w:tc>
        <w:tc>
          <w:tcPr>
            <w:tcW w:w="51" w:type="pct"/>
            <w:hideMark/>
          </w:tcPr>
          <w:p w:rsidR="00000000" w:rsidRDefault="00240F6E">
            <w:pPr>
              <w:pStyle w:val="a3"/>
              <w:spacing w:before="0" w:beforeAutospacing="0" w:after="0" w:afterAutospacing="0"/>
              <w:rPr>
                <w:b/>
                <w:bCs/>
                <w:sz w:val="12"/>
                <w:szCs w:val="12"/>
              </w:rPr>
            </w:pPr>
            <w:r>
              <w:rPr>
                <w:b/>
                <w:bCs/>
                <w:sz w:val="12"/>
                <w:szCs w:val="12"/>
              </w:rPr>
              <w:t> </w:t>
            </w:r>
          </w:p>
        </w:tc>
        <w:tc>
          <w:tcPr>
            <w:tcW w:w="281" w:type="pct"/>
            <w:hideMark/>
          </w:tcPr>
          <w:p w:rsidR="00000000" w:rsidRDefault="00240F6E">
            <w:pPr>
              <w:pStyle w:val="a3"/>
              <w:spacing w:before="0" w:beforeAutospacing="0" w:after="0" w:afterAutospacing="0"/>
              <w:jc w:val="right"/>
              <w:rPr>
                <w:sz w:val="12"/>
                <w:szCs w:val="12"/>
              </w:rPr>
            </w:pPr>
            <w:r>
              <w:rPr>
                <w:sz w:val="12"/>
                <w:szCs w:val="12"/>
              </w:rPr>
              <w:t> </w:t>
            </w:r>
          </w:p>
        </w:tc>
      </w:tr>
      <w:tr w:rsidR="00000000">
        <w:trPr>
          <w:divId w:val="812674100"/>
        </w:trPr>
        <w:tc>
          <w:tcPr>
            <w:tcW w:w="385" w:type="pct"/>
            <w:hideMark/>
          </w:tcPr>
          <w:p w:rsidR="00000000" w:rsidRDefault="00240F6E">
            <w:pPr>
              <w:pStyle w:val="a3"/>
              <w:spacing w:before="0" w:beforeAutospacing="0" w:after="0" w:afterAutospacing="0"/>
              <w:rPr>
                <w:sz w:val="20"/>
                <w:szCs w:val="20"/>
              </w:rPr>
            </w:pPr>
            <w:r>
              <w:rPr>
                <w:sz w:val="20"/>
                <w:szCs w:val="20"/>
              </w:rPr>
              <w:t>Item 1.</w:t>
            </w:r>
          </w:p>
        </w:tc>
        <w:tc>
          <w:tcPr>
            <w:tcW w:w="50" w:type="pct"/>
            <w:hideMark/>
          </w:tcPr>
          <w:p w:rsidR="00000000" w:rsidRDefault="00240F6E">
            <w:pPr>
              <w:pStyle w:val="a3"/>
              <w:spacing w:before="0" w:beforeAutospacing="0" w:after="0" w:afterAutospacing="0"/>
              <w:rPr>
                <w:b/>
                <w:bCs/>
                <w:sz w:val="20"/>
                <w:szCs w:val="20"/>
              </w:rPr>
            </w:pPr>
            <w:r>
              <w:rPr>
                <w:b/>
                <w:bCs/>
                <w:sz w:val="20"/>
                <w:szCs w:val="20"/>
              </w:rPr>
              <w:t> </w:t>
            </w:r>
          </w:p>
        </w:tc>
        <w:tc>
          <w:tcPr>
            <w:tcW w:w="4174" w:type="pct"/>
            <w:hideMark/>
          </w:tcPr>
          <w:p w:rsidR="00000000" w:rsidRDefault="00240F6E">
            <w:pPr>
              <w:pStyle w:val="a3"/>
              <w:spacing w:before="0" w:beforeAutospacing="0" w:after="0" w:afterAutospacing="0"/>
              <w:rPr>
                <w:sz w:val="20"/>
                <w:szCs w:val="20"/>
              </w:rPr>
            </w:pPr>
            <w:hyperlink w:anchor="ITEM_1_LEGAL_PROCEEDINGS" w:history="1">
              <w:r>
                <w:rPr>
                  <w:rStyle w:val="a4"/>
                  <w:sz w:val="20"/>
                  <w:szCs w:val="20"/>
                </w:rPr>
                <w:t>Legal Proceedings</w:t>
              </w:r>
            </w:hyperlink>
          </w:p>
        </w:tc>
        <w:tc>
          <w:tcPr>
            <w:tcW w:w="51" w:type="pct"/>
            <w:hideMark/>
          </w:tcPr>
          <w:p w:rsidR="00000000" w:rsidRDefault="00240F6E">
            <w:pPr>
              <w:pStyle w:val="a3"/>
              <w:spacing w:before="0" w:beforeAutospacing="0" w:after="0" w:afterAutospacing="0"/>
              <w:rPr>
                <w:b/>
                <w:bCs/>
                <w:sz w:val="20"/>
                <w:szCs w:val="20"/>
              </w:rPr>
            </w:pPr>
            <w:r>
              <w:rPr>
                <w:b/>
                <w:bCs/>
                <w:sz w:val="20"/>
                <w:szCs w:val="20"/>
              </w:rPr>
              <w:t> </w:t>
            </w:r>
          </w:p>
        </w:tc>
        <w:tc>
          <w:tcPr>
            <w:tcW w:w="281" w:type="pct"/>
            <w:hideMark/>
          </w:tcPr>
          <w:p w:rsidR="00000000" w:rsidRDefault="00240F6E">
            <w:pPr>
              <w:pStyle w:val="a3"/>
              <w:spacing w:before="0" w:beforeAutospacing="0" w:after="0" w:afterAutospacing="0"/>
              <w:jc w:val="right"/>
              <w:rPr>
                <w:sz w:val="20"/>
                <w:szCs w:val="20"/>
              </w:rPr>
            </w:pPr>
            <w:r>
              <w:rPr>
                <w:sz w:val="20"/>
                <w:szCs w:val="20"/>
              </w:rPr>
              <w:t>41</w:t>
            </w:r>
          </w:p>
        </w:tc>
      </w:tr>
      <w:tr w:rsidR="00000000">
        <w:trPr>
          <w:divId w:val="812674100"/>
        </w:trPr>
        <w:tc>
          <w:tcPr>
            <w:tcW w:w="385" w:type="pct"/>
            <w:hideMark/>
          </w:tcPr>
          <w:p w:rsidR="00000000" w:rsidRDefault="00240F6E">
            <w:pPr>
              <w:pStyle w:val="a3"/>
              <w:spacing w:before="0" w:beforeAutospacing="0" w:after="0" w:afterAutospacing="0"/>
              <w:rPr>
                <w:sz w:val="20"/>
                <w:szCs w:val="20"/>
              </w:rPr>
            </w:pPr>
            <w:r>
              <w:rPr>
                <w:sz w:val="20"/>
                <w:szCs w:val="20"/>
              </w:rPr>
              <w:t>Item 1A.</w:t>
            </w:r>
          </w:p>
        </w:tc>
        <w:tc>
          <w:tcPr>
            <w:tcW w:w="50" w:type="pct"/>
            <w:hideMark/>
          </w:tcPr>
          <w:p w:rsidR="00000000" w:rsidRDefault="00240F6E">
            <w:pPr>
              <w:pStyle w:val="a3"/>
              <w:spacing w:before="0" w:beforeAutospacing="0" w:after="0" w:afterAutospacing="0"/>
              <w:rPr>
                <w:b/>
                <w:bCs/>
                <w:sz w:val="20"/>
                <w:szCs w:val="20"/>
              </w:rPr>
            </w:pPr>
            <w:r>
              <w:rPr>
                <w:b/>
                <w:bCs/>
                <w:sz w:val="20"/>
                <w:szCs w:val="20"/>
              </w:rPr>
              <w:t> </w:t>
            </w:r>
          </w:p>
        </w:tc>
        <w:tc>
          <w:tcPr>
            <w:tcW w:w="4174" w:type="pct"/>
            <w:hideMark/>
          </w:tcPr>
          <w:p w:rsidR="00000000" w:rsidRDefault="00240F6E">
            <w:pPr>
              <w:pStyle w:val="a3"/>
              <w:spacing w:before="0" w:beforeAutospacing="0" w:after="0" w:afterAutospacing="0"/>
              <w:rPr>
                <w:sz w:val="20"/>
                <w:szCs w:val="20"/>
              </w:rPr>
            </w:pPr>
            <w:hyperlink w:anchor="ITEM_1A_RISK_FACTORS" w:history="1">
              <w:r>
                <w:rPr>
                  <w:rStyle w:val="a4"/>
                  <w:sz w:val="20"/>
                  <w:szCs w:val="20"/>
                </w:rPr>
                <w:t>Risk Factors</w:t>
              </w:r>
            </w:hyperlink>
          </w:p>
        </w:tc>
        <w:tc>
          <w:tcPr>
            <w:tcW w:w="51" w:type="pct"/>
            <w:hideMark/>
          </w:tcPr>
          <w:p w:rsidR="00000000" w:rsidRDefault="00240F6E">
            <w:pPr>
              <w:pStyle w:val="a3"/>
              <w:spacing w:before="0" w:beforeAutospacing="0" w:after="0" w:afterAutospacing="0"/>
              <w:rPr>
                <w:b/>
                <w:bCs/>
                <w:sz w:val="20"/>
                <w:szCs w:val="20"/>
              </w:rPr>
            </w:pPr>
            <w:r>
              <w:rPr>
                <w:b/>
                <w:bCs/>
                <w:sz w:val="20"/>
                <w:szCs w:val="20"/>
              </w:rPr>
              <w:t> </w:t>
            </w:r>
          </w:p>
        </w:tc>
        <w:tc>
          <w:tcPr>
            <w:tcW w:w="281" w:type="pct"/>
            <w:hideMark/>
          </w:tcPr>
          <w:p w:rsidR="00000000" w:rsidRDefault="00240F6E">
            <w:pPr>
              <w:pStyle w:val="a3"/>
              <w:spacing w:before="0" w:beforeAutospacing="0" w:after="0" w:afterAutospacing="0"/>
              <w:jc w:val="right"/>
              <w:rPr>
                <w:sz w:val="20"/>
                <w:szCs w:val="20"/>
              </w:rPr>
            </w:pPr>
            <w:r>
              <w:rPr>
                <w:sz w:val="20"/>
                <w:szCs w:val="20"/>
              </w:rPr>
              <w:t>41</w:t>
            </w:r>
          </w:p>
        </w:tc>
      </w:tr>
      <w:tr w:rsidR="00000000">
        <w:trPr>
          <w:divId w:val="812674100"/>
        </w:trPr>
        <w:tc>
          <w:tcPr>
            <w:tcW w:w="385" w:type="pct"/>
            <w:hideMark/>
          </w:tcPr>
          <w:p w:rsidR="00000000" w:rsidRDefault="00240F6E">
            <w:pPr>
              <w:pStyle w:val="a3"/>
              <w:spacing w:before="0" w:beforeAutospacing="0" w:after="0" w:afterAutospacing="0"/>
              <w:rPr>
                <w:sz w:val="20"/>
                <w:szCs w:val="20"/>
              </w:rPr>
            </w:pPr>
            <w:r>
              <w:rPr>
                <w:sz w:val="20"/>
                <w:szCs w:val="20"/>
              </w:rPr>
              <w:t>Item 2.</w:t>
            </w:r>
          </w:p>
        </w:tc>
        <w:tc>
          <w:tcPr>
            <w:tcW w:w="50" w:type="pct"/>
            <w:hideMark/>
          </w:tcPr>
          <w:p w:rsidR="00000000" w:rsidRDefault="00240F6E">
            <w:pPr>
              <w:pStyle w:val="a3"/>
              <w:spacing w:before="0" w:beforeAutospacing="0" w:after="0" w:afterAutospacing="0"/>
              <w:rPr>
                <w:b/>
                <w:bCs/>
                <w:sz w:val="20"/>
                <w:szCs w:val="20"/>
              </w:rPr>
            </w:pPr>
            <w:r>
              <w:rPr>
                <w:b/>
                <w:bCs/>
                <w:sz w:val="20"/>
                <w:szCs w:val="20"/>
              </w:rPr>
              <w:t> </w:t>
            </w:r>
          </w:p>
        </w:tc>
        <w:tc>
          <w:tcPr>
            <w:tcW w:w="4174" w:type="pct"/>
            <w:hideMark/>
          </w:tcPr>
          <w:p w:rsidR="00000000" w:rsidRDefault="00240F6E">
            <w:pPr>
              <w:pStyle w:val="a3"/>
              <w:spacing w:before="0" w:beforeAutospacing="0" w:after="0" w:afterAutospacing="0"/>
              <w:rPr>
                <w:sz w:val="20"/>
                <w:szCs w:val="20"/>
              </w:rPr>
            </w:pPr>
            <w:hyperlink w:anchor="ITEM_2_UNREGISTERED_SALES_EQUITY_SECURI" w:history="1">
              <w:r>
                <w:rPr>
                  <w:rStyle w:val="a4"/>
                  <w:sz w:val="20"/>
                  <w:szCs w:val="20"/>
                </w:rPr>
                <w:t>Unregistered Sales of Equity Securities and Use of Proceeds</w:t>
              </w:r>
            </w:hyperlink>
          </w:p>
        </w:tc>
        <w:tc>
          <w:tcPr>
            <w:tcW w:w="51" w:type="pct"/>
            <w:hideMark/>
          </w:tcPr>
          <w:p w:rsidR="00000000" w:rsidRDefault="00240F6E">
            <w:pPr>
              <w:pStyle w:val="a3"/>
              <w:spacing w:before="0" w:beforeAutospacing="0" w:after="0" w:afterAutospacing="0"/>
              <w:rPr>
                <w:b/>
                <w:bCs/>
                <w:sz w:val="20"/>
                <w:szCs w:val="20"/>
              </w:rPr>
            </w:pPr>
            <w:r>
              <w:rPr>
                <w:b/>
                <w:bCs/>
                <w:sz w:val="20"/>
                <w:szCs w:val="20"/>
              </w:rPr>
              <w:t> </w:t>
            </w:r>
          </w:p>
        </w:tc>
        <w:tc>
          <w:tcPr>
            <w:tcW w:w="281" w:type="pct"/>
            <w:hideMark/>
          </w:tcPr>
          <w:p w:rsidR="00000000" w:rsidRDefault="00240F6E">
            <w:pPr>
              <w:pStyle w:val="a3"/>
              <w:spacing w:before="0" w:beforeAutospacing="0" w:after="0" w:afterAutospacing="0"/>
              <w:jc w:val="right"/>
              <w:rPr>
                <w:sz w:val="20"/>
                <w:szCs w:val="20"/>
              </w:rPr>
            </w:pPr>
            <w:r>
              <w:rPr>
                <w:sz w:val="20"/>
                <w:szCs w:val="20"/>
              </w:rPr>
              <w:t>41</w:t>
            </w:r>
          </w:p>
        </w:tc>
      </w:tr>
      <w:tr w:rsidR="00000000">
        <w:trPr>
          <w:divId w:val="812674100"/>
        </w:trPr>
        <w:tc>
          <w:tcPr>
            <w:tcW w:w="385" w:type="pct"/>
            <w:hideMark/>
          </w:tcPr>
          <w:p w:rsidR="00000000" w:rsidRDefault="00240F6E">
            <w:pPr>
              <w:pStyle w:val="a3"/>
              <w:spacing w:before="0" w:beforeAutospacing="0" w:after="0" w:afterAutospacing="0"/>
              <w:rPr>
                <w:sz w:val="20"/>
                <w:szCs w:val="20"/>
              </w:rPr>
            </w:pPr>
            <w:r>
              <w:rPr>
                <w:sz w:val="20"/>
                <w:szCs w:val="20"/>
              </w:rPr>
              <w:t>Item 3.</w:t>
            </w:r>
          </w:p>
        </w:tc>
        <w:tc>
          <w:tcPr>
            <w:tcW w:w="50" w:type="pct"/>
            <w:hideMark/>
          </w:tcPr>
          <w:p w:rsidR="00000000" w:rsidRDefault="00240F6E">
            <w:pPr>
              <w:pStyle w:val="a3"/>
              <w:spacing w:before="0" w:beforeAutospacing="0" w:after="0" w:afterAutospacing="0"/>
              <w:rPr>
                <w:b/>
                <w:bCs/>
                <w:sz w:val="20"/>
                <w:szCs w:val="20"/>
              </w:rPr>
            </w:pPr>
            <w:r>
              <w:rPr>
                <w:b/>
                <w:bCs/>
                <w:sz w:val="20"/>
                <w:szCs w:val="20"/>
              </w:rPr>
              <w:t> </w:t>
            </w:r>
          </w:p>
        </w:tc>
        <w:tc>
          <w:tcPr>
            <w:tcW w:w="4174" w:type="pct"/>
            <w:hideMark/>
          </w:tcPr>
          <w:p w:rsidR="00000000" w:rsidRDefault="00240F6E">
            <w:pPr>
              <w:pStyle w:val="a3"/>
              <w:spacing w:before="0" w:beforeAutospacing="0" w:after="0" w:afterAutospacing="0"/>
              <w:rPr>
                <w:sz w:val="20"/>
                <w:szCs w:val="20"/>
              </w:rPr>
            </w:pPr>
            <w:hyperlink w:anchor="ITEM_3_DEFAULTS_UPON_SENIOR_SECURITIES" w:history="1">
              <w:r>
                <w:rPr>
                  <w:rStyle w:val="a4"/>
                  <w:sz w:val="20"/>
                  <w:szCs w:val="20"/>
                </w:rPr>
                <w:t>Defaults Upon Senior Securities</w:t>
              </w:r>
            </w:hyperlink>
          </w:p>
        </w:tc>
        <w:tc>
          <w:tcPr>
            <w:tcW w:w="51" w:type="pct"/>
            <w:hideMark/>
          </w:tcPr>
          <w:p w:rsidR="00000000" w:rsidRDefault="00240F6E">
            <w:pPr>
              <w:pStyle w:val="a3"/>
              <w:spacing w:before="0" w:beforeAutospacing="0" w:after="0" w:afterAutospacing="0"/>
              <w:rPr>
                <w:b/>
                <w:bCs/>
                <w:sz w:val="20"/>
                <w:szCs w:val="20"/>
              </w:rPr>
            </w:pPr>
            <w:r>
              <w:rPr>
                <w:b/>
                <w:bCs/>
                <w:sz w:val="20"/>
                <w:szCs w:val="20"/>
              </w:rPr>
              <w:t> </w:t>
            </w:r>
          </w:p>
        </w:tc>
        <w:tc>
          <w:tcPr>
            <w:tcW w:w="281" w:type="pct"/>
            <w:hideMark/>
          </w:tcPr>
          <w:p w:rsidR="00000000" w:rsidRDefault="00240F6E">
            <w:pPr>
              <w:pStyle w:val="a3"/>
              <w:spacing w:before="0" w:beforeAutospacing="0" w:after="0" w:afterAutospacing="0"/>
              <w:jc w:val="right"/>
              <w:rPr>
                <w:sz w:val="20"/>
                <w:szCs w:val="20"/>
              </w:rPr>
            </w:pPr>
            <w:r>
              <w:rPr>
                <w:sz w:val="20"/>
                <w:szCs w:val="20"/>
              </w:rPr>
              <w:t>41</w:t>
            </w:r>
          </w:p>
        </w:tc>
      </w:tr>
      <w:tr w:rsidR="00000000">
        <w:trPr>
          <w:divId w:val="812674100"/>
        </w:trPr>
        <w:tc>
          <w:tcPr>
            <w:tcW w:w="385" w:type="pct"/>
            <w:hideMark/>
          </w:tcPr>
          <w:p w:rsidR="00000000" w:rsidRDefault="00240F6E">
            <w:pPr>
              <w:pStyle w:val="a3"/>
              <w:spacing w:before="0" w:beforeAutospacing="0" w:after="0" w:afterAutospacing="0"/>
              <w:rPr>
                <w:sz w:val="20"/>
                <w:szCs w:val="20"/>
              </w:rPr>
            </w:pPr>
            <w:r>
              <w:rPr>
                <w:sz w:val="20"/>
                <w:szCs w:val="20"/>
              </w:rPr>
              <w:t>Item 4.</w:t>
            </w:r>
          </w:p>
        </w:tc>
        <w:tc>
          <w:tcPr>
            <w:tcW w:w="50" w:type="pct"/>
            <w:hideMark/>
          </w:tcPr>
          <w:p w:rsidR="00000000" w:rsidRDefault="00240F6E">
            <w:pPr>
              <w:pStyle w:val="a3"/>
              <w:spacing w:before="0" w:beforeAutospacing="0" w:after="0" w:afterAutospacing="0"/>
              <w:rPr>
                <w:b/>
                <w:bCs/>
                <w:sz w:val="20"/>
                <w:szCs w:val="20"/>
              </w:rPr>
            </w:pPr>
            <w:r>
              <w:rPr>
                <w:b/>
                <w:bCs/>
                <w:sz w:val="20"/>
                <w:szCs w:val="20"/>
              </w:rPr>
              <w:t> </w:t>
            </w:r>
          </w:p>
        </w:tc>
        <w:tc>
          <w:tcPr>
            <w:tcW w:w="4174" w:type="pct"/>
            <w:hideMark/>
          </w:tcPr>
          <w:p w:rsidR="00000000" w:rsidRDefault="00240F6E">
            <w:pPr>
              <w:pStyle w:val="a3"/>
              <w:spacing w:before="0" w:beforeAutospacing="0" w:after="0" w:afterAutospacing="0"/>
              <w:rPr>
                <w:sz w:val="20"/>
                <w:szCs w:val="20"/>
              </w:rPr>
            </w:pPr>
            <w:hyperlink w:anchor="ITEM_4_MINE_SAFETY_DISCLOSURES" w:history="1">
              <w:r>
                <w:rPr>
                  <w:rStyle w:val="a4"/>
                  <w:sz w:val="20"/>
                  <w:szCs w:val="20"/>
                </w:rPr>
                <w:t>Mine Safety Disclosures</w:t>
              </w:r>
            </w:hyperlink>
          </w:p>
        </w:tc>
        <w:tc>
          <w:tcPr>
            <w:tcW w:w="51" w:type="pct"/>
            <w:hideMark/>
          </w:tcPr>
          <w:p w:rsidR="00000000" w:rsidRDefault="00240F6E">
            <w:pPr>
              <w:pStyle w:val="a3"/>
              <w:spacing w:before="0" w:beforeAutospacing="0" w:after="0" w:afterAutospacing="0"/>
              <w:rPr>
                <w:b/>
                <w:bCs/>
                <w:sz w:val="20"/>
                <w:szCs w:val="20"/>
              </w:rPr>
            </w:pPr>
            <w:r>
              <w:rPr>
                <w:b/>
                <w:bCs/>
                <w:sz w:val="20"/>
                <w:szCs w:val="20"/>
              </w:rPr>
              <w:t> </w:t>
            </w:r>
          </w:p>
        </w:tc>
        <w:tc>
          <w:tcPr>
            <w:tcW w:w="281" w:type="pct"/>
            <w:hideMark/>
          </w:tcPr>
          <w:p w:rsidR="00000000" w:rsidRDefault="00240F6E">
            <w:pPr>
              <w:pStyle w:val="a3"/>
              <w:spacing w:before="0" w:beforeAutospacing="0" w:after="0" w:afterAutospacing="0"/>
              <w:jc w:val="right"/>
              <w:rPr>
                <w:sz w:val="20"/>
                <w:szCs w:val="20"/>
              </w:rPr>
            </w:pPr>
            <w:r>
              <w:rPr>
                <w:sz w:val="20"/>
                <w:szCs w:val="20"/>
              </w:rPr>
              <w:t>42</w:t>
            </w:r>
          </w:p>
        </w:tc>
      </w:tr>
      <w:tr w:rsidR="00000000">
        <w:trPr>
          <w:divId w:val="812674100"/>
        </w:trPr>
        <w:tc>
          <w:tcPr>
            <w:tcW w:w="385" w:type="pct"/>
            <w:hideMark/>
          </w:tcPr>
          <w:p w:rsidR="00000000" w:rsidRDefault="00240F6E">
            <w:pPr>
              <w:pStyle w:val="a3"/>
              <w:spacing w:before="0" w:beforeAutospacing="0" w:after="0" w:afterAutospacing="0"/>
              <w:rPr>
                <w:sz w:val="20"/>
                <w:szCs w:val="20"/>
              </w:rPr>
            </w:pPr>
            <w:r>
              <w:rPr>
                <w:sz w:val="20"/>
                <w:szCs w:val="20"/>
              </w:rPr>
              <w:t>Item 5.</w:t>
            </w:r>
          </w:p>
        </w:tc>
        <w:tc>
          <w:tcPr>
            <w:tcW w:w="50" w:type="pct"/>
            <w:hideMark/>
          </w:tcPr>
          <w:p w:rsidR="00000000" w:rsidRDefault="00240F6E">
            <w:pPr>
              <w:pStyle w:val="a3"/>
              <w:spacing w:before="0" w:beforeAutospacing="0" w:after="0" w:afterAutospacing="0"/>
              <w:rPr>
                <w:b/>
                <w:bCs/>
                <w:sz w:val="20"/>
                <w:szCs w:val="20"/>
              </w:rPr>
            </w:pPr>
            <w:r>
              <w:rPr>
                <w:b/>
                <w:bCs/>
                <w:sz w:val="20"/>
                <w:szCs w:val="20"/>
              </w:rPr>
              <w:t> </w:t>
            </w:r>
          </w:p>
        </w:tc>
        <w:tc>
          <w:tcPr>
            <w:tcW w:w="4174" w:type="pct"/>
            <w:hideMark/>
          </w:tcPr>
          <w:p w:rsidR="00000000" w:rsidRDefault="00240F6E">
            <w:pPr>
              <w:pStyle w:val="a3"/>
              <w:spacing w:before="0" w:beforeAutospacing="0" w:after="0" w:afterAutospacing="0"/>
              <w:rPr>
                <w:sz w:val="20"/>
                <w:szCs w:val="20"/>
              </w:rPr>
            </w:pPr>
            <w:hyperlink w:anchor="ITEM_5_OR_INFORMATION" w:history="1">
              <w:r>
                <w:rPr>
                  <w:rStyle w:val="a4"/>
                  <w:sz w:val="20"/>
                  <w:szCs w:val="20"/>
                </w:rPr>
                <w:t>Other Information</w:t>
              </w:r>
            </w:hyperlink>
          </w:p>
        </w:tc>
        <w:tc>
          <w:tcPr>
            <w:tcW w:w="51" w:type="pct"/>
            <w:hideMark/>
          </w:tcPr>
          <w:p w:rsidR="00000000" w:rsidRDefault="00240F6E">
            <w:pPr>
              <w:pStyle w:val="a3"/>
              <w:spacing w:before="0" w:beforeAutospacing="0" w:after="0" w:afterAutospacing="0"/>
              <w:rPr>
                <w:b/>
                <w:bCs/>
                <w:sz w:val="20"/>
                <w:szCs w:val="20"/>
              </w:rPr>
            </w:pPr>
            <w:r>
              <w:rPr>
                <w:b/>
                <w:bCs/>
                <w:sz w:val="20"/>
                <w:szCs w:val="20"/>
              </w:rPr>
              <w:t> </w:t>
            </w:r>
          </w:p>
        </w:tc>
        <w:tc>
          <w:tcPr>
            <w:tcW w:w="281" w:type="pct"/>
            <w:hideMark/>
          </w:tcPr>
          <w:p w:rsidR="00000000" w:rsidRDefault="00240F6E">
            <w:pPr>
              <w:pStyle w:val="a3"/>
              <w:spacing w:before="0" w:beforeAutospacing="0" w:after="0" w:afterAutospacing="0"/>
              <w:jc w:val="right"/>
              <w:rPr>
                <w:sz w:val="20"/>
                <w:szCs w:val="20"/>
              </w:rPr>
            </w:pPr>
            <w:r>
              <w:rPr>
                <w:sz w:val="20"/>
                <w:szCs w:val="20"/>
              </w:rPr>
              <w:t>42</w:t>
            </w:r>
          </w:p>
        </w:tc>
      </w:tr>
      <w:tr w:rsidR="00000000">
        <w:trPr>
          <w:divId w:val="812674100"/>
        </w:trPr>
        <w:tc>
          <w:tcPr>
            <w:tcW w:w="385" w:type="pct"/>
            <w:hideMark/>
          </w:tcPr>
          <w:p w:rsidR="00000000" w:rsidRDefault="00240F6E">
            <w:pPr>
              <w:pStyle w:val="a3"/>
              <w:spacing w:before="0" w:beforeAutospacing="0" w:after="0" w:afterAutospacing="0"/>
              <w:rPr>
                <w:sz w:val="20"/>
                <w:szCs w:val="20"/>
              </w:rPr>
            </w:pPr>
            <w:r>
              <w:rPr>
                <w:sz w:val="20"/>
                <w:szCs w:val="20"/>
              </w:rPr>
              <w:t>Item 6.</w:t>
            </w:r>
          </w:p>
        </w:tc>
        <w:tc>
          <w:tcPr>
            <w:tcW w:w="50" w:type="pct"/>
            <w:hideMark/>
          </w:tcPr>
          <w:p w:rsidR="00000000" w:rsidRDefault="00240F6E">
            <w:pPr>
              <w:pStyle w:val="a3"/>
              <w:spacing w:before="0" w:beforeAutospacing="0" w:after="0" w:afterAutospacing="0"/>
              <w:rPr>
                <w:b/>
                <w:bCs/>
                <w:sz w:val="20"/>
                <w:szCs w:val="20"/>
              </w:rPr>
            </w:pPr>
            <w:r>
              <w:rPr>
                <w:b/>
                <w:bCs/>
                <w:sz w:val="20"/>
                <w:szCs w:val="20"/>
              </w:rPr>
              <w:t> </w:t>
            </w:r>
          </w:p>
        </w:tc>
        <w:tc>
          <w:tcPr>
            <w:tcW w:w="4174" w:type="pct"/>
            <w:hideMark/>
          </w:tcPr>
          <w:p w:rsidR="00000000" w:rsidRDefault="00240F6E">
            <w:pPr>
              <w:pStyle w:val="a3"/>
              <w:spacing w:before="0" w:beforeAutospacing="0" w:after="0" w:afterAutospacing="0"/>
              <w:rPr>
                <w:sz w:val="20"/>
                <w:szCs w:val="20"/>
              </w:rPr>
            </w:pPr>
            <w:hyperlink w:anchor="ITEM_6_EXHIBITS" w:history="1">
              <w:r>
                <w:rPr>
                  <w:rStyle w:val="a4"/>
                  <w:sz w:val="20"/>
                  <w:szCs w:val="20"/>
                </w:rPr>
                <w:t>Exhibits</w:t>
              </w:r>
            </w:hyperlink>
          </w:p>
        </w:tc>
        <w:tc>
          <w:tcPr>
            <w:tcW w:w="51" w:type="pct"/>
            <w:hideMark/>
          </w:tcPr>
          <w:p w:rsidR="00000000" w:rsidRDefault="00240F6E">
            <w:pPr>
              <w:pStyle w:val="a3"/>
              <w:spacing w:before="0" w:beforeAutospacing="0" w:after="0" w:afterAutospacing="0"/>
              <w:rPr>
                <w:b/>
                <w:bCs/>
                <w:sz w:val="20"/>
                <w:szCs w:val="20"/>
              </w:rPr>
            </w:pPr>
            <w:r>
              <w:rPr>
                <w:b/>
                <w:bCs/>
                <w:sz w:val="20"/>
                <w:szCs w:val="20"/>
              </w:rPr>
              <w:t> </w:t>
            </w:r>
          </w:p>
        </w:tc>
        <w:tc>
          <w:tcPr>
            <w:tcW w:w="281" w:type="pct"/>
            <w:hideMark/>
          </w:tcPr>
          <w:p w:rsidR="00000000" w:rsidRDefault="00240F6E">
            <w:pPr>
              <w:pStyle w:val="a3"/>
              <w:spacing w:before="0" w:beforeAutospacing="0" w:after="0" w:afterAutospacing="0"/>
              <w:jc w:val="right"/>
              <w:rPr>
                <w:sz w:val="20"/>
                <w:szCs w:val="20"/>
              </w:rPr>
            </w:pPr>
            <w:r>
              <w:rPr>
                <w:sz w:val="20"/>
                <w:szCs w:val="20"/>
              </w:rPr>
              <w:t>42</w:t>
            </w:r>
          </w:p>
        </w:tc>
      </w:tr>
      <w:tr w:rsidR="00000000">
        <w:trPr>
          <w:divId w:val="812674100"/>
          <w:trHeight w:val="130"/>
        </w:trPr>
        <w:tc>
          <w:tcPr>
            <w:tcW w:w="385" w:type="pct"/>
            <w:hideMark/>
          </w:tcPr>
          <w:p w:rsidR="00000000" w:rsidRDefault="00240F6E">
            <w:pPr>
              <w:pStyle w:val="a3"/>
              <w:spacing w:before="0" w:beforeAutospacing="0" w:after="0" w:afterAutospacing="0"/>
              <w:rPr>
                <w:sz w:val="20"/>
                <w:szCs w:val="20"/>
              </w:rPr>
            </w:pPr>
            <w:r>
              <w:rPr>
                <w:sz w:val="20"/>
                <w:szCs w:val="20"/>
              </w:rPr>
              <w:t> </w:t>
            </w:r>
          </w:p>
        </w:tc>
        <w:tc>
          <w:tcPr>
            <w:tcW w:w="50" w:type="pct"/>
            <w:hideMark/>
          </w:tcPr>
          <w:p w:rsidR="00000000" w:rsidRDefault="00240F6E">
            <w:pPr>
              <w:pStyle w:val="a3"/>
              <w:spacing w:before="0" w:beforeAutospacing="0" w:after="0" w:afterAutospacing="0"/>
              <w:rPr>
                <w:b/>
                <w:bCs/>
                <w:sz w:val="20"/>
                <w:szCs w:val="20"/>
              </w:rPr>
            </w:pPr>
            <w:r>
              <w:rPr>
                <w:b/>
                <w:bCs/>
                <w:sz w:val="20"/>
                <w:szCs w:val="20"/>
              </w:rPr>
              <w:t> </w:t>
            </w:r>
          </w:p>
        </w:tc>
        <w:tc>
          <w:tcPr>
            <w:tcW w:w="4174" w:type="pct"/>
            <w:hideMark/>
          </w:tcPr>
          <w:p w:rsidR="00000000" w:rsidRDefault="00240F6E">
            <w:pPr>
              <w:pStyle w:val="a3"/>
              <w:spacing w:before="0" w:beforeAutospacing="0" w:after="0" w:afterAutospacing="0"/>
              <w:rPr>
                <w:sz w:val="20"/>
                <w:szCs w:val="20"/>
              </w:rPr>
            </w:pPr>
            <w:r>
              <w:rPr>
                <w:sz w:val="20"/>
                <w:szCs w:val="20"/>
              </w:rPr>
              <w:t> </w:t>
            </w:r>
          </w:p>
        </w:tc>
        <w:tc>
          <w:tcPr>
            <w:tcW w:w="51" w:type="pct"/>
            <w:hideMark/>
          </w:tcPr>
          <w:p w:rsidR="00000000" w:rsidRDefault="00240F6E">
            <w:pPr>
              <w:pStyle w:val="a3"/>
              <w:spacing w:before="0" w:beforeAutospacing="0" w:after="0" w:afterAutospacing="0"/>
              <w:rPr>
                <w:b/>
                <w:bCs/>
                <w:sz w:val="20"/>
                <w:szCs w:val="20"/>
              </w:rPr>
            </w:pPr>
            <w:r>
              <w:rPr>
                <w:b/>
                <w:bCs/>
                <w:sz w:val="20"/>
                <w:szCs w:val="20"/>
              </w:rPr>
              <w:t> </w:t>
            </w:r>
          </w:p>
        </w:tc>
        <w:tc>
          <w:tcPr>
            <w:tcW w:w="281" w:type="pct"/>
            <w:hideMark/>
          </w:tcPr>
          <w:p w:rsidR="00000000" w:rsidRDefault="00240F6E">
            <w:pPr>
              <w:pStyle w:val="a3"/>
              <w:spacing w:before="0" w:beforeAutospacing="0" w:after="0" w:afterAutospacing="0"/>
              <w:jc w:val="right"/>
              <w:rPr>
                <w:sz w:val="20"/>
                <w:szCs w:val="20"/>
              </w:rPr>
            </w:pPr>
            <w:r>
              <w:rPr>
                <w:sz w:val="20"/>
                <w:szCs w:val="20"/>
              </w:rPr>
              <w:t> </w:t>
            </w:r>
          </w:p>
        </w:tc>
      </w:tr>
      <w:tr w:rsidR="00000000">
        <w:trPr>
          <w:divId w:val="812674100"/>
        </w:trPr>
        <w:tc>
          <w:tcPr>
            <w:tcW w:w="50" w:type="pct"/>
            <w:gridSpan w:val="3"/>
            <w:hideMark/>
          </w:tcPr>
          <w:p w:rsidR="00000000" w:rsidRDefault="00240F6E">
            <w:pPr>
              <w:pStyle w:val="a3"/>
              <w:spacing w:before="0" w:beforeAutospacing="0" w:after="0" w:afterAutospacing="0"/>
              <w:rPr>
                <w:b/>
                <w:bCs/>
                <w:sz w:val="20"/>
                <w:szCs w:val="20"/>
              </w:rPr>
            </w:pPr>
            <w:hyperlink w:anchor="SIGNATURES" w:history="1">
              <w:r>
                <w:rPr>
                  <w:rStyle w:val="a4"/>
                  <w:b/>
                  <w:bCs/>
                  <w:sz w:val="20"/>
                  <w:szCs w:val="20"/>
                </w:rPr>
                <w:t>SIGNATURES</w:t>
              </w:r>
            </w:hyperlink>
          </w:p>
        </w:tc>
        <w:tc>
          <w:tcPr>
            <w:tcW w:w="51" w:type="pct"/>
            <w:hideMark/>
          </w:tcPr>
          <w:p w:rsidR="00000000" w:rsidRDefault="00240F6E">
            <w:pPr>
              <w:pStyle w:val="a3"/>
              <w:spacing w:before="0" w:beforeAutospacing="0" w:after="0" w:afterAutospacing="0"/>
              <w:rPr>
                <w:b/>
                <w:bCs/>
                <w:sz w:val="20"/>
                <w:szCs w:val="20"/>
              </w:rPr>
            </w:pPr>
            <w:r>
              <w:rPr>
                <w:b/>
                <w:bCs/>
                <w:sz w:val="20"/>
                <w:szCs w:val="20"/>
              </w:rPr>
              <w:t> </w:t>
            </w:r>
          </w:p>
        </w:tc>
        <w:tc>
          <w:tcPr>
            <w:tcW w:w="281" w:type="pct"/>
            <w:hideMark/>
          </w:tcPr>
          <w:p w:rsidR="00000000" w:rsidRDefault="00240F6E">
            <w:pPr>
              <w:pStyle w:val="a3"/>
              <w:spacing w:before="0" w:beforeAutospacing="0" w:after="0" w:afterAutospacing="0"/>
              <w:jc w:val="right"/>
              <w:rPr>
                <w:sz w:val="20"/>
                <w:szCs w:val="20"/>
              </w:rPr>
            </w:pPr>
            <w:r>
              <w:rPr>
                <w:sz w:val="20"/>
                <w:szCs w:val="20"/>
              </w:rPr>
              <w:t>43</w:t>
            </w:r>
          </w:p>
        </w:tc>
      </w:tr>
    </w:tbl>
    <w:p w:rsidR="00000000" w:rsidRDefault="00240F6E">
      <w:pPr>
        <w:pStyle w:val="a3"/>
        <w:spacing w:before="0" w:beforeAutospacing="0" w:after="0" w:afterAutospacing="0"/>
        <w:jc w:val="both"/>
        <w:rPr>
          <w:sz w:val="20"/>
          <w:szCs w:val="20"/>
        </w:rPr>
      </w:pPr>
      <w:r>
        <w:rPr>
          <w:sz w:val="20"/>
          <w:szCs w:val="20"/>
        </w:rPr>
        <w:t> </w:t>
      </w:r>
    </w:p>
    <w:p w:rsidR="00000000" w:rsidRDefault="00240F6E">
      <w:pPr>
        <w:pStyle w:val="a3"/>
        <w:spacing w:before="0" w:beforeAutospacing="0" w:after="0" w:afterAutospacing="0"/>
        <w:jc w:val="both"/>
        <w:rPr>
          <w:sz w:val="20"/>
          <w:szCs w:val="20"/>
        </w:rPr>
      </w:pPr>
      <w:r>
        <w:rPr>
          <w:sz w:val="20"/>
          <w:szCs w:val="20"/>
        </w:rPr>
        <w:t> </w:t>
      </w:r>
    </w:p>
    <w:p w:rsidR="00000000" w:rsidRDefault="00240F6E">
      <w:pPr>
        <w:pStyle w:val="a3"/>
        <w:spacing w:before="0" w:beforeAutospacing="0" w:after="0" w:afterAutospacing="0"/>
        <w:jc w:val="both"/>
        <w:rPr>
          <w:sz w:val="20"/>
          <w:szCs w:val="20"/>
        </w:rPr>
      </w:pPr>
      <w:r>
        <w:rPr>
          <w:sz w:val="20"/>
          <w:szCs w:val="20"/>
        </w:rPr>
        <w:t> </w:t>
      </w:r>
    </w:p>
    <w:p w:rsidR="00000000" w:rsidRDefault="00240F6E">
      <w:pPr>
        <w:pStyle w:val="a3"/>
        <w:spacing w:before="240" w:beforeAutospacing="0" w:after="0" w:afterAutospacing="0"/>
        <w:jc w:val="center"/>
        <w:rPr>
          <w:sz w:val="20"/>
          <w:szCs w:val="20"/>
        </w:rPr>
      </w:pPr>
      <w:r>
        <w:rPr>
          <w:sz w:val="20"/>
          <w:szCs w:val="20"/>
        </w:rPr>
        <w:t> </w:t>
      </w:r>
    </w:p>
    <w:p w:rsidR="00000000" w:rsidRDefault="00240F6E">
      <w:pPr>
        <w:rPr>
          <w:rFonts w:eastAsia="Times New Roman"/>
        </w:rPr>
      </w:pPr>
      <w:r>
        <w:rPr>
          <w:rFonts w:eastAsia="Times New Roman"/>
        </w:rPr>
        <w:pict>
          <v:rect id="_x0000_i1026" style="width:0;height:1.5pt" o:hralign="center" o:hrstd="t" o:hr="t" fillcolor="#a0a0a0" stroked="f"/>
        </w:pict>
      </w:r>
    </w:p>
    <w:p w:rsidR="00000000" w:rsidRDefault="00240F6E">
      <w:pPr>
        <w:pStyle w:val="a3"/>
        <w:spacing w:before="0" w:beforeAutospacing="0" w:after="0" w:afterAutospacing="0"/>
        <w:jc w:val="center"/>
        <w:rPr>
          <w:b/>
          <w:bCs/>
          <w:sz w:val="20"/>
          <w:szCs w:val="20"/>
        </w:rPr>
      </w:pPr>
      <w:r>
        <w:rPr>
          <w:b/>
          <w:bCs/>
          <w:sz w:val="20"/>
          <w:szCs w:val="20"/>
        </w:rPr>
        <w:t>PART I – FINANCIAL INFORMATION</w:t>
      </w:r>
    </w:p>
    <w:p w:rsidR="00000000" w:rsidRDefault="00240F6E">
      <w:pPr>
        <w:pStyle w:val="a3"/>
        <w:spacing w:before="240" w:beforeAutospacing="0" w:after="0" w:afterAutospacing="0"/>
        <w:jc w:val="both"/>
        <w:rPr>
          <w:b/>
          <w:bCs/>
          <w:sz w:val="20"/>
          <w:szCs w:val="20"/>
        </w:rPr>
      </w:pPr>
      <w:r>
        <w:rPr>
          <w:b/>
          <w:bCs/>
          <w:sz w:val="20"/>
          <w:szCs w:val="20"/>
        </w:rPr>
        <w:t>ITEM 1. – FINANCIAL STATEMENTS.</w:t>
      </w:r>
    </w:p>
    <w:p w:rsidR="00000000" w:rsidRDefault="00240F6E">
      <w:pPr>
        <w:pStyle w:val="a3"/>
        <w:spacing w:before="240" w:beforeAutospacing="0" w:after="0" w:afterAutospacing="0"/>
        <w:jc w:val="center"/>
        <w:rPr>
          <w:b/>
          <w:bCs/>
          <w:sz w:val="20"/>
          <w:szCs w:val="20"/>
        </w:rPr>
      </w:pPr>
      <w:r>
        <w:rPr>
          <w:b/>
          <w:bCs/>
          <w:sz w:val="20"/>
          <w:szCs w:val="20"/>
        </w:rPr>
        <w:t>CORECIVIC, INC. AND SUBSIDIARIES</w:t>
      </w:r>
    </w:p>
    <w:p w:rsidR="00000000" w:rsidRDefault="00240F6E">
      <w:pPr>
        <w:pStyle w:val="a3"/>
        <w:spacing w:before="0" w:beforeAutospacing="0" w:after="0" w:afterAutospacing="0"/>
        <w:jc w:val="center"/>
        <w:rPr>
          <w:b/>
          <w:bCs/>
          <w:sz w:val="20"/>
          <w:szCs w:val="20"/>
        </w:rPr>
      </w:pPr>
      <w:r>
        <w:rPr>
          <w:b/>
          <w:bCs/>
          <w:sz w:val="20"/>
          <w:szCs w:val="20"/>
        </w:rPr>
        <w:t>CONSOLIDATED BALANCE SHEETS</w:t>
      </w:r>
    </w:p>
    <w:p w:rsidR="00000000" w:rsidRDefault="00240F6E">
      <w:pPr>
        <w:pStyle w:val="a3"/>
        <w:spacing w:before="0" w:beforeAutospacing="0" w:after="0" w:afterAutospacing="0"/>
        <w:jc w:val="center"/>
        <w:rPr>
          <w:sz w:val="20"/>
          <w:szCs w:val="20"/>
        </w:rPr>
      </w:pPr>
      <w:r>
        <w:rPr>
          <w:sz w:val="20"/>
          <w:szCs w:val="20"/>
        </w:rPr>
        <w:t>(UNAUDITED AND AMOUNTS IN THOUSANDS, EXCEPT PER SHARE AMOUNTS)</w:t>
      </w:r>
    </w:p>
    <w:p w:rsidR="00000000" w:rsidRDefault="00240F6E">
      <w:pPr>
        <w:pStyle w:val="a3"/>
        <w:spacing w:before="0" w:beforeAutospacing="0" w:after="0" w:afterAutospacing="0"/>
        <w:rPr>
          <w:sz w:val="20"/>
          <w:szCs w:val="20"/>
        </w:rPr>
      </w:pPr>
      <w:r>
        <w:rPr>
          <w:sz w:val="20"/>
          <w:szCs w:val="20"/>
        </w:rPr>
        <w:lastRenderedPageBreak/>
        <w:t> </w:t>
      </w:r>
    </w:p>
    <w:tbl>
      <w:tblPr>
        <w:tblW w:w="5000" w:type="pct"/>
        <w:tblCellMar>
          <w:left w:w="0" w:type="dxa"/>
          <w:right w:w="0" w:type="dxa"/>
        </w:tblCellMar>
        <w:tblLook w:val="04A0" w:firstRow="1" w:lastRow="0" w:firstColumn="1" w:lastColumn="0" w:noHBand="0" w:noVBand="1"/>
      </w:tblPr>
      <w:tblGrid>
        <w:gridCol w:w="5518"/>
        <w:gridCol w:w="90"/>
        <w:gridCol w:w="115"/>
        <w:gridCol w:w="1025"/>
        <w:gridCol w:w="82"/>
        <w:gridCol w:w="65"/>
        <w:gridCol w:w="116"/>
        <w:gridCol w:w="1213"/>
        <w:gridCol w:w="82"/>
      </w:tblGrid>
      <w:tr w:rsidR="00000000">
        <w:trPr>
          <w:divId w:val="902571032"/>
        </w:trPr>
        <w:tc>
          <w:tcPr>
            <w:tcW w:w="3349" w:type="pct"/>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20"/>
                <w:szCs w:val="20"/>
              </w:rPr>
            </w:pPr>
            <w:r>
              <w:rPr>
                <w:b/>
                <w:bCs/>
                <w:color w:val="000000"/>
                <w:sz w:val="20"/>
                <w:szCs w:val="20"/>
              </w:rPr>
              <w:t>ASSETS</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March 31, 2019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December 31, 2018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902571032"/>
        </w:trPr>
        <w:tc>
          <w:tcPr>
            <w:tcW w:w="3349" w:type="pct"/>
            <w:tcBorders>
              <w:top w:val="single" w:sz="6" w:space="0" w:color="000000"/>
            </w:tcBorders>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Cash and cash equivalents</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20,499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52,802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02571032"/>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Restricted cash</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32,901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21,335</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02571032"/>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Accounts receivable, net of allowance of $2,715 and $2,542, respectively</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273,567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270,597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02571032"/>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Prepaid expenses and other current assets</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28,364</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28,791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02571032"/>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Total current assets</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355,331</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373,525</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02571032"/>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Real estate and related assets:</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02571032"/>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Property and equipment, net of accumulated depreciation of $1,442,844</w:t>
            </w:r>
          </w:p>
          <w:p w:rsidR="00000000" w:rsidRDefault="00240F6E">
            <w:pPr>
              <w:pStyle w:val="a3"/>
              <w:spacing w:before="0" w:beforeAutospacing="0" w:after="0" w:afterAutospacing="0"/>
              <w:rPr>
                <w:color w:val="000000"/>
                <w:sz w:val="20"/>
                <w:szCs w:val="20"/>
              </w:rPr>
            </w:pPr>
            <w:r>
              <w:rPr>
                <w:color w:val="000000"/>
                <w:sz w:val="20"/>
                <w:szCs w:val="20"/>
              </w:rPr>
              <w:t>       and $1,516,664, respectively</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2,794,767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2,830,589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02571032"/>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   Other real estate assets</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244,479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247,223</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02571032"/>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Goodwill</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48,169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48,169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02571032"/>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Non-current deferred tax assets</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13,807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14,947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02571032"/>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Other assets</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213,827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141,207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02571032"/>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Total assets</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3,670,380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3,655,660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02571032"/>
        </w:trPr>
        <w:tc>
          <w:tcPr>
            <w:tcW w:w="3349" w:type="pct"/>
            <w:tcBorders>
              <w:bottom w:val="single" w:sz="6" w:space="0" w:color="000000"/>
            </w:tcBorders>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20"/>
                <w:szCs w:val="20"/>
              </w:rPr>
            </w:pPr>
            <w:r>
              <w:rPr>
                <w:b/>
                <w:bCs/>
                <w:color w:val="000000"/>
                <w:sz w:val="20"/>
                <w:szCs w:val="20"/>
              </w:rPr>
              <w:t>LIABILITIES AND STOCKHOLDERS' EQUITY</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644"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16"/>
                <w:szCs w:val="16"/>
              </w:rPr>
            </w:pPr>
            <w:r>
              <w:rPr>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16"/>
                <w:szCs w:val="16"/>
              </w:rPr>
            </w:pPr>
            <w:r>
              <w:rPr>
                <w:color w:val="000000"/>
                <w:sz w:val="16"/>
                <w:szCs w:val="16"/>
              </w:rPr>
              <w:t> </w:t>
            </w:r>
          </w:p>
        </w:tc>
        <w:tc>
          <w:tcPr>
            <w:tcW w:w="644"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16"/>
                <w:szCs w:val="16"/>
              </w:rPr>
            </w:pPr>
            <w:r>
              <w:rPr>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16"/>
                <w:szCs w:val="16"/>
              </w:rPr>
            </w:pPr>
            <w:r>
              <w:rPr>
                <w:color w:val="000000"/>
                <w:sz w:val="16"/>
                <w:szCs w:val="16"/>
              </w:rPr>
              <w:t> </w:t>
            </w:r>
          </w:p>
        </w:tc>
      </w:tr>
      <w:tr w:rsidR="00000000">
        <w:trPr>
          <w:divId w:val="902571032"/>
        </w:trPr>
        <w:tc>
          <w:tcPr>
            <w:tcW w:w="3349" w:type="pct"/>
            <w:tcBorders>
              <w:top w:val="single" w:sz="6" w:space="0" w:color="000000"/>
            </w:tcBorders>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Accounts payable and accrued expenses</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330,617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352,275</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02571032"/>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Current portion of long-term debt</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15,448</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14,121</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02571032"/>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Total current liabilities</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346,065</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366,396</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02571032"/>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Long-term debt, net</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1,828,114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1,787,555</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02571032"/>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Deferred revenue</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22,694</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26,102</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02571032"/>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Other liabilities</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91,093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60,548</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02571032"/>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Total liabilities</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2,287,966</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2,240,601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02571032"/>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Commitments and contingencies</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02571032"/>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 xml:space="preserve">Preferred stock – $0.01 par value; 50,000 </w:t>
            </w:r>
            <w:r>
              <w:rPr>
                <w:color w:val="000000"/>
                <w:sz w:val="20"/>
                <w:szCs w:val="20"/>
              </w:rPr>
              <w:t>shares authorized; none issued and outstanding</w:t>
            </w:r>
          </w:p>
          <w:p w:rsidR="00000000" w:rsidRDefault="00240F6E">
            <w:pPr>
              <w:pStyle w:val="a3"/>
              <w:spacing w:before="0" w:beforeAutospacing="0" w:after="0" w:afterAutospacing="0"/>
              <w:rPr>
                <w:color w:val="000000"/>
                <w:sz w:val="20"/>
                <w:szCs w:val="20"/>
              </w:rPr>
            </w:pPr>
            <w:r>
              <w:rPr>
                <w:color w:val="000000"/>
                <w:sz w:val="20"/>
                <w:szCs w:val="20"/>
              </w:rPr>
              <w:t>   at March 31, 2019 and December 31, 2018, respectively</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02571032"/>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Common stock – $0.01 par value; 300,000 shares authorized; 119,068 and 118,674 shares</w:t>
            </w:r>
          </w:p>
          <w:p w:rsidR="00000000" w:rsidRDefault="00240F6E">
            <w:pPr>
              <w:pStyle w:val="a3"/>
              <w:spacing w:before="0" w:beforeAutospacing="0" w:after="0" w:afterAutospacing="0"/>
              <w:rPr>
                <w:color w:val="000000"/>
                <w:sz w:val="20"/>
                <w:szCs w:val="20"/>
              </w:rPr>
            </w:pPr>
            <w:r>
              <w:rPr>
                <w:color w:val="000000"/>
                <w:sz w:val="20"/>
                <w:szCs w:val="20"/>
              </w:rPr>
              <w:t>   issued and outstanding at March 31, 2019 and D</w:t>
            </w:r>
            <w:r>
              <w:rPr>
                <w:color w:val="000000"/>
                <w:sz w:val="20"/>
                <w:szCs w:val="20"/>
              </w:rPr>
              <w:t>ecember 31, 2018, respectively</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1,191</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1,187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02571032"/>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Additional paid-in capital</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1,808,147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1,807,202</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02571032"/>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Accumulated deficit</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(426,924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(393,330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r>
      <w:tr w:rsidR="00000000">
        <w:trPr>
          <w:divId w:val="902571032"/>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Total stockholders' equity</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1,382,414</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1,415,059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02571032"/>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Total liabilities and stockholders' equity</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3,670,380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3,655,660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
                <w:szCs w:val="2"/>
              </w:rPr>
            </w:pPr>
            <w:r>
              <w:rPr>
                <w:color w:val="000000"/>
                <w:sz w:val="2"/>
                <w:szCs w:val="2"/>
              </w:rPr>
              <w:t> </w:t>
            </w:r>
          </w:p>
        </w:tc>
      </w:tr>
    </w:tbl>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240F6E">
      <w:pPr>
        <w:pStyle w:val="a3"/>
        <w:spacing w:before="240" w:beforeAutospacing="0" w:after="0" w:afterAutospacing="0"/>
        <w:jc w:val="center"/>
        <w:rPr>
          <w:sz w:val="20"/>
          <w:szCs w:val="20"/>
        </w:rPr>
      </w:pPr>
      <w:r>
        <w:rPr>
          <w:sz w:val="20"/>
          <w:szCs w:val="20"/>
        </w:rPr>
        <w:t>1</w:t>
      </w:r>
    </w:p>
    <w:p w:rsidR="00000000" w:rsidRDefault="00240F6E">
      <w:pPr>
        <w:rPr>
          <w:rFonts w:eastAsia="Times New Roman"/>
        </w:rPr>
      </w:pPr>
      <w:r>
        <w:rPr>
          <w:rFonts w:eastAsia="Times New Roman"/>
        </w:rPr>
        <w:pict>
          <v:rect id="_x0000_i1027" style="width:0;height:1.5pt" o:hralign="center" o:hrstd="t" o:hr="t" fillcolor="#a0a0a0" stroked="f"/>
        </w:pict>
      </w:r>
    </w:p>
    <w:p w:rsidR="00000000" w:rsidRDefault="00240F6E">
      <w:pPr>
        <w:pStyle w:val="a3"/>
        <w:spacing w:before="0" w:beforeAutospacing="0" w:after="0" w:afterAutospacing="0"/>
        <w:jc w:val="center"/>
        <w:rPr>
          <w:b/>
          <w:bCs/>
          <w:sz w:val="20"/>
          <w:szCs w:val="20"/>
        </w:rPr>
      </w:pPr>
      <w:r>
        <w:rPr>
          <w:b/>
          <w:bCs/>
          <w:sz w:val="20"/>
          <w:szCs w:val="20"/>
        </w:rPr>
        <w:t xml:space="preserve">CORECIVIC, INC. AND SUBSIDIARIES </w:t>
      </w:r>
    </w:p>
    <w:p w:rsidR="00000000" w:rsidRDefault="00240F6E">
      <w:pPr>
        <w:pStyle w:val="a3"/>
        <w:spacing w:before="0" w:beforeAutospacing="0" w:after="0" w:afterAutospacing="0"/>
        <w:jc w:val="center"/>
        <w:rPr>
          <w:b/>
          <w:bCs/>
          <w:sz w:val="20"/>
          <w:szCs w:val="20"/>
        </w:rPr>
      </w:pPr>
      <w:r>
        <w:rPr>
          <w:b/>
          <w:bCs/>
          <w:sz w:val="20"/>
          <w:szCs w:val="20"/>
        </w:rPr>
        <w:t>CONSOLIDATED STATEMENTS OF OPERATIONS</w:t>
      </w:r>
    </w:p>
    <w:p w:rsidR="00000000" w:rsidRDefault="00240F6E">
      <w:pPr>
        <w:pStyle w:val="a3"/>
        <w:spacing w:before="0" w:beforeAutospacing="0" w:after="0" w:afterAutospacing="0"/>
        <w:jc w:val="center"/>
        <w:rPr>
          <w:sz w:val="20"/>
          <w:szCs w:val="20"/>
        </w:rPr>
      </w:pPr>
      <w:r>
        <w:rPr>
          <w:sz w:val="20"/>
          <w:szCs w:val="20"/>
        </w:rPr>
        <w:t>(UNAUDITED AND AMOUNTS IN THOUSANDS, EXCEPT PER SHARE AMOUNTS)</w:t>
      </w:r>
    </w:p>
    <w:p w:rsidR="00000000" w:rsidRDefault="00240F6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567"/>
        <w:gridCol w:w="117"/>
        <w:gridCol w:w="115"/>
        <w:gridCol w:w="1058"/>
        <w:gridCol w:w="82"/>
        <w:gridCol w:w="110"/>
        <w:gridCol w:w="115"/>
        <w:gridCol w:w="1060"/>
        <w:gridCol w:w="82"/>
      </w:tblGrid>
      <w:tr w:rsidR="00000000">
        <w:trPr>
          <w:divId w:val="1736855562"/>
        </w:trPr>
        <w:tc>
          <w:tcPr>
            <w:tcW w:w="335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pPr>
            <w:r>
              <w:t> </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16"/>
                <w:szCs w:val="16"/>
              </w:rPr>
            </w:pPr>
            <w:r>
              <w:rPr>
                <w:color w:val="000000"/>
                <w:sz w:val="16"/>
                <w:szCs w:val="16"/>
              </w:rPr>
              <w:t> </w:t>
            </w:r>
          </w:p>
        </w:tc>
        <w:tc>
          <w:tcPr>
            <w:tcW w:w="1514"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240F6E">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1736855562"/>
        </w:trPr>
        <w:tc>
          <w:tcPr>
            <w:tcW w:w="335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16"/>
                <w:szCs w:val="16"/>
              </w:rPr>
            </w:pPr>
            <w:r>
              <w:rPr>
                <w:color w:val="000000"/>
                <w:sz w:val="16"/>
                <w:szCs w:val="16"/>
              </w:rPr>
              <w:t> </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16"/>
                <w:szCs w:val="16"/>
              </w:rPr>
            </w:pPr>
            <w:r>
              <w:rPr>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77" w:type="pct"/>
            <w:tcBorders>
              <w:top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1736855562"/>
        </w:trPr>
        <w:tc>
          <w:tcPr>
            <w:tcW w:w="3357"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b/>
                <w:bCs/>
                <w:color w:val="000000"/>
                <w:sz w:val="20"/>
                <w:szCs w:val="20"/>
              </w:rPr>
            </w:pPr>
            <w:r>
              <w:rPr>
                <w:b/>
                <w:bCs/>
                <w:color w:val="000000"/>
                <w:sz w:val="20"/>
                <w:szCs w:val="20"/>
              </w:rPr>
              <w:t>REVENUES</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484,064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440,916</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736855562"/>
        </w:trPr>
        <w:tc>
          <w:tcPr>
            <w:tcW w:w="335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b/>
                <w:bCs/>
                <w:color w:val="000000"/>
                <w:sz w:val="20"/>
                <w:szCs w:val="20"/>
              </w:rPr>
            </w:pPr>
            <w:r>
              <w:rPr>
                <w:b/>
                <w:bCs/>
                <w:color w:val="000000"/>
                <w:sz w:val="20"/>
                <w:szCs w:val="20"/>
              </w:rPr>
              <w:t>EXPENSES:</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736855562"/>
        </w:trPr>
        <w:tc>
          <w:tcPr>
            <w:tcW w:w="3357"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Operating</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345,832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319,151</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736855562"/>
        </w:trPr>
        <w:tc>
          <w:tcPr>
            <w:tcW w:w="335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General and administrative</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29,445</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24,971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736855562"/>
        </w:trPr>
        <w:tc>
          <w:tcPr>
            <w:tcW w:w="3357"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Depreciation and amortization</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35,523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38,089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736855562"/>
        </w:trPr>
        <w:tc>
          <w:tcPr>
            <w:tcW w:w="335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410,800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382,211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736855562"/>
        </w:trPr>
        <w:tc>
          <w:tcPr>
            <w:tcW w:w="3357"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b/>
                <w:bCs/>
                <w:color w:val="000000"/>
                <w:sz w:val="20"/>
                <w:szCs w:val="20"/>
              </w:rPr>
            </w:pPr>
            <w:r>
              <w:rPr>
                <w:b/>
                <w:bCs/>
                <w:color w:val="000000"/>
                <w:sz w:val="20"/>
                <w:szCs w:val="20"/>
              </w:rPr>
              <w:t>OPERATING INCOME</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73,264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58,705</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736855562"/>
        </w:trPr>
        <w:tc>
          <w:tcPr>
            <w:tcW w:w="335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b/>
                <w:bCs/>
                <w:color w:val="000000"/>
                <w:sz w:val="20"/>
                <w:szCs w:val="20"/>
              </w:rPr>
            </w:pPr>
            <w:r>
              <w:rPr>
                <w:b/>
                <w:bCs/>
                <w:color w:val="000000"/>
                <w:sz w:val="20"/>
                <w:szCs w:val="20"/>
              </w:rPr>
              <w:t>OTHER (INCOME) EXPENSE:</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736855562"/>
        </w:trPr>
        <w:tc>
          <w:tcPr>
            <w:tcW w:w="3357"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lastRenderedPageBreak/>
              <w:t>Interest expense, net</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21,436</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19,036</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736855562"/>
        </w:trPr>
        <w:tc>
          <w:tcPr>
            <w:tcW w:w="335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Other (income) expense</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4</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(43</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r>
      <w:tr w:rsidR="00000000">
        <w:trPr>
          <w:divId w:val="1736855562"/>
        </w:trPr>
        <w:tc>
          <w:tcPr>
            <w:tcW w:w="3357"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21,440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18,993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736855562"/>
        </w:trPr>
        <w:tc>
          <w:tcPr>
            <w:tcW w:w="335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b/>
                <w:bCs/>
                <w:color w:val="000000"/>
                <w:sz w:val="20"/>
                <w:szCs w:val="20"/>
              </w:rPr>
            </w:pPr>
            <w:r>
              <w:rPr>
                <w:b/>
                <w:bCs/>
                <w:color w:val="000000"/>
                <w:sz w:val="20"/>
                <w:szCs w:val="20"/>
              </w:rPr>
              <w:t>INCOME BEFORE INCOME TAXES</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51,824</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39,712</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736855562"/>
        </w:trPr>
        <w:tc>
          <w:tcPr>
            <w:tcW w:w="3357"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Income tax expense</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(2,484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(1,935</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r>
      <w:tr w:rsidR="00000000">
        <w:trPr>
          <w:divId w:val="1736855562"/>
        </w:trPr>
        <w:tc>
          <w:tcPr>
            <w:tcW w:w="335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b/>
                <w:bCs/>
                <w:color w:val="000000"/>
                <w:sz w:val="20"/>
                <w:szCs w:val="20"/>
              </w:rPr>
            </w:pPr>
            <w:r>
              <w:rPr>
                <w:b/>
                <w:bCs/>
                <w:color w:val="000000"/>
                <w:sz w:val="20"/>
                <w:szCs w:val="20"/>
              </w:rPr>
              <w:t>NET INCOME</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49,340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37,777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736855562"/>
        </w:trPr>
        <w:tc>
          <w:tcPr>
            <w:tcW w:w="3357"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b/>
                <w:bCs/>
                <w:color w:val="000000"/>
                <w:sz w:val="20"/>
                <w:szCs w:val="20"/>
              </w:rPr>
            </w:pPr>
            <w:r>
              <w:rPr>
                <w:b/>
                <w:bCs/>
                <w:color w:val="000000"/>
                <w:sz w:val="20"/>
                <w:szCs w:val="20"/>
              </w:rPr>
              <w:t>BASIC EARNINGS PER SHARE</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0.42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643"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0.32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736855562"/>
        </w:trPr>
        <w:tc>
          <w:tcPr>
            <w:tcW w:w="335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b/>
                <w:bCs/>
                <w:color w:val="000000"/>
                <w:sz w:val="20"/>
                <w:szCs w:val="20"/>
              </w:rPr>
            </w:pPr>
            <w:r>
              <w:rPr>
                <w:b/>
                <w:bCs/>
                <w:color w:val="000000"/>
                <w:sz w:val="20"/>
                <w:szCs w:val="20"/>
              </w:rPr>
              <w:t>DILUTED EARNINGS PER SHARE</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64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0.41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643"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0.32</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
                <w:szCs w:val="2"/>
              </w:rPr>
            </w:pPr>
            <w:r>
              <w:rPr>
                <w:color w:val="000000"/>
                <w:sz w:val="2"/>
                <w:szCs w:val="2"/>
              </w:rPr>
              <w:t> </w:t>
            </w:r>
          </w:p>
        </w:tc>
      </w:tr>
    </w:tbl>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240F6E">
      <w:pPr>
        <w:pStyle w:val="a3"/>
        <w:spacing w:before="0" w:beforeAutospacing="0" w:after="0" w:afterAutospacing="0"/>
        <w:jc w:val="center"/>
        <w:rPr>
          <w:sz w:val="18"/>
          <w:szCs w:val="18"/>
        </w:rPr>
      </w:pPr>
      <w:r>
        <w:rPr>
          <w:sz w:val="18"/>
          <w:szCs w:val="18"/>
        </w:rPr>
        <w:t> </w:t>
      </w:r>
    </w:p>
    <w:p w:rsidR="00000000" w:rsidRDefault="00240F6E">
      <w:pPr>
        <w:pStyle w:val="a3"/>
        <w:spacing w:before="240" w:beforeAutospacing="0" w:after="0" w:afterAutospacing="0"/>
        <w:jc w:val="center"/>
        <w:rPr>
          <w:sz w:val="20"/>
          <w:szCs w:val="20"/>
        </w:rPr>
      </w:pPr>
      <w:r>
        <w:rPr>
          <w:sz w:val="20"/>
          <w:szCs w:val="20"/>
        </w:rPr>
        <w:t>2</w:t>
      </w:r>
    </w:p>
    <w:p w:rsidR="00000000" w:rsidRDefault="00240F6E">
      <w:pPr>
        <w:rPr>
          <w:rFonts w:eastAsia="Times New Roman"/>
        </w:rPr>
      </w:pPr>
      <w:r>
        <w:rPr>
          <w:rFonts w:eastAsia="Times New Roman"/>
        </w:rPr>
        <w:pict>
          <v:rect id="_x0000_i1028" style="width:0;height:1.5pt" o:hralign="center" o:hrstd="t" o:hr="t" fillcolor="#a0a0a0" stroked="f"/>
        </w:pict>
      </w:r>
    </w:p>
    <w:p w:rsidR="00000000" w:rsidRDefault="00240F6E">
      <w:pPr>
        <w:pStyle w:val="a3"/>
        <w:spacing w:before="0" w:beforeAutospacing="0" w:after="0" w:afterAutospacing="0"/>
        <w:jc w:val="center"/>
        <w:rPr>
          <w:b/>
          <w:bCs/>
          <w:sz w:val="20"/>
          <w:szCs w:val="20"/>
        </w:rPr>
      </w:pPr>
      <w:r>
        <w:rPr>
          <w:b/>
          <w:bCs/>
          <w:sz w:val="20"/>
          <w:szCs w:val="20"/>
        </w:rPr>
        <w:t xml:space="preserve">CORECIVIC, INC. AND SUBSIDIARIES </w:t>
      </w:r>
    </w:p>
    <w:p w:rsidR="00000000" w:rsidRDefault="00240F6E">
      <w:pPr>
        <w:pStyle w:val="a3"/>
        <w:spacing w:before="0" w:beforeAutospacing="0" w:after="0" w:afterAutospacing="0"/>
        <w:jc w:val="center"/>
        <w:rPr>
          <w:b/>
          <w:bCs/>
          <w:sz w:val="20"/>
          <w:szCs w:val="20"/>
        </w:rPr>
      </w:pPr>
      <w:r>
        <w:rPr>
          <w:b/>
          <w:bCs/>
          <w:sz w:val="20"/>
          <w:szCs w:val="20"/>
        </w:rPr>
        <w:t>CONSOLIDATED STATEMENTS OF CASH FLOWS</w:t>
      </w:r>
    </w:p>
    <w:p w:rsidR="00000000" w:rsidRDefault="00240F6E">
      <w:pPr>
        <w:pStyle w:val="a3"/>
        <w:spacing w:before="0" w:beforeAutospacing="0" w:after="0" w:afterAutospacing="0"/>
        <w:jc w:val="center"/>
        <w:rPr>
          <w:sz w:val="20"/>
          <w:szCs w:val="20"/>
        </w:rPr>
      </w:pPr>
      <w:r>
        <w:rPr>
          <w:sz w:val="20"/>
          <w:szCs w:val="20"/>
        </w:rPr>
        <w:t>(UNAUDITED AND AMOUNTS IN THOUSANDS)</w:t>
      </w:r>
    </w:p>
    <w:p w:rsidR="00000000" w:rsidRDefault="00240F6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553"/>
        <w:gridCol w:w="123"/>
        <w:gridCol w:w="115"/>
        <w:gridCol w:w="1059"/>
        <w:gridCol w:w="82"/>
        <w:gridCol w:w="117"/>
        <w:gridCol w:w="115"/>
        <w:gridCol w:w="1060"/>
        <w:gridCol w:w="82"/>
      </w:tblGrid>
      <w:tr w:rsidR="00000000">
        <w:trPr>
          <w:divId w:val="543517706"/>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pPr>
            <w: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16"/>
                <w:szCs w:val="16"/>
              </w:rPr>
            </w:pPr>
            <w:r>
              <w:rPr>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240F6E">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543517706"/>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16"/>
                <w:szCs w:val="16"/>
              </w:rPr>
            </w:pPr>
            <w:r>
              <w:rPr>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16"/>
                <w:szCs w:val="16"/>
              </w:rPr>
            </w:pPr>
            <w:r>
              <w:rPr>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543517706"/>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b/>
                <w:bCs/>
                <w:color w:val="000000"/>
                <w:sz w:val="20"/>
                <w:szCs w:val="20"/>
              </w:rPr>
            </w:pPr>
            <w:r>
              <w:rPr>
                <w:b/>
                <w:bCs/>
                <w:color w:val="000000"/>
                <w:sz w:val="20"/>
                <w:szCs w:val="20"/>
              </w:rPr>
              <w:t>CASH FLOWS FROM OPERATING ACTIVITIES:</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543517706"/>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Net income</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49,340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37,777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543517706"/>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Adjustments to reconcile net income to net cash provided by operating activities:</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543517706"/>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547"/>
              <w:rPr>
                <w:color w:val="000000"/>
                <w:sz w:val="20"/>
                <w:szCs w:val="20"/>
              </w:rPr>
            </w:pPr>
            <w:r>
              <w:rPr>
                <w:color w:val="000000"/>
                <w:sz w:val="20"/>
                <w:szCs w:val="20"/>
              </w:rPr>
              <w:t>Depreciation and amortization</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35,523</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38,089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543517706"/>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547"/>
              <w:rPr>
                <w:color w:val="000000"/>
                <w:sz w:val="20"/>
                <w:szCs w:val="20"/>
              </w:rPr>
            </w:pPr>
            <w:r>
              <w:rPr>
                <w:color w:val="000000"/>
                <w:sz w:val="20"/>
                <w:szCs w:val="20"/>
              </w:rPr>
              <w:t>Amortization of debt issuance costs and other non-cash interest</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857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891</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543517706"/>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547"/>
              <w:rPr>
                <w:color w:val="000000"/>
                <w:sz w:val="20"/>
                <w:szCs w:val="20"/>
              </w:rPr>
            </w:pPr>
            <w:r>
              <w:rPr>
                <w:color w:val="000000"/>
                <w:sz w:val="20"/>
                <w:szCs w:val="20"/>
              </w:rPr>
              <w:t>Deferred income taxes</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1,140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837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543517706"/>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547"/>
              <w:rPr>
                <w:color w:val="000000"/>
                <w:sz w:val="20"/>
                <w:szCs w:val="20"/>
              </w:rPr>
            </w:pPr>
            <w:r>
              <w:rPr>
                <w:color w:val="000000"/>
                <w:sz w:val="20"/>
                <w:szCs w:val="20"/>
              </w:rPr>
              <w:t>Non-cash revenue and other income</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(2,937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(4,318</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r>
      <w:tr w:rsidR="00000000">
        <w:trPr>
          <w:divId w:val="543517706"/>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547"/>
              <w:rPr>
                <w:color w:val="000000"/>
                <w:sz w:val="20"/>
                <w:szCs w:val="20"/>
              </w:rPr>
            </w:pPr>
            <w:r>
              <w:rPr>
                <w:color w:val="000000"/>
                <w:sz w:val="20"/>
                <w:szCs w:val="20"/>
              </w:rPr>
              <w:t>Non-cash equity compensation</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3,812</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3,486</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543517706"/>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547"/>
              <w:rPr>
                <w:color w:val="000000"/>
                <w:sz w:val="20"/>
                <w:szCs w:val="20"/>
              </w:rPr>
            </w:pPr>
            <w:r>
              <w:rPr>
                <w:color w:val="000000"/>
                <w:sz w:val="20"/>
                <w:szCs w:val="20"/>
              </w:rPr>
              <w:t>Other expenses and non-cash items</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3,423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1,939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543517706"/>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547"/>
              <w:rPr>
                <w:color w:val="000000"/>
                <w:sz w:val="20"/>
                <w:szCs w:val="20"/>
              </w:rPr>
            </w:pPr>
            <w:r>
              <w:rPr>
                <w:color w:val="000000"/>
                <w:sz w:val="20"/>
                <w:szCs w:val="20"/>
              </w:rPr>
              <w:t>Changes in assets and liabilities, net:</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543517706"/>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821"/>
              <w:rPr>
                <w:color w:val="000000"/>
                <w:sz w:val="20"/>
                <w:szCs w:val="20"/>
              </w:rPr>
            </w:pPr>
            <w:r>
              <w:rPr>
                <w:color w:val="000000"/>
                <w:sz w:val="20"/>
                <w:szCs w:val="20"/>
              </w:rPr>
              <w:t>Accounts receivable, prepaid expenses and other assets</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(2,564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41,249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543517706"/>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821"/>
              <w:rPr>
                <w:color w:val="000000"/>
                <w:sz w:val="20"/>
                <w:szCs w:val="20"/>
              </w:rPr>
            </w:pPr>
            <w:r>
              <w:rPr>
                <w:color w:val="000000"/>
                <w:sz w:val="20"/>
                <w:szCs w:val="20"/>
              </w:rPr>
              <w:t>Accounts payable, accrued expenses and other liabilities</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(11,921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(12,394</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r>
      <w:tr w:rsidR="00000000">
        <w:trPr>
          <w:divId w:val="543517706"/>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821"/>
              <w:rPr>
                <w:color w:val="000000"/>
                <w:sz w:val="20"/>
                <w:szCs w:val="20"/>
              </w:rPr>
            </w:pPr>
            <w:r>
              <w:rPr>
                <w:color w:val="000000"/>
                <w:sz w:val="20"/>
                <w:szCs w:val="20"/>
              </w:rPr>
              <w:t>Income taxes payable</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1,150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923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543517706"/>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1094"/>
              <w:rPr>
                <w:color w:val="000000"/>
                <w:sz w:val="20"/>
                <w:szCs w:val="20"/>
              </w:rPr>
            </w:pPr>
            <w:r>
              <w:rPr>
                <w:color w:val="000000"/>
                <w:sz w:val="20"/>
                <w:szCs w:val="20"/>
              </w:rPr>
              <w:t>Net cash provided by operating activities</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77,823</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108,479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543517706"/>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b/>
                <w:bCs/>
                <w:color w:val="000000"/>
                <w:sz w:val="20"/>
                <w:szCs w:val="20"/>
              </w:rPr>
            </w:pPr>
            <w:r>
              <w:rPr>
                <w:b/>
                <w:bCs/>
                <w:color w:val="000000"/>
                <w:sz w:val="20"/>
                <w:szCs w:val="20"/>
              </w:rPr>
              <w:t>CASH FLOWS FROM INVESTING ACTIVITIES:</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543517706"/>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Expenditures for facility development and expansions</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(36,037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(3,447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r>
      <w:tr w:rsidR="00000000">
        <w:trPr>
          <w:divId w:val="543517706"/>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Expenditures for other capital improvements</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(9,972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(17,285</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r>
      <w:tr w:rsidR="00000000">
        <w:trPr>
          <w:divId w:val="543517706"/>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Acquisitions, net of cash acquired</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(30,931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(48,461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r>
      <w:tr w:rsidR="00000000">
        <w:trPr>
          <w:divId w:val="543517706"/>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Proceeds from sale of assets</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331</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48</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543517706"/>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Increase in other assets</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(1,391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(705</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r>
      <w:tr w:rsidR="00000000">
        <w:trPr>
          <w:divId w:val="543517706"/>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1094"/>
              <w:rPr>
                <w:color w:val="000000"/>
                <w:sz w:val="20"/>
                <w:szCs w:val="20"/>
              </w:rPr>
            </w:pPr>
            <w:r>
              <w:rPr>
                <w:color w:val="000000"/>
                <w:sz w:val="20"/>
                <w:szCs w:val="20"/>
              </w:rPr>
              <w:t>Net cash used in investing activities</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(78,000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(69,850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r>
      <w:tr w:rsidR="00000000">
        <w:trPr>
          <w:divId w:val="543517706"/>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b/>
                <w:bCs/>
                <w:color w:val="000000"/>
                <w:sz w:val="20"/>
                <w:szCs w:val="20"/>
              </w:rPr>
            </w:pPr>
            <w:r>
              <w:rPr>
                <w:b/>
                <w:bCs/>
                <w:color w:val="000000"/>
                <w:sz w:val="20"/>
                <w:szCs w:val="20"/>
              </w:rPr>
              <w:t>CASH FLOWS FROM FINANCING ACTIVITIES:</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543517706"/>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Proceeds from issuance of debt and borrowings from credit facility</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197,141</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89,500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543517706"/>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Scheduled principal repayments</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(2,876</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(2,691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r>
      <w:tr w:rsidR="00000000">
        <w:trPr>
          <w:divId w:val="543517706"/>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Other principal repayments of debt</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(153,000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(66,000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r>
      <w:tr w:rsidR="00000000">
        <w:trPr>
          <w:divId w:val="543517706"/>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Payment of debt issuance and other refinancing and related costs</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(85</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(844</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r>
      <w:tr w:rsidR="00000000">
        <w:trPr>
          <w:divId w:val="543517706"/>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Payment of lease obligations for financing leases</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(134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(746</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r>
      <w:tr w:rsidR="00000000">
        <w:trPr>
          <w:divId w:val="543517706"/>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Contingent consideration for acquisition of businesses</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(6,378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543517706"/>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Dividends paid</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(52,365</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(51,106</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r>
      <w:tr w:rsidR="00000000">
        <w:trPr>
          <w:divId w:val="543517706"/>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Purchase and retirement of common stock</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(3,070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(2,525</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r>
      <w:tr w:rsidR="00000000">
        <w:trPr>
          <w:divId w:val="543517706"/>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Proceeds from exercise of stock options</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207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543517706"/>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1094"/>
              <w:rPr>
                <w:color w:val="000000"/>
                <w:sz w:val="20"/>
                <w:szCs w:val="20"/>
              </w:rPr>
            </w:pPr>
            <w:r>
              <w:rPr>
                <w:color w:val="000000"/>
                <w:sz w:val="20"/>
                <w:szCs w:val="20"/>
              </w:rPr>
              <w:t>Net cash used in financing activities</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(20,560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(34,412</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r>
      <w:tr w:rsidR="00000000">
        <w:trPr>
          <w:divId w:val="543517706"/>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b/>
                <w:bCs/>
                <w:color w:val="000000"/>
                <w:sz w:val="20"/>
                <w:szCs w:val="20"/>
              </w:rPr>
            </w:pPr>
            <w:r>
              <w:rPr>
                <w:b/>
                <w:bCs/>
                <w:color w:val="000000"/>
                <w:sz w:val="20"/>
                <w:szCs w:val="20"/>
              </w:rPr>
              <w:lastRenderedPageBreak/>
              <w:t>NET INCREASE (DECREASE) IN CASH, CASH EQUIVALENTS AND</w:t>
            </w:r>
          </w:p>
          <w:p w:rsidR="00000000" w:rsidRDefault="00240F6E">
            <w:pPr>
              <w:pStyle w:val="a3"/>
              <w:spacing w:before="0" w:beforeAutospacing="0" w:after="0" w:afterAutospacing="0"/>
              <w:rPr>
                <w:b/>
                <w:bCs/>
                <w:color w:val="000000"/>
                <w:sz w:val="20"/>
                <w:szCs w:val="20"/>
              </w:rPr>
            </w:pPr>
            <w:r>
              <w:rPr>
                <w:b/>
                <w:bCs/>
                <w:color w:val="000000"/>
                <w:sz w:val="20"/>
                <w:szCs w:val="20"/>
              </w:rPr>
              <w:t>     RESTRICTED CASH</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(20,737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4,217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543517706"/>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b/>
                <w:bCs/>
                <w:color w:val="000000"/>
                <w:sz w:val="20"/>
                <w:szCs w:val="20"/>
              </w:rPr>
            </w:pPr>
            <w:r>
              <w:rPr>
                <w:b/>
                <w:bCs/>
                <w:color w:val="000000"/>
                <w:sz w:val="20"/>
                <w:szCs w:val="20"/>
              </w:rPr>
              <w:t>CASH, CASH EQUIVALENTS AND RESTRICTED CASH, beginning of period</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74,137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52,183</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543517706"/>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b/>
                <w:bCs/>
                <w:color w:val="000000"/>
                <w:sz w:val="20"/>
                <w:szCs w:val="20"/>
              </w:rPr>
            </w:pPr>
            <w:r>
              <w:rPr>
                <w:b/>
                <w:bCs/>
                <w:color w:val="000000"/>
                <w:sz w:val="20"/>
                <w:szCs w:val="20"/>
              </w:rPr>
              <w:t>CASH, CASH EQUIVALENTS AND RESTRICTED CASH, end of period</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53,400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56,400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543517706"/>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b/>
                <w:bCs/>
                <w:color w:val="000000"/>
                <w:sz w:val="20"/>
                <w:szCs w:val="20"/>
              </w:rPr>
            </w:pPr>
            <w:r>
              <w:rPr>
                <w:b/>
                <w:bCs/>
                <w:color w:val="000000"/>
                <w:sz w:val="20"/>
                <w:szCs w:val="20"/>
              </w:rPr>
              <w:t>NON-CASH INVESTING AND FINANCING ACTIVITIES</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543517706"/>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      Establishment of right of use assets and lease liabilities</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82,917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644"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543517706"/>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b/>
                <w:bCs/>
                <w:color w:val="000000"/>
                <w:sz w:val="20"/>
                <w:szCs w:val="20"/>
              </w:rPr>
            </w:pPr>
            <w:r>
              <w:rPr>
                <w:b/>
                <w:bCs/>
                <w:color w:val="000000"/>
                <w:sz w:val="20"/>
                <w:szCs w:val="20"/>
              </w:rPr>
              <w:t>SUPPLEMENTAL DISCLOSURES OF CASH FLOW INFORMATION:</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543517706"/>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Cash paid during the period for:</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543517706"/>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547"/>
              <w:rPr>
                <w:color w:val="000000"/>
                <w:sz w:val="20"/>
                <w:szCs w:val="20"/>
              </w:rPr>
            </w:pPr>
            <w:r>
              <w:rPr>
                <w:color w:val="000000"/>
                <w:sz w:val="20"/>
                <w:szCs w:val="20"/>
              </w:rPr>
              <w:t>Interest (net of amounts capitalized of $924 and $0 in 2019 and 2018,</w:t>
            </w:r>
          </w:p>
          <w:p w:rsidR="00000000" w:rsidRDefault="00240F6E">
            <w:pPr>
              <w:pStyle w:val="a3"/>
              <w:spacing w:before="0" w:beforeAutospacing="0" w:after="0" w:afterAutospacing="0"/>
              <w:ind w:left="547"/>
              <w:rPr>
                <w:color w:val="000000"/>
                <w:sz w:val="20"/>
                <w:szCs w:val="20"/>
              </w:rPr>
            </w:pPr>
            <w:r>
              <w:rPr>
                <w:color w:val="000000"/>
                <w:sz w:val="20"/>
                <w:szCs w:val="20"/>
              </w:rPr>
              <w:t>   respectively)</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644"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18,522</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644"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3,278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543517706"/>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547"/>
              <w:rPr>
                <w:color w:val="000000"/>
                <w:sz w:val="20"/>
                <w:szCs w:val="20"/>
              </w:rPr>
            </w:pPr>
            <w:r>
              <w:rPr>
                <w:color w:val="000000"/>
                <w:sz w:val="20"/>
                <w:szCs w:val="20"/>
              </w:rPr>
              <w:t>Income taxes paid</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64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64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105</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
                <w:szCs w:val="2"/>
              </w:rPr>
            </w:pPr>
            <w:r>
              <w:rPr>
                <w:color w:val="000000"/>
                <w:sz w:val="2"/>
                <w:szCs w:val="2"/>
              </w:rPr>
              <w:t> </w:t>
            </w:r>
          </w:p>
        </w:tc>
      </w:tr>
    </w:tbl>
    <w:p w:rsidR="00000000" w:rsidRDefault="00240F6E">
      <w:pPr>
        <w:pStyle w:val="a3"/>
        <w:spacing w:before="0" w:beforeAutospacing="0" w:after="0" w:afterAutospacing="0"/>
        <w:jc w:val="center"/>
        <w:rPr>
          <w:sz w:val="20"/>
          <w:szCs w:val="20"/>
        </w:rPr>
      </w:pPr>
      <w:r>
        <w:rPr>
          <w:sz w:val="20"/>
          <w:szCs w:val="20"/>
        </w:rPr>
        <w:t> </w:t>
      </w:r>
    </w:p>
    <w:p w:rsidR="00000000" w:rsidRDefault="00240F6E">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240F6E">
      <w:pPr>
        <w:pStyle w:val="a3"/>
        <w:spacing w:before="0" w:beforeAutospacing="0" w:after="0" w:afterAutospacing="0"/>
        <w:jc w:val="center"/>
        <w:rPr>
          <w:sz w:val="18"/>
          <w:szCs w:val="18"/>
        </w:rPr>
      </w:pPr>
      <w:r>
        <w:rPr>
          <w:sz w:val="18"/>
          <w:szCs w:val="18"/>
        </w:rPr>
        <w:t> </w:t>
      </w:r>
    </w:p>
    <w:p w:rsidR="00000000" w:rsidRDefault="00240F6E">
      <w:pPr>
        <w:pStyle w:val="a3"/>
        <w:spacing w:before="240" w:beforeAutospacing="0" w:after="0" w:afterAutospacing="0"/>
        <w:jc w:val="center"/>
        <w:rPr>
          <w:sz w:val="20"/>
          <w:szCs w:val="20"/>
        </w:rPr>
      </w:pPr>
      <w:r>
        <w:rPr>
          <w:sz w:val="20"/>
          <w:szCs w:val="20"/>
        </w:rPr>
        <w:t>3</w:t>
      </w:r>
    </w:p>
    <w:p w:rsidR="00000000" w:rsidRDefault="00240F6E">
      <w:pPr>
        <w:rPr>
          <w:rFonts w:eastAsia="Times New Roman"/>
        </w:rPr>
      </w:pPr>
      <w:r>
        <w:rPr>
          <w:rFonts w:eastAsia="Times New Roman"/>
        </w:rPr>
        <w:pict>
          <v:rect id="_x0000_i1029" style="width:0;height:1.5pt" o:hralign="center" o:hrstd="t" o:hr="t" fillcolor="#a0a0a0" stroked="f"/>
        </w:pict>
      </w:r>
    </w:p>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0" w:beforeAutospacing="0" w:after="0" w:afterAutospacing="0"/>
        <w:jc w:val="center"/>
        <w:rPr>
          <w:b/>
          <w:bCs/>
          <w:sz w:val="20"/>
          <w:szCs w:val="20"/>
        </w:rPr>
      </w:pPr>
      <w:r>
        <w:rPr>
          <w:b/>
          <w:bCs/>
          <w:sz w:val="20"/>
          <w:szCs w:val="20"/>
        </w:rPr>
        <w:t>CORECIVIC, INC. AND SUBSIDIARIES</w:t>
      </w:r>
    </w:p>
    <w:p w:rsidR="00000000" w:rsidRDefault="00240F6E">
      <w:pPr>
        <w:pStyle w:val="a3"/>
        <w:spacing w:before="0" w:beforeAutospacing="0" w:after="0" w:afterAutospacing="0"/>
        <w:jc w:val="center"/>
        <w:rPr>
          <w:b/>
          <w:bCs/>
          <w:sz w:val="20"/>
          <w:szCs w:val="20"/>
        </w:rPr>
      </w:pPr>
      <w:r>
        <w:rPr>
          <w:b/>
          <w:bCs/>
          <w:sz w:val="20"/>
          <w:szCs w:val="20"/>
        </w:rPr>
        <w:t>CONSOLIDATED STATEMENT OF STOCKHOLDERS' EQUITY</w:t>
      </w:r>
    </w:p>
    <w:p w:rsidR="00000000" w:rsidRDefault="00240F6E">
      <w:pPr>
        <w:pStyle w:val="a3"/>
        <w:spacing w:before="0" w:beforeAutospacing="0" w:after="0" w:afterAutospacing="0"/>
        <w:jc w:val="center"/>
        <w:rPr>
          <w:b/>
          <w:bCs/>
          <w:sz w:val="20"/>
          <w:szCs w:val="20"/>
        </w:rPr>
      </w:pPr>
      <w:r>
        <w:rPr>
          <w:b/>
          <w:bCs/>
          <w:sz w:val="20"/>
          <w:szCs w:val="20"/>
        </w:rPr>
        <w:t>FOR THE QUARTERLY PERIOD ENDED MARCH 31, 2019</w:t>
      </w:r>
    </w:p>
    <w:p w:rsidR="00000000" w:rsidRDefault="00240F6E">
      <w:pPr>
        <w:pStyle w:val="a3"/>
        <w:spacing w:before="0" w:beforeAutospacing="0" w:after="0" w:afterAutospacing="0"/>
        <w:jc w:val="center"/>
        <w:rPr>
          <w:sz w:val="20"/>
          <w:szCs w:val="20"/>
        </w:rPr>
      </w:pPr>
      <w:r>
        <w:rPr>
          <w:sz w:val="20"/>
          <w:szCs w:val="20"/>
        </w:rPr>
        <w:t>(UNAUDITED AND AMOUNTS IN THOUSANDS)</w:t>
      </w:r>
    </w:p>
    <w:p w:rsidR="00000000" w:rsidRDefault="00240F6E">
      <w:pPr>
        <w:pStyle w:val="a3"/>
        <w:spacing w:before="0" w:beforeAutospacing="0" w:after="0" w:afterAutospacing="0"/>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3439"/>
        <w:gridCol w:w="65"/>
        <w:gridCol w:w="65"/>
        <w:gridCol w:w="665"/>
        <w:gridCol w:w="82"/>
        <w:gridCol w:w="65"/>
        <w:gridCol w:w="115"/>
        <w:gridCol w:w="465"/>
        <w:gridCol w:w="82"/>
        <w:gridCol w:w="65"/>
        <w:gridCol w:w="115"/>
        <w:gridCol w:w="815"/>
        <w:gridCol w:w="82"/>
        <w:gridCol w:w="65"/>
        <w:gridCol w:w="116"/>
        <w:gridCol w:w="818"/>
        <w:gridCol w:w="82"/>
        <w:gridCol w:w="65"/>
        <w:gridCol w:w="116"/>
        <w:gridCol w:w="842"/>
        <w:gridCol w:w="82"/>
      </w:tblGrid>
      <w:tr w:rsidR="00000000">
        <w:trPr>
          <w:divId w:val="350571797"/>
        </w:trPr>
        <w:tc>
          <w:tcPr>
            <w:tcW w:w="224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pPr>
            <w: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47" w:type="pct"/>
            <w:gridSpan w:val="2"/>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Additional</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447" w:type="pct"/>
            <w:gridSpan w:val="2"/>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350571797"/>
        </w:trPr>
        <w:tc>
          <w:tcPr>
            <w:tcW w:w="224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998"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Common Stock</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447" w:type="pct"/>
            <w:gridSpan w:val="2"/>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Paid-in</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Stockholders'</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350571797"/>
        </w:trPr>
        <w:tc>
          <w:tcPr>
            <w:tcW w:w="224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16"/>
                <w:szCs w:val="16"/>
              </w:rPr>
            </w:pPr>
            <w:r>
              <w:rPr>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16"/>
                <w:szCs w:val="16"/>
              </w:rPr>
            </w:pPr>
            <w:r>
              <w:rPr>
                <w:color w:val="000000"/>
                <w:sz w:val="16"/>
                <w:szCs w:val="16"/>
              </w:rPr>
              <w:t> </w:t>
            </w:r>
          </w:p>
        </w:tc>
        <w:tc>
          <w:tcPr>
            <w:tcW w:w="44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2" w:type="pct"/>
            <w:tcBorders>
              <w:top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Par Value</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2" w:type="pct"/>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Equity</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350571797"/>
        </w:trPr>
        <w:tc>
          <w:tcPr>
            <w:tcW w:w="22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Balance as of December 31, 2018</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118,674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1,187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1,807,202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2" w:type="pct"/>
            <w:tcBorders>
              <w:top w:val="single" w:sz="6" w:space="0" w:color="000000"/>
            </w:tcBorders>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(393,330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1,415,059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350571797"/>
        </w:trPr>
        <w:tc>
          <w:tcPr>
            <w:tcW w:w="22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Net income</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49,340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49,340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350571797"/>
        </w:trPr>
        <w:tc>
          <w:tcPr>
            <w:tcW w:w="22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Retirement of common stock</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(143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(3,069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(3,070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r>
      <w:tr w:rsidR="00000000">
        <w:trPr>
          <w:divId w:val="350571797"/>
        </w:trPr>
        <w:tc>
          <w:tcPr>
            <w:tcW w:w="22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Dividends declared on common stock ($0.44 per</w:t>
            </w:r>
          </w:p>
          <w:p w:rsidR="00000000" w:rsidRDefault="00240F6E">
            <w:pPr>
              <w:pStyle w:val="a3"/>
              <w:spacing w:before="0" w:beforeAutospacing="0" w:after="0" w:afterAutospacing="0"/>
              <w:rPr>
                <w:color w:val="000000"/>
                <w:sz w:val="20"/>
                <w:szCs w:val="20"/>
              </w:rPr>
            </w:pPr>
            <w:r>
              <w:rPr>
                <w:color w:val="000000"/>
                <w:sz w:val="20"/>
                <w:szCs w:val="20"/>
              </w:rPr>
              <w:t>   share)</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(52,994</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(52,994</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r>
      <w:tr w:rsidR="00000000">
        <w:trPr>
          <w:divId w:val="350571797"/>
        </w:trPr>
        <w:tc>
          <w:tcPr>
            <w:tcW w:w="22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Restricted stock compensation, net of forfeitures</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3,812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3,812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350571797"/>
        </w:trPr>
        <w:tc>
          <w:tcPr>
            <w:tcW w:w="22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Restricted stock grants</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521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350571797"/>
        </w:trPr>
        <w:tc>
          <w:tcPr>
            <w:tcW w:w="22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Stock options exercised</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16</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207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207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350571797"/>
        </w:trPr>
        <w:tc>
          <w:tcPr>
            <w:tcW w:w="22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Cumulative effect of adoption of new</w:t>
            </w:r>
          </w:p>
          <w:p w:rsidR="00000000" w:rsidRDefault="00240F6E">
            <w:pPr>
              <w:pStyle w:val="a3"/>
              <w:spacing w:before="0" w:beforeAutospacing="0" w:after="0" w:afterAutospacing="0"/>
              <w:rPr>
                <w:color w:val="000000"/>
                <w:sz w:val="20"/>
                <w:szCs w:val="20"/>
              </w:rPr>
            </w:pPr>
            <w:r>
              <w:rPr>
                <w:color w:val="000000"/>
                <w:sz w:val="20"/>
                <w:szCs w:val="20"/>
              </w:rPr>
              <w:t>   accounting standard</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(29,940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(29,940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r>
      <w:tr w:rsidR="00000000">
        <w:trPr>
          <w:divId w:val="350571797"/>
        </w:trPr>
        <w:tc>
          <w:tcPr>
            <w:tcW w:w="22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b/>
                <w:bCs/>
                <w:color w:val="000000"/>
                <w:sz w:val="20"/>
                <w:szCs w:val="20"/>
              </w:rPr>
            </w:pPr>
            <w:r>
              <w:rPr>
                <w:b/>
                <w:bCs/>
                <w:color w:val="000000"/>
                <w:sz w:val="20"/>
                <w:szCs w:val="20"/>
              </w:rPr>
              <w:t>Balance as of March 31, 2019</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9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119,068</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1,191</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1,808,147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(426,924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39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1,382,414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
                <w:szCs w:val="2"/>
              </w:rPr>
            </w:pPr>
            <w:r>
              <w:rPr>
                <w:b/>
                <w:bCs/>
                <w:color w:val="000000"/>
                <w:sz w:val="2"/>
                <w:szCs w:val="2"/>
              </w:rPr>
              <w:t> </w:t>
            </w:r>
          </w:p>
        </w:tc>
      </w:tr>
    </w:tbl>
    <w:p w:rsidR="00000000" w:rsidRDefault="00240F6E">
      <w:pPr>
        <w:pStyle w:val="a3"/>
        <w:spacing w:before="0" w:beforeAutospacing="0" w:after="0" w:afterAutospacing="0"/>
        <w:rPr>
          <w:b/>
          <w:bCs/>
          <w:sz w:val="20"/>
          <w:szCs w:val="20"/>
        </w:rPr>
      </w:pPr>
      <w:r>
        <w:rPr>
          <w:b/>
          <w:bCs/>
          <w:sz w:val="20"/>
          <w:szCs w:val="20"/>
        </w:rPr>
        <w:t> </w:t>
      </w:r>
    </w:p>
    <w:p w:rsidR="00000000" w:rsidRDefault="00240F6E">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240" w:beforeAutospacing="0" w:after="0" w:afterAutospacing="0"/>
        <w:jc w:val="center"/>
        <w:rPr>
          <w:sz w:val="20"/>
          <w:szCs w:val="20"/>
        </w:rPr>
      </w:pPr>
      <w:r>
        <w:rPr>
          <w:sz w:val="20"/>
          <w:szCs w:val="20"/>
        </w:rPr>
        <w:t>4</w:t>
      </w:r>
    </w:p>
    <w:p w:rsidR="00000000" w:rsidRDefault="00240F6E">
      <w:pPr>
        <w:rPr>
          <w:rFonts w:eastAsia="Times New Roman"/>
        </w:rPr>
      </w:pPr>
      <w:r>
        <w:rPr>
          <w:rFonts w:eastAsia="Times New Roman"/>
        </w:rPr>
        <w:pict>
          <v:rect id="_x0000_i1030" style="width:0;height:1.5pt" o:hralign="center" o:hrstd="t" o:hr="t" fillcolor="#a0a0a0" stroked="f"/>
        </w:pict>
      </w:r>
    </w:p>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0" w:beforeAutospacing="0" w:after="0" w:afterAutospacing="0"/>
        <w:jc w:val="center"/>
        <w:rPr>
          <w:b/>
          <w:bCs/>
          <w:sz w:val="20"/>
          <w:szCs w:val="20"/>
        </w:rPr>
      </w:pPr>
      <w:r>
        <w:rPr>
          <w:b/>
          <w:bCs/>
          <w:sz w:val="20"/>
          <w:szCs w:val="20"/>
        </w:rPr>
        <w:t>CORECIVIC, INC. AND SUBSIDIARIES</w:t>
      </w:r>
    </w:p>
    <w:p w:rsidR="00000000" w:rsidRDefault="00240F6E">
      <w:pPr>
        <w:pStyle w:val="a3"/>
        <w:spacing w:before="0" w:beforeAutospacing="0" w:after="0" w:afterAutospacing="0"/>
        <w:jc w:val="center"/>
        <w:rPr>
          <w:b/>
          <w:bCs/>
          <w:sz w:val="20"/>
          <w:szCs w:val="20"/>
        </w:rPr>
      </w:pPr>
      <w:r>
        <w:rPr>
          <w:b/>
          <w:bCs/>
          <w:sz w:val="20"/>
          <w:szCs w:val="20"/>
        </w:rPr>
        <w:t>CONSOLIDATED STATEMENT OF STOCKHOLDERS' EQUITY</w:t>
      </w:r>
    </w:p>
    <w:p w:rsidR="00000000" w:rsidRDefault="00240F6E">
      <w:pPr>
        <w:pStyle w:val="a3"/>
        <w:spacing w:before="0" w:beforeAutospacing="0" w:after="0" w:afterAutospacing="0"/>
        <w:jc w:val="center"/>
        <w:rPr>
          <w:b/>
          <w:bCs/>
          <w:sz w:val="20"/>
          <w:szCs w:val="20"/>
        </w:rPr>
      </w:pPr>
      <w:r>
        <w:rPr>
          <w:b/>
          <w:bCs/>
          <w:sz w:val="20"/>
          <w:szCs w:val="20"/>
        </w:rPr>
        <w:t>FOR THE QUARTERLY PERIOD ENDED MARCH 31, 2018</w:t>
      </w:r>
    </w:p>
    <w:p w:rsidR="00000000" w:rsidRDefault="00240F6E">
      <w:pPr>
        <w:pStyle w:val="a3"/>
        <w:spacing w:before="0" w:beforeAutospacing="0" w:after="0" w:afterAutospacing="0"/>
        <w:jc w:val="center"/>
        <w:rPr>
          <w:sz w:val="20"/>
          <w:szCs w:val="20"/>
        </w:rPr>
      </w:pPr>
      <w:r>
        <w:rPr>
          <w:sz w:val="20"/>
          <w:szCs w:val="20"/>
        </w:rPr>
        <w:t>(UNAUDITED AND AMOUNTS IN THOUSANDS)</w:t>
      </w:r>
    </w:p>
    <w:p w:rsidR="00000000" w:rsidRDefault="00240F6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230"/>
        <w:gridCol w:w="65"/>
        <w:gridCol w:w="65"/>
        <w:gridCol w:w="665"/>
        <w:gridCol w:w="82"/>
        <w:gridCol w:w="65"/>
        <w:gridCol w:w="115"/>
        <w:gridCol w:w="465"/>
        <w:gridCol w:w="82"/>
        <w:gridCol w:w="65"/>
        <w:gridCol w:w="115"/>
        <w:gridCol w:w="815"/>
        <w:gridCol w:w="82"/>
        <w:gridCol w:w="65"/>
        <w:gridCol w:w="116"/>
        <w:gridCol w:w="806"/>
        <w:gridCol w:w="82"/>
        <w:gridCol w:w="65"/>
        <w:gridCol w:w="136"/>
        <w:gridCol w:w="947"/>
        <w:gridCol w:w="82"/>
        <w:gridCol w:w="65"/>
        <w:gridCol w:w="120"/>
        <w:gridCol w:w="829"/>
        <w:gridCol w:w="82"/>
      </w:tblGrid>
      <w:tr w:rsidR="00000000">
        <w:trPr>
          <w:divId w:val="142701535"/>
        </w:trPr>
        <w:tc>
          <w:tcPr>
            <w:tcW w:w="2026"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pPr>
            <w:r>
              <w:lastRenderedPageBreak/>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48"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48"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98" w:type="pct"/>
            <w:gridSpan w:val="2"/>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Additional</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48"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98" w:type="pct"/>
            <w:gridSpan w:val="2"/>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Accumulated Other</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398" w:type="pct"/>
            <w:gridSpan w:val="2"/>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Total</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142701535"/>
        </w:trPr>
        <w:tc>
          <w:tcPr>
            <w:tcW w:w="2026"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894"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Common Stock</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398" w:type="pct"/>
            <w:gridSpan w:val="2"/>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Paid-in</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398" w:type="pct"/>
            <w:gridSpan w:val="2"/>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Accumulated</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398" w:type="pct"/>
            <w:gridSpan w:val="2"/>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Comprehensive</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398" w:type="pct"/>
            <w:gridSpan w:val="2"/>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Stockholders'</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142701535"/>
        </w:trPr>
        <w:tc>
          <w:tcPr>
            <w:tcW w:w="2026"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16"/>
                <w:szCs w:val="16"/>
              </w:rPr>
            </w:pPr>
            <w:r>
              <w:rPr>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16"/>
                <w:szCs w:val="16"/>
              </w:rPr>
            </w:pPr>
            <w:r>
              <w:rPr>
                <w:color w:val="000000"/>
                <w:sz w:val="16"/>
                <w:szCs w:val="16"/>
              </w:rPr>
              <w:t> </w:t>
            </w:r>
          </w:p>
        </w:tc>
        <w:tc>
          <w:tcPr>
            <w:tcW w:w="39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Shares</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398"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Par Value</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39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Capital</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39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Deficit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39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Loss</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398"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Equity</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142701535"/>
        </w:trPr>
        <w:tc>
          <w:tcPr>
            <w:tcW w:w="2026"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Balance as of December 31, 2017</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118,204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1,182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1,794,713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(344,287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1,451,608</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42701535"/>
        </w:trPr>
        <w:tc>
          <w:tcPr>
            <w:tcW w:w="2026"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Comprehensive income</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42701535"/>
        </w:trPr>
        <w:tc>
          <w:tcPr>
            <w:tcW w:w="2026"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   Net income</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37,777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37,777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42701535"/>
        </w:trPr>
        <w:tc>
          <w:tcPr>
            <w:tcW w:w="2026"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   Change in fair value of interest rate swap, net of tax</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(2,028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(2,028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r>
      <w:tr w:rsidR="00000000">
        <w:trPr>
          <w:divId w:val="142701535"/>
        </w:trPr>
        <w:tc>
          <w:tcPr>
            <w:tcW w:w="2026"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Total comprehensive income</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37,777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(2,028</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35,749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42701535"/>
        </w:trPr>
        <w:tc>
          <w:tcPr>
            <w:tcW w:w="2026"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Retirement of common stock</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(117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(2,524</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(2,525</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r>
      <w:tr w:rsidR="00000000">
        <w:trPr>
          <w:divId w:val="142701535"/>
        </w:trPr>
        <w:tc>
          <w:tcPr>
            <w:tcW w:w="2026"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Dividends declared on common stock ($0.43 per</w:t>
            </w:r>
          </w:p>
          <w:p w:rsidR="00000000" w:rsidRDefault="00240F6E">
            <w:pPr>
              <w:pStyle w:val="a3"/>
              <w:spacing w:before="0" w:beforeAutospacing="0" w:after="0" w:afterAutospacing="0"/>
              <w:rPr>
                <w:color w:val="000000"/>
                <w:sz w:val="20"/>
                <w:szCs w:val="20"/>
              </w:rPr>
            </w:pPr>
            <w:r>
              <w:rPr>
                <w:color w:val="000000"/>
                <w:sz w:val="20"/>
                <w:szCs w:val="20"/>
              </w:rPr>
              <w:t>   share)</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(51,533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(51,533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r>
      <w:tr w:rsidR="00000000">
        <w:trPr>
          <w:divId w:val="142701535"/>
        </w:trPr>
        <w:tc>
          <w:tcPr>
            <w:tcW w:w="2026"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Restricted stock compensation, net of forfeitures</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3,486</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3,486</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42701535"/>
        </w:trPr>
        <w:tc>
          <w:tcPr>
            <w:tcW w:w="2026"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Restricted stock grants</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457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42701535"/>
        </w:trPr>
        <w:tc>
          <w:tcPr>
            <w:tcW w:w="2026"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Cumulative effect of adoption of new</w:t>
            </w:r>
          </w:p>
          <w:p w:rsidR="00000000" w:rsidRDefault="00240F6E">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accounting standard</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(2,575</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(2,575</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r>
      <w:tr w:rsidR="00000000">
        <w:trPr>
          <w:divId w:val="142701535"/>
        </w:trPr>
        <w:tc>
          <w:tcPr>
            <w:tcW w:w="2026"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Balance as of March 31, 2018</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4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118,544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1,185</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1,795,671</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(360,618</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(2,028</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48"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1,434,210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
                <w:szCs w:val="2"/>
              </w:rPr>
            </w:pPr>
            <w:r>
              <w:rPr>
                <w:color w:val="000000"/>
                <w:sz w:val="2"/>
                <w:szCs w:val="2"/>
              </w:rPr>
              <w:t> </w:t>
            </w:r>
          </w:p>
        </w:tc>
      </w:tr>
    </w:tbl>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0" w:beforeAutospacing="0" w:after="0" w:afterAutospacing="0"/>
        <w:jc w:val="center"/>
        <w:rPr>
          <w:sz w:val="20"/>
          <w:szCs w:val="20"/>
        </w:rPr>
      </w:pPr>
      <w:r>
        <w:rPr>
          <w:sz w:val="20"/>
          <w:szCs w:val="20"/>
        </w:rPr>
        <w:t>The accompanying notes are an integral part of these consolidated financial statements.</w:t>
      </w:r>
    </w:p>
    <w:p w:rsidR="00000000" w:rsidRDefault="00240F6E">
      <w:pPr>
        <w:pStyle w:val="a3"/>
        <w:spacing w:before="0" w:beforeAutospacing="0" w:after="0" w:afterAutospacing="0"/>
        <w:jc w:val="center"/>
        <w:rPr>
          <w:sz w:val="18"/>
          <w:szCs w:val="18"/>
        </w:rPr>
      </w:pPr>
      <w:r>
        <w:rPr>
          <w:sz w:val="18"/>
          <w:szCs w:val="18"/>
        </w:rPr>
        <w:t> </w:t>
      </w:r>
    </w:p>
    <w:p w:rsidR="00000000" w:rsidRDefault="00240F6E">
      <w:pPr>
        <w:pStyle w:val="a3"/>
        <w:spacing w:before="240" w:beforeAutospacing="0" w:after="0" w:afterAutospacing="0"/>
        <w:jc w:val="center"/>
        <w:rPr>
          <w:sz w:val="20"/>
          <w:szCs w:val="20"/>
        </w:rPr>
      </w:pPr>
      <w:r>
        <w:rPr>
          <w:sz w:val="20"/>
          <w:szCs w:val="20"/>
        </w:rPr>
        <w:t>5</w:t>
      </w:r>
    </w:p>
    <w:p w:rsidR="00000000" w:rsidRDefault="00240F6E">
      <w:pPr>
        <w:rPr>
          <w:rFonts w:eastAsia="Times New Roman"/>
        </w:rPr>
      </w:pPr>
      <w:r>
        <w:rPr>
          <w:rFonts w:eastAsia="Times New Roman"/>
        </w:rPr>
        <w:pict>
          <v:rect id="_x0000_i1031" style="width:0;height:1.5pt" o:hralign="center" o:hrstd="t" o:hr="t" fillcolor="#a0a0a0" stroked="f"/>
        </w:pict>
      </w:r>
    </w:p>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0" w:beforeAutospacing="0" w:after="0" w:afterAutospacing="0"/>
        <w:jc w:val="center"/>
        <w:rPr>
          <w:b/>
          <w:bCs/>
          <w:sz w:val="20"/>
          <w:szCs w:val="20"/>
        </w:rPr>
      </w:pPr>
      <w:r>
        <w:rPr>
          <w:b/>
          <w:bCs/>
          <w:sz w:val="20"/>
          <w:szCs w:val="20"/>
        </w:rPr>
        <w:t>CORECIVIC, INC. AND SUBSIDIARIES</w:t>
      </w:r>
    </w:p>
    <w:p w:rsidR="00000000" w:rsidRDefault="00240F6E">
      <w:pPr>
        <w:pStyle w:val="a3"/>
        <w:spacing w:before="0" w:beforeAutospacing="0" w:after="0" w:afterAutospacing="0"/>
        <w:jc w:val="center"/>
        <w:rPr>
          <w:sz w:val="20"/>
          <w:szCs w:val="20"/>
        </w:rPr>
      </w:pPr>
      <w:r>
        <w:rPr>
          <w:sz w:val="20"/>
          <w:szCs w:val="20"/>
        </w:rPr>
        <w:t> </w:t>
      </w:r>
    </w:p>
    <w:p w:rsidR="00000000" w:rsidRDefault="00240F6E">
      <w:pPr>
        <w:pStyle w:val="a3"/>
        <w:spacing w:before="0" w:beforeAutospacing="0" w:after="0" w:afterAutospacing="0"/>
        <w:jc w:val="center"/>
        <w:rPr>
          <w:b/>
          <w:bCs/>
          <w:sz w:val="20"/>
          <w:szCs w:val="20"/>
        </w:rPr>
      </w:pPr>
      <w:r>
        <w:rPr>
          <w:b/>
          <w:bCs/>
          <w:sz w:val="20"/>
          <w:szCs w:val="20"/>
        </w:rPr>
        <w:t>NOTES TO CONSOLIDATED FINANCIAL STATEMENTS (UNAUDITED)</w:t>
      </w:r>
    </w:p>
    <w:p w:rsidR="00000000" w:rsidRDefault="00240F6E">
      <w:pPr>
        <w:pStyle w:val="a3"/>
        <w:spacing w:before="0" w:beforeAutospacing="0" w:after="0" w:afterAutospacing="0"/>
        <w:jc w:val="center"/>
        <w:rPr>
          <w:sz w:val="20"/>
          <w:szCs w:val="20"/>
        </w:rPr>
      </w:pPr>
      <w:r>
        <w:rPr>
          <w:sz w:val="20"/>
          <w:szCs w:val="20"/>
        </w:rPr>
        <w:t> </w:t>
      </w:r>
    </w:p>
    <w:p w:rsidR="00000000" w:rsidRDefault="00240F6E">
      <w:pPr>
        <w:pStyle w:val="a3"/>
        <w:spacing w:before="0" w:beforeAutospacing="0" w:after="0" w:afterAutospacing="0"/>
        <w:jc w:val="center"/>
        <w:rPr>
          <w:b/>
          <w:bCs/>
          <w:sz w:val="20"/>
          <w:szCs w:val="20"/>
        </w:rPr>
      </w:pPr>
      <w:r>
        <w:rPr>
          <w:b/>
          <w:bCs/>
          <w:sz w:val="20"/>
          <w:szCs w:val="20"/>
        </w:rPr>
        <w:t>MARCH 31, 2019</w:t>
      </w:r>
    </w:p>
    <w:p w:rsidR="00000000" w:rsidRDefault="00240F6E">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646395774"/>
        </w:trPr>
        <w:tc>
          <w:tcPr>
            <w:tcW w:w="227" w:type="pct"/>
            <w:noWrap/>
            <w:hideMark/>
          </w:tcPr>
          <w:p w:rsidR="00000000" w:rsidRDefault="00240F6E">
            <w:pPr>
              <w:pStyle w:val="a3"/>
              <w:spacing w:before="0" w:beforeAutospacing="0" w:after="0" w:afterAutospacing="0"/>
              <w:jc w:val="both"/>
              <w:rPr>
                <w:b/>
                <w:bCs/>
                <w:sz w:val="20"/>
                <w:szCs w:val="20"/>
              </w:rPr>
            </w:pPr>
            <w:r>
              <w:rPr>
                <w:b/>
                <w:bCs/>
                <w:sz w:val="20"/>
                <w:szCs w:val="20"/>
              </w:rPr>
              <w:t>1.</w:t>
            </w:r>
          </w:p>
        </w:tc>
        <w:tc>
          <w:tcPr>
            <w:tcW w:w="0" w:type="auto"/>
            <w:hideMark/>
          </w:tcPr>
          <w:p w:rsidR="00000000" w:rsidRDefault="00240F6E">
            <w:pPr>
              <w:pStyle w:val="a3"/>
              <w:spacing w:before="0" w:beforeAutospacing="0" w:after="0" w:afterAutospacing="0"/>
              <w:jc w:val="both"/>
              <w:rPr>
                <w:b/>
                <w:bCs/>
                <w:sz w:val="20"/>
                <w:szCs w:val="20"/>
              </w:rPr>
            </w:pPr>
            <w:r>
              <w:rPr>
                <w:b/>
                <w:bCs/>
                <w:sz w:val="20"/>
                <w:szCs w:val="20"/>
              </w:rPr>
              <w:t>ORGANIZATION AND OPERATIONS</w:t>
            </w:r>
          </w:p>
        </w:tc>
      </w:tr>
    </w:tbl>
    <w:p w:rsidR="00000000" w:rsidRDefault="00240F6E">
      <w:pPr>
        <w:pStyle w:val="a3"/>
        <w:spacing w:before="120" w:beforeAutospacing="0" w:after="0" w:afterAutospacing="0"/>
        <w:ind w:left="476"/>
        <w:jc w:val="both"/>
        <w:rPr>
          <w:sz w:val="20"/>
          <w:szCs w:val="20"/>
        </w:rPr>
      </w:pPr>
      <w:r>
        <w:rPr>
          <w:sz w:val="20"/>
          <w:szCs w:val="20"/>
        </w:rPr>
        <w:t>CoreCivic, Inc. (together with its subsidiaries, the "Company" or "CoreCivic"</w:t>
      </w:r>
      <w:r>
        <w:rPr>
          <w:sz w:val="20"/>
          <w:szCs w:val="20"/>
        </w:rPr>
        <w:t xml:space="preserve">) is the nation's largest owner of partnership correctional, detention, and residential reentry facilities and one of the largest prison operators in the United States.  The Company also believes it is the largest private owner of real estate used by U.S. </w:t>
      </w:r>
      <w:r>
        <w:rPr>
          <w:sz w:val="20"/>
          <w:szCs w:val="20"/>
        </w:rPr>
        <w:t xml:space="preserve">government agencies. Through three segments, CoreCivic Safety, CoreCivic Community, and CoreCivic Properties, the Company provides a broad range of solutions to government partners that serve the public good through corrections and detention management, a </w:t>
      </w:r>
      <w:r>
        <w:rPr>
          <w:sz w:val="20"/>
          <w:szCs w:val="20"/>
        </w:rPr>
        <w:t>growing network of residential reentry centers to help address America's recidivism crisis, and government real estate solutions.  As of March 31, 2019, through its CoreCivic Safety segment, the Company operated 51 correctional and detention facilities, 44</w:t>
      </w:r>
      <w:r>
        <w:rPr>
          <w:sz w:val="20"/>
          <w:szCs w:val="20"/>
        </w:rPr>
        <w:t xml:space="preserve"> of which the Company owned, with a total design capacity of approximately 73,000 beds.  Through its CoreCivic Community segment, the Company owned and operated 27 residential reentry centers with a total design capacity of approximately 5,000 beds.  In ad</w:t>
      </w:r>
      <w:r>
        <w:rPr>
          <w:sz w:val="20"/>
          <w:szCs w:val="20"/>
        </w:rPr>
        <w:t xml:space="preserve">dition, through its CoreCivic Properties segment, the Company owned 27 properties leased to third parties and used by government agencies, totaling 2.3 million square feet. </w:t>
      </w:r>
    </w:p>
    <w:p w:rsidR="00000000" w:rsidRDefault="00240F6E">
      <w:pPr>
        <w:pStyle w:val="a3"/>
        <w:spacing w:before="240" w:beforeAutospacing="0" w:after="0" w:afterAutospacing="0"/>
        <w:ind w:left="476"/>
        <w:jc w:val="both"/>
        <w:rPr>
          <w:sz w:val="20"/>
          <w:szCs w:val="20"/>
        </w:rPr>
      </w:pPr>
      <w:r>
        <w:rPr>
          <w:sz w:val="20"/>
          <w:szCs w:val="20"/>
        </w:rPr>
        <w:t>In addition to providing fundamental residential services, CoreCivic's correctiona</w:t>
      </w:r>
      <w:r>
        <w:rPr>
          <w:sz w:val="20"/>
          <w:szCs w:val="20"/>
        </w:rPr>
        <w:t>l, detention, and reentry facilities offer a variety of rehabilitation and educational programs, including basic education, faith-based services, life skills and employment training, and substance abuse treatment.  These services are intended to help reduc</w:t>
      </w:r>
      <w:r>
        <w:rPr>
          <w:sz w:val="20"/>
          <w:szCs w:val="20"/>
        </w:rPr>
        <w:t>e recidivism and to prepare offenders for their successful reentry into society upon their release.  CoreCivic also provides or makes available to offenders certain health care (including medical, dental, and mental health services), food services, and wor</w:t>
      </w:r>
      <w:r>
        <w:rPr>
          <w:sz w:val="20"/>
          <w:szCs w:val="20"/>
        </w:rPr>
        <w:t xml:space="preserve">k and recreational programs. </w:t>
      </w:r>
    </w:p>
    <w:p w:rsidR="00000000" w:rsidRDefault="00240F6E">
      <w:pPr>
        <w:pStyle w:val="a3"/>
        <w:spacing w:before="240" w:beforeAutospacing="0" w:after="0" w:afterAutospacing="0"/>
        <w:ind w:left="476"/>
        <w:jc w:val="both"/>
        <w:rPr>
          <w:sz w:val="20"/>
          <w:szCs w:val="20"/>
        </w:rPr>
      </w:pPr>
      <w:r>
        <w:rPr>
          <w:sz w:val="20"/>
          <w:szCs w:val="20"/>
        </w:rPr>
        <w:t>CoreCivic began operating as a real estate investment trust ("REIT") effective January 1, 2013.  </w:t>
      </w:r>
      <w:r>
        <w:rPr>
          <w:sz w:val="20"/>
          <w:szCs w:val="20"/>
        </w:rPr>
        <w:t>The Company provides services and conducts other business activities through taxable REIT subsidiaries ("TRSs"). A TRS is a subsidiary of a REIT that is subject to applicable corporate income tax and certain qualification requirements. The Company's use of</w:t>
      </w:r>
      <w:r>
        <w:rPr>
          <w:sz w:val="20"/>
          <w:szCs w:val="20"/>
        </w:rPr>
        <w:t xml:space="preserve"> TRSs permits CoreCivic to engage in certain business activities in which the REIT may not engage directly, so long as these activities are conducted in entities that elect to be treated as TRSs under the Internal Revenue Code of 1986, as amended, and enab</w:t>
      </w:r>
      <w:r>
        <w:rPr>
          <w:sz w:val="20"/>
          <w:szCs w:val="20"/>
        </w:rPr>
        <w:t>le CoreCivic to, among other things, provide correctional services at facilities it owns and at facilities owned by its government partners.  A TRS is not subject to the distribution requirements applicable to REITs so it may retain income generated by its</w:t>
      </w:r>
      <w:r>
        <w:rPr>
          <w:sz w:val="20"/>
          <w:szCs w:val="20"/>
        </w:rPr>
        <w:t xml:space="preserve"> operations for reinvestment.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630551151"/>
        </w:trPr>
        <w:tc>
          <w:tcPr>
            <w:tcW w:w="227" w:type="pct"/>
            <w:noWrap/>
            <w:hideMark/>
          </w:tcPr>
          <w:p w:rsidR="00000000" w:rsidRDefault="00240F6E">
            <w:pPr>
              <w:pStyle w:val="a3"/>
              <w:spacing w:before="360" w:beforeAutospacing="0" w:after="0" w:afterAutospacing="0"/>
              <w:rPr>
                <w:b/>
                <w:bCs/>
                <w:sz w:val="20"/>
                <w:szCs w:val="20"/>
              </w:rPr>
            </w:pPr>
            <w:r>
              <w:rPr>
                <w:b/>
                <w:bCs/>
                <w:sz w:val="20"/>
                <w:szCs w:val="20"/>
              </w:rPr>
              <w:t>2.</w:t>
            </w:r>
          </w:p>
        </w:tc>
        <w:tc>
          <w:tcPr>
            <w:tcW w:w="0" w:type="auto"/>
            <w:hideMark/>
          </w:tcPr>
          <w:p w:rsidR="00000000" w:rsidRDefault="00240F6E">
            <w:pPr>
              <w:pStyle w:val="a3"/>
              <w:spacing w:before="360" w:beforeAutospacing="0" w:after="0" w:afterAutospacing="0"/>
              <w:rPr>
                <w:b/>
                <w:bCs/>
                <w:sz w:val="20"/>
                <w:szCs w:val="20"/>
              </w:rPr>
            </w:pPr>
            <w:r>
              <w:rPr>
                <w:b/>
                <w:bCs/>
                <w:sz w:val="20"/>
                <w:szCs w:val="20"/>
              </w:rPr>
              <w:t>BASIS OF PRESENTATION AND SUMMARY OF SIGNIFICANT ACCOUNTING POLICIES</w:t>
            </w:r>
          </w:p>
        </w:tc>
      </w:tr>
    </w:tbl>
    <w:p w:rsidR="00000000" w:rsidRDefault="00240F6E">
      <w:pPr>
        <w:pStyle w:val="a3"/>
        <w:spacing w:before="0" w:beforeAutospacing="0" w:after="0" w:afterAutospacing="0"/>
        <w:jc w:val="both"/>
        <w:rPr>
          <w:b/>
          <w:bCs/>
          <w:sz w:val="12"/>
          <w:szCs w:val="12"/>
        </w:rPr>
      </w:pPr>
      <w:r>
        <w:rPr>
          <w:b/>
          <w:bCs/>
          <w:sz w:val="12"/>
          <w:szCs w:val="12"/>
        </w:rPr>
        <w:t> </w:t>
      </w:r>
    </w:p>
    <w:p w:rsidR="00000000" w:rsidRDefault="00240F6E">
      <w:pPr>
        <w:pStyle w:val="a3"/>
        <w:spacing w:before="0" w:beforeAutospacing="0" w:after="0" w:afterAutospacing="0"/>
        <w:ind w:left="476"/>
        <w:jc w:val="both"/>
        <w:rPr>
          <w:sz w:val="20"/>
          <w:szCs w:val="20"/>
        </w:rPr>
      </w:pPr>
      <w:r>
        <w:rPr>
          <w:sz w:val="20"/>
          <w:szCs w:val="20"/>
        </w:rPr>
        <w:t>The accompanying unaudited interim consolidated financial statements have been prepared by the Company and, in the opinion of management, reflect all</w:t>
      </w:r>
      <w:r>
        <w:rPr>
          <w:sz w:val="20"/>
          <w:szCs w:val="20"/>
        </w:rPr>
        <w:t xml:space="preserve"> normal recurring adjustments necessary for a fair presentation of results for the unaudited interim periods presented.  Certain information and footnote disclosures normally included in financial statements prepared in accordance with U.S. generally accep</w:t>
      </w:r>
      <w:r>
        <w:rPr>
          <w:sz w:val="20"/>
          <w:szCs w:val="20"/>
        </w:rPr>
        <w:t>ted accounting principles ("US GAAP") have been condensed or omitted.  The results of operations for the interim period are not necessarily indicative of the results to be obtained for the full fiscal year.  Reference is made to the audited financial state</w:t>
      </w:r>
      <w:r>
        <w:rPr>
          <w:sz w:val="20"/>
          <w:szCs w:val="20"/>
        </w:rPr>
        <w:t xml:space="preserve">ments of CoreCivic included in its Annual Report on Form 10-K for the year ended December 31, 2018 filed with the Securities and Exchange Commission (the "SEC") on February 25, 2019 (the "2018 Form 10-K") with respect to certain significant accounting and </w:t>
      </w:r>
      <w:r>
        <w:rPr>
          <w:sz w:val="20"/>
          <w:szCs w:val="20"/>
        </w:rPr>
        <w:t xml:space="preserve">financial reporting policies as well as other pertinent information of the Company. </w:t>
      </w:r>
    </w:p>
    <w:p w:rsidR="00000000" w:rsidRDefault="00240F6E">
      <w:pPr>
        <w:pStyle w:val="a3"/>
        <w:spacing w:before="240" w:beforeAutospacing="0" w:after="0" w:afterAutospacing="0"/>
        <w:ind w:left="476"/>
        <w:jc w:val="both"/>
        <w:rPr>
          <w:sz w:val="20"/>
          <w:szCs w:val="20"/>
        </w:rPr>
      </w:pPr>
      <w:r>
        <w:rPr>
          <w:sz w:val="20"/>
          <w:szCs w:val="20"/>
        </w:rPr>
        <w:t>Certain reclassifications have been made to the consolidated balance sheets in 2018 to conform to the current year presentation.  </w:t>
      </w:r>
    </w:p>
    <w:p w:rsidR="00000000" w:rsidRDefault="00240F6E">
      <w:pPr>
        <w:pStyle w:val="a3"/>
        <w:spacing w:before="240" w:beforeAutospacing="0" w:after="0" w:afterAutospacing="0"/>
        <w:ind w:left="476"/>
        <w:jc w:val="both"/>
        <w:rPr>
          <w:b/>
          <w:bCs/>
          <w:sz w:val="20"/>
          <w:szCs w:val="20"/>
        </w:rPr>
      </w:pPr>
      <w:r>
        <w:rPr>
          <w:b/>
          <w:bCs/>
          <w:sz w:val="20"/>
          <w:szCs w:val="20"/>
        </w:rPr>
        <w:t>Recent Accounting Pronouncements – Lease</w:t>
      </w:r>
      <w:r>
        <w:rPr>
          <w:b/>
          <w:bCs/>
          <w:sz w:val="20"/>
          <w:szCs w:val="20"/>
        </w:rPr>
        <w:t xml:space="preserve"> Adoption</w:t>
      </w:r>
    </w:p>
    <w:p w:rsidR="00000000" w:rsidRDefault="00240F6E">
      <w:pPr>
        <w:pStyle w:val="a3"/>
        <w:spacing w:before="120" w:beforeAutospacing="0" w:after="0" w:afterAutospacing="0"/>
        <w:ind w:left="476"/>
        <w:jc w:val="both"/>
        <w:rPr>
          <w:sz w:val="20"/>
          <w:szCs w:val="20"/>
        </w:rPr>
      </w:pPr>
      <w:r>
        <w:rPr>
          <w:sz w:val="20"/>
          <w:szCs w:val="20"/>
        </w:rPr>
        <w:t>In February 2016, the Financial Accounting Standards Board ("FASB") issued Accounting Standards Update ("ASU") 2016-02, "Leases (Topic 842)", which requires lessees to put most leases on their balance sheets but recognize expenses on their income</w:t>
      </w:r>
      <w:r>
        <w:rPr>
          <w:sz w:val="20"/>
          <w:szCs w:val="20"/>
        </w:rPr>
        <w:t xml:space="preserve"> statements in a manner similar to current accounting requirements.  ASU 2016-02 also eliminates current real estate-specific provisions for all entities.  For lessors, the ASU modifies the classification criteria and the accounting for sales-type and dire</w:t>
      </w:r>
      <w:r>
        <w:rPr>
          <w:sz w:val="20"/>
          <w:szCs w:val="20"/>
        </w:rPr>
        <w:t>ct financing leases.  For finance leases and operating leases, a lessee should recognize on the balance sheet a liability to make lease payments and a right-of-use ("ROU") asset representing its right to use the underlying asset for the lease term, with ea</w:t>
      </w:r>
      <w:r>
        <w:rPr>
          <w:sz w:val="20"/>
          <w:szCs w:val="20"/>
        </w:rPr>
        <w:t xml:space="preserve">ch initially measured at the present value of the lease payments.  For public reporting entities such as CoreCivic, guidance in ASU 2016-02 is effective for fiscal years beginning after December 15, 2018, and interim periods within those fiscal years, and </w:t>
      </w:r>
      <w:r>
        <w:rPr>
          <w:sz w:val="20"/>
          <w:szCs w:val="20"/>
        </w:rPr>
        <w:t xml:space="preserve">early adoption of the ASU is permitted.  In July 2018, the FASB issued ASU 2018-11, "Targeted Improvements – Leases (Topic </w:t>
      </w:r>
    </w:p>
    <w:p w:rsidR="00000000" w:rsidRDefault="00240F6E">
      <w:pPr>
        <w:pStyle w:val="a3"/>
        <w:spacing w:before="240" w:beforeAutospacing="0" w:after="0" w:afterAutospacing="0"/>
        <w:jc w:val="center"/>
        <w:rPr>
          <w:sz w:val="20"/>
          <w:szCs w:val="20"/>
        </w:rPr>
      </w:pPr>
      <w:r>
        <w:rPr>
          <w:sz w:val="20"/>
          <w:szCs w:val="20"/>
        </w:rPr>
        <w:t>6</w:t>
      </w:r>
    </w:p>
    <w:p w:rsidR="00000000" w:rsidRDefault="00240F6E">
      <w:pPr>
        <w:rPr>
          <w:rFonts w:eastAsia="Times New Roman"/>
        </w:rPr>
      </w:pPr>
      <w:r>
        <w:rPr>
          <w:rFonts w:eastAsia="Times New Roman"/>
        </w:rPr>
        <w:pict>
          <v:rect id="_x0000_i1032" style="width:0;height:1.5pt" o:hralign="center" o:hrstd="t" o:hr="t" fillcolor="#a0a0a0" stroked="f"/>
        </w:pict>
      </w:r>
    </w:p>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120" w:beforeAutospacing="0" w:after="0" w:afterAutospacing="0"/>
        <w:ind w:left="476"/>
        <w:jc w:val="both"/>
        <w:rPr>
          <w:sz w:val="20"/>
          <w:szCs w:val="20"/>
        </w:rPr>
      </w:pPr>
      <w:r>
        <w:rPr>
          <w:sz w:val="20"/>
          <w:szCs w:val="20"/>
        </w:rPr>
        <w:t>842)", which permits entities to adopt a new transition method whereby the modified retrospe</w:t>
      </w:r>
      <w:r>
        <w:rPr>
          <w:sz w:val="20"/>
          <w:szCs w:val="20"/>
        </w:rPr>
        <w:t>ctive transition method would allow companies to recognize the cumulative-effect adjustment in the period of adoption rather than the earliest period presented and continue to apply the legacy guidance in Accounting Standards Codification ("ASC") 840, "Lea</w:t>
      </w:r>
      <w:r>
        <w:rPr>
          <w:sz w:val="20"/>
          <w:szCs w:val="20"/>
        </w:rPr>
        <w:t xml:space="preserve">ses", in the comparative periods presented.  Further, ASU 2018-11 also allows entities to elect, by class of underlying asset, to not separate non-lease components from the associated lease components when certain criteria are met.  Adoption results in an </w:t>
      </w:r>
      <w:r>
        <w:rPr>
          <w:sz w:val="20"/>
          <w:szCs w:val="20"/>
        </w:rPr>
        <w:t>increase in long-term assets and liabilities for leases where the Company is the lessee.  </w:t>
      </w:r>
    </w:p>
    <w:p w:rsidR="00000000" w:rsidRDefault="00240F6E">
      <w:pPr>
        <w:pStyle w:val="a3"/>
        <w:spacing w:before="240" w:beforeAutospacing="0" w:after="0" w:afterAutospacing="0"/>
        <w:ind w:left="476"/>
        <w:jc w:val="both"/>
        <w:rPr>
          <w:sz w:val="20"/>
          <w:szCs w:val="20"/>
        </w:rPr>
      </w:pPr>
      <w:r>
        <w:rPr>
          <w:sz w:val="20"/>
          <w:szCs w:val="20"/>
        </w:rPr>
        <w:t>CoreCivic adopted ASU 2016-02 and ASU 2018-11, cumulatively ("ASC 842"), on January 1, 2019.  The Company elected the modified retrospective transition method and re</w:t>
      </w:r>
      <w:r>
        <w:rPr>
          <w:sz w:val="20"/>
          <w:szCs w:val="20"/>
        </w:rPr>
        <w:t>cognized the cumulative-effect adjustment resulting from adoption of ASC 842 in the first quarter of 2019.  CoreCivic also elected to adopt the package of available practical expedients that permits lessees and lessors to not reassess certain items, includ</w:t>
      </w:r>
      <w:r>
        <w:rPr>
          <w:sz w:val="20"/>
          <w:szCs w:val="20"/>
        </w:rPr>
        <w:t xml:space="preserve">ing whether any expired or existing contracts are or contain leases, lease classification of any expired or existing leases, and initial direct costs for any expired or existing leases.  In addition, the Company made an accounting policy election to apply </w:t>
      </w:r>
      <w:r>
        <w:rPr>
          <w:sz w:val="20"/>
          <w:szCs w:val="20"/>
        </w:rPr>
        <w:t>the "short-term lease exception" permitted by ASC 842 for all classes of underlying assets.  With the exception of the South Texas Family Residential Center lease, as further described hereafter, the Company also elected the practical expedient that permit</w:t>
      </w:r>
      <w:r>
        <w:rPr>
          <w:sz w:val="20"/>
          <w:szCs w:val="20"/>
        </w:rPr>
        <w:t>s lessees to make an accounting policy election to account for each separate lease component of a contract and its associated non-lease components as a single lease component. Prior to the adoption of ASC 842, a portion of the rental payments for the South</w:t>
      </w:r>
      <w:r>
        <w:rPr>
          <w:sz w:val="20"/>
          <w:szCs w:val="20"/>
        </w:rPr>
        <w:t xml:space="preserve"> Texas Family Residential Center was classified as depreciation and interest expense in accordance with ASC 840-40-55, formerly Emerging Issues Task Force No. 97-10, "The Effect of Lessee Involvement in Asset Construction."  Upon adoption of ASC 842, all r</w:t>
      </w:r>
      <w:r>
        <w:rPr>
          <w:sz w:val="20"/>
          <w:szCs w:val="20"/>
        </w:rPr>
        <w:t>ental payments associated with this lease are classified as operating expenses.  </w:t>
      </w:r>
    </w:p>
    <w:p w:rsidR="00000000" w:rsidRDefault="00240F6E">
      <w:pPr>
        <w:pStyle w:val="a3"/>
        <w:spacing w:before="240" w:beforeAutospacing="0" w:after="0" w:afterAutospacing="0"/>
        <w:ind w:left="476"/>
        <w:jc w:val="both"/>
        <w:rPr>
          <w:sz w:val="20"/>
          <w:szCs w:val="20"/>
        </w:rPr>
      </w:pPr>
      <w:r>
        <w:rPr>
          <w:sz w:val="20"/>
          <w:szCs w:val="20"/>
        </w:rPr>
        <w:t xml:space="preserve">Upon adoption of ASC 842, CoreCivic recognized a ROU asset and a lease liability of $82.9 </w:t>
      </w:r>
      <w:r>
        <w:rPr>
          <w:sz w:val="20"/>
          <w:szCs w:val="20"/>
        </w:rPr>
        <w:t>million for all operating leases identified by the Company as applicable under the guidance of ASC 842, including the lease for the South Texas Family Residential Center.  For those operating leases that contain renewal options, the Company included the re</w:t>
      </w:r>
      <w:r>
        <w:rPr>
          <w:sz w:val="20"/>
          <w:szCs w:val="20"/>
        </w:rPr>
        <w:t>newal period in the lease terms, and the related payments are reflected in the ROU asset and lease liability, when it is reasonably certain that a renewal option will be exercised. The ROU asset, amounting to $76.2 million at March 31, 2019, is included in</w:t>
      </w:r>
      <w:r>
        <w:rPr>
          <w:sz w:val="20"/>
          <w:szCs w:val="20"/>
        </w:rPr>
        <w:t xml:space="preserve"> other assets on the consolidated balance sheets, while the current portion of the lease liability, amounting to $28.1 million at March 31, 2019, is included in accounts payable and accrued expenses and the long-term portion of the liability, amounting to </w:t>
      </w:r>
      <w:r>
        <w:rPr>
          <w:sz w:val="20"/>
          <w:szCs w:val="20"/>
        </w:rPr>
        <w:t xml:space="preserve">$48.3 million at March 31, 2019, is included in other liabilities on the consolidated balance sheets. The Company also recognized a net charge of approximately $29.9 million to accumulated deficit upon adoption of ASC 842. </w:t>
      </w:r>
      <w:r>
        <w:t> </w:t>
      </w:r>
      <w:r>
        <w:rPr>
          <w:sz w:val="20"/>
          <w:szCs w:val="20"/>
        </w:rPr>
        <w:t>Because CoreCivic does not gener</w:t>
      </w:r>
      <w:r>
        <w:rPr>
          <w:sz w:val="20"/>
          <w:szCs w:val="20"/>
        </w:rPr>
        <w:t>ally have access to the interest rates implicit in its leases, the Company utilized its incremental borrowing rate, based upon the terms and tenure of each base lease, as the discount rate when calculating the present value of future minimum lease payments</w:t>
      </w:r>
      <w:r>
        <w:rPr>
          <w:sz w:val="20"/>
          <w:szCs w:val="20"/>
        </w:rPr>
        <w:t xml:space="preserve"> for each lease arrangement.  The weighted average discount rate associated with the operating leases at adoption of ASC 842 was 5.3%.  As of March 31, 2019, the weighted-average lease term of the operating leases was 2.8 years.</w:t>
      </w:r>
    </w:p>
    <w:p w:rsidR="00000000" w:rsidRDefault="00240F6E">
      <w:pPr>
        <w:pStyle w:val="a3"/>
        <w:spacing w:before="240" w:beforeAutospacing="0" w:after="0" w:afterAutospacing="0"/>
        <w:ind w:left="476"/>
        <w:jc w:val="both"/>
        <w:rPr>
          <w:sz w:val="20"/>
          <w:szCs w:val="20"/>
        </w:rPr>
      </w:pPr>
      <w:r>
        <w:rPr>
          <w:sz w:val="20"/>
          <w:szCs w:val="20"/>
        </w:rPr>
        <w:t>CoreCivic leases land and b</w:t>
      </w:r>
      <w:r>
        <w:rPr>
          <w:sz w:val="20"/>
          <w:szCs w:val="20"/>
        </w:rPr>
        <w:t xml:space="preserve">uildings from third-party lessors for multiple properties under operating leases that expire over varying dates through 2023. </w:t>
      </w:r>
      <w:r>
        <w:t> </w:t>
      </w:r>
    </w:p>
    <w:p w:rsidR="00000000" w:rsidRDefault="00240F6E">
      <w:pPr>
        <w:pStyle w:val="a3"/>
        <w:spacing w:before="240" w:beforeAutospacing="0" w:after="0" w:afterAutospacing="0"/>
        <w:ind w:left="476"/>
        <w:jc w:val="both"/>
        <w:rPr>
          <w:sz w:val="20"/>
          <w:szCs w:val="20"/>
        </w:rPr>
      </w:pPr>
      <w:r>
        <w:rPr>
          <w:sz w:val="20"/>
          <w:szCs w:val="20"/>
        </w:rPr>
        <w:t>CoreCivic leases the South Texas Family Residential Center and the site upon which it was constructed from a third-party lessor.</w:t>
      </w:r>
      <w:r>
        <w:rPr>
          <w:sz w:val="20"/>
          <w:szCs w:val="20"/>
        </w:rPr>
        <w:t>  CoreCivic's lease agreement with the lessor is over a base period concurrent with an inter-governmental service agreement ("IGSA") with U.S. Immigration and Customs Enforcement ("ICE") which was amended in October 2016 to extend the term of the agreement</w:t>
      </w:r>
      <w:r>
        <w:rPr>
          <w:sz w:val="20"/>
          <w:szCs w:val="20"/>
        </w:rPr>
        <w:t xml:space="preserve"> through September 2021.  However, ICE can terminate the IGSA for convenience or non-appropriation of funds, without penalty, by providing CoreCivic with at least a 60-day notice.  In the event CoreCivic cancels the lease with the third-party lessor prior </w:t>
      </w:r>
      <w:r>
        <w:rPr>
          <w:sz w:val="20"/>
          <w:szCs w:val="20"/>
        </w:rPr>
        <w:t>to its expiration as a result of the termination of the IGSA by ICE for convenience, and if CoreCivic is unable to reach an agreement for the continued use of the facility within 90 days from the termination date, CoreCivic is required to pay a termination</w:t>
      </w:r>
      <w:r>
        <w:rPr>
          <w:sz w:val="20"/>
          <w:szCs w:val="20"/>
        </w:rPr>
        <w:t xml:space="preserve"> fee to the third-party lessor based on the termination date, currently equal to $7.0 million and declining to zero by October 2020.  Under provisions of ASC 842, CoreCivic determined that the South Texas Family Residential Center lease with the third-part</w:t>
      </w:r>
      <w:r>
        <w:rPr>
          <w:sz w:val="20"/>
          <w:szCs w:val="20"/>
        </w:rPr>
        <w:t xml:space="preserve">y lessor includes a non-lease component for food services representing 44% of the consideration paid under the lease. </w:t>
      </w:r>
    </w:p>
    <w:p w:rsidR="00000000" w:rsidRDefault="00240F6E">
      <w:pPr>
        <w:pStyle w:val="a3"/>
        <w:spacing w:before="240" w:beforeAutospacing="0" w:after="0" w:afterAutospacing="0"/>
        <w:jc w:val="center"/>
        <w:rPr>
          <w:sz w:val="20"/>
          <w:szCs w:val="20"/>
        </w:rPr>
      </w:pPr>
      <w:r>
        <w:rPr>
          <w:sz w:val="20"/>
          <w:szCs w:val="20"/>
        </w:rPr>
        <w:t>7</w:t>
      </w:r>
    </w:p>
    <w:p w:rsidR="00000000" w:rsidRDefault="00240F6E">
      <w:pPr>
        <w:rPr>
          <w:rFonts w:eastAsia="Times New Roman"/>
        </w:rPr>
      </w:pPr>
      <w:r>
        <w:rPr>
          <w:rFonts w:eastAsia="Times New Roman"/>
        </w:rPr>
        <w:pict>
          <v:rect id="_x0000_i1033" style="width:0;height:1.5pt" o:hralign="center" o:hrstd="t" o:hr="t" fillcolor="#a0a0a0" stroked="f"/>
        </w:pict>
      </w:r>
    </w:p>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240" w:beforeAutospacing="0" w:after="0" w:afterAutospacing="0"/>
        <w:ind w:left="476"/>
        <w:jc w:val="both"/>
        <w:rPr>
          <w:sz w:val="20"/>
          <w:szCs w:val="20"/>
        </w:rPr>
      </w:pPr>
      <w:r>
        <w:rPr>
          <w:sz w:val="20"/>
          <w:szCs w:val="20"/>
        </w:rPr>
        <w:t xml:space="preserve">The expense incurred for all operating leases, inclusive of short-term and variable leases, was </w:t>
      </w:r>
      <w:r>
        <w:rPr>
          <w:sz w:val="20"/>
          <w:szCs w:val="20"/>
        </w:rPr>
        <w:t>$8.4 million and $7.7 million for the three months ended March 31, 2019 and 2018, respectively.  The cash payments for operating leases are reflected as cash flows from operating activities on the accompanying consolidated statements of cash flows and cash</w:t>
      </w:r>
      <w:r>
        <w:rPr>
          <w:sz w:val="20"/>
          <w:szCs w:val="20"/>
        </w:rPr>
        <w:t xml:space="preserve"> payments for financing leases are reflected as cash flows from financing activities.  Future minimum lease payments as of March 31, 2019 for the Company's operating lease liabilities, inclusive of $71.3 million of payments expected to be made under the ca</w:t>
      </w:r>
      <w:r>
        <w:rPr>
          <w:sz w:val="20"/>
          <w:szCs w:val="20"/>
        </w:rPr>
        <w:t xml:space="preserve">ncelable lease at the South Texas facility (excluding the non-lease food services component), are as follows (in thousands): </w:t>
      </w:r>
    </w:p>
    <w:p w:rsidR="00000000" w:rsidRDefault="00240F6E">
      <w:pPr>
        <w:pStyle w:val="a3"/>
        <w:spacing w:before="240" w:beforeAutospacing="0" w:after="0" w:afterAutospacing="0"/>
        <w:ind w:left="476"/>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4638"/>
        <w:gridCol w:w="86"/>
        <w:gridCol w:w="115"/>
        <w:gridCol w:w="893"/>
        <w:gridCol w:w="82"/>
      </w:tblGrid>
      <w:tr w:rsidR="00000000">
        <w:trPr>
          <w:divId w:val="1578323625"/>
        </w:trPr>
        <w:tc>
          <w:tcPr>
            <w:tcW w:w="4011"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2019 (remainder)</w:t>
            </w:r>
          </w:p>
        </w:tc>
        <w:tc>
          <w:tcPr>
            <w:tcW w:w="9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791"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23,499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578323625"/>
        </w:trPr>
        <w:tc>
          <w:tcPr>
            <w:tcW w:w="4011"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2020</w:t>
            </w:r>
          </w:p>
        </w:tc>
        <w:tc>
          <w:tcPr>
            <w:tcW w:w="9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31,278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578323625"/>
        </w:trPr>
        <w:tc>
          <w:tcPr>
            <w:tcW w:w="4011"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2021</w:t>
            </w:r>
          </w:p>
        </w:tc>
        <w:tc>
          <w:tcPr>
            <w:tcW w:w="9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1"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22,836</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578323625"/>
        </w:trPr>
        <w:tc>
          <w:tcPr>
            <w:tcW w:w="4011"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2022</w:t>
            </w:r>
          </w:p>
        </w:tc>
        <w:tc>
          <w:tcPr>
            <w:tcW w:w="9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1,413</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578323625"/>
        </w:trPr>
        <w:tc>
          <w:tcPr>
            <w:tcW w:w="4011"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2023</w:t>
            </w:r>
          </w:p>
        </w:tc>
        <w:tc>
          <w:tcPr>
            <w:tcW w:w="9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1"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878</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578323625"/>
        </w:trPr>
        <w:tc>
          <w:tcPr>
            <w:tcW w:w="4011"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Thereafter</w:t>
            </w:r>
          </w:p>
        </w:tc>
        <w:tc>
          <w:tcPr>
            <w:tcW w:w="9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2,357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578323625"/>
        </w:trPr>
        <w:tc>
          <w:tcPr>
            <w:tcW w:w="4011"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  Total future minimum lease payments</w:t>
            </w:r>
          </w:p>
        </w:tc>
        <w:tc>
          <w:tcPr>
            <w:tcW w:w="9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82,261</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578323625"/>
        </w:trPr>
        <w:tc>
          <w:tcPr>
            <w:tcW w:w="4011"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Less amount representing interest</w:t>
            </w:r>
          </w:p>
        </w:tc>
        <w:tc>
          <w:tcPr>
            <w:tcW w:w="9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(5,911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r>
      <w:tr w:rsidR="00000000">
        <w:trPr>
          <w:divId w:val="1578323625"/>
        </w:trPr>
        <w:tc>
          <w:tcPr>
            <w:tcW w:w="4011"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  Total present value of minimum lease payments</w:t>
            </w:r>
          </w:p>
        </w:tc>
        <w:tc>
          <w:tcPr>
            <w:tcW w:w="9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79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76,350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
                <w:szCs w:val="2"/>
              </w:rPr>
            </w:pPr>
            <w:r>
              <w:rPr>
                <w:color w:val="000000"/>
                <w:sz w:val="2"/>
                <w:szCs w:val="2"/>
              </w:rPr>
              <w:t> </w:t>
            </w:r>
          </w:p>
        </w:tc>
      </w:tr>
    </w:tbl>
    <w:p w:rsidR="00000000" w:rsidRDefault="00240F6E">
      <w:pPr>
        <w:pStyle w:val="a3"/>
        <w:spacing w:before="240" w:beforeAutospacing="0" w:after="0" w:afterAutospacing="0"/>
        <w:ind w:left="476"/>
        <w:jc w:val="both"/>
        <w:rPr>
          <w:sz w:val="20"/>
          <w:szCs w:val="20"/>
        </w:rPr>
      </w:pPr>
      <w:r>
        <w:rPr>
          <w:sz w:val="20"/>
          <w:szCs w:val="20"/>
        </w:rPr>
        <w:t>In addition, through its CoreCivic Properties segment, the Company owns 27 properties leased t</w:t>
      </w:r>
      <w:r>
        <w:rPr>
          <w:sz w:val="20"/>
          <w:szCs w:val="20"/>
        </w:rPr>
        <w:t>o third parties and used by government agencies under operating leases that expire over varying dates through 2034, some of which contain renewal options.</w:t>
      </w:r>
      <w:r>
        <w:t>  </w:t>
      </w:r>
      <w:r>
        <w:rPr>
          <w:sz w:val="20"/>
          <w:szCs w:val="20"/>
        </w:rPr>
        <w:t>In accordance with ASC 842, minimum rental revenue is recognized on a straight-line basis over the t</w:t>
      </w:r>
      <w:r>
        <w:rPr>
          <w:sz w:val="20"/>
          <w:szCs w:val="20"/>
        </w:rPr>
        <w:t xml:space="preserve">erm of the related lease. Leasehold incentives are recognized as a reduction to rental revenue on a straight-line basis over the term of the related lease. Rental revenue associated with expense reimbursements from tenants is recognized in the period that </w:t>
      </w:r>
      <w:r>
        <w:rPr>
          <w:sz w:val="20"/>
          <w:szCs w:val="20"/>
        </w:rPr>
        <w:t>the related expenses are incurred based upon the tenant lease provision.  See Note 4 for further discussion regarding a 20-year lease agreement with the Kansas Department of Corrections ("KDOC").  Future undiscounted cash flows to be received from third-pa</w:t>
      </w:r>
      <w:r>
        <w:rPr>
          <w:sz w:val="20"/>
          <w:szCs w:val="20"/>
        </w:rPr>
        <w:t xml:space="preserve">rty lessees as of March 31, 2019 for the Company's operating leases are as follows (in thousands): </w:t>
      </w:r>
    </w:p>
    <w:p w:rsidR="00000000" w:rsidRDefault="00240F6E">
      <w:pPr>
        <w:pStyle w:val="a3"/>
        <w:spacing w:before="240" w:beforeAutospacing="0" w:after="0" w:afterAutospacing="0"/>
        <w:ind w:left="476"/>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4648"/>
        <w:gridCol w:w="88"/>
        <w:gridCol w:w="115"/>
        <w:gridCol w:w="898"/>
        <w:gridCol w:w="65"/>
      </w:tblGrid>
      <w:tr w:rsidR="00000000">
        <w:trPr>
          <w:divId w:val="1874732351"/>
        </w:trPr>
        <w:tc>
          <w:tcPr>
            <w:tcW w:w="4015"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2019 (remainder)</w:t>
            </w:r>
          </w:p>
        </w:tc>
        <w:tc>
          <w:tcPr>
            <w:tcW w:w="9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79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55,941</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874732351"/>
        </w:trPr>
        <w:tc>
          <w:tcPr>
            <w:tcW w:w="4015"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2020</w:t>
            </w:r>
          </w:p>
        </w:tc>
        <w:tc>
          <w:tcPr>
            <w:tcW w:w="9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73,904</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874732351"/>
        </w:trPr>
        <w:tc>
          <w:tcPr>
            <w:tcW w:w="4015"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2021</w:t>
            </w:r>
          </w:p>
        </w:tc>
        <w:tc>
          <w:tcPr>
            <w:tcW w:w="9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67,541</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874732351"/>
        </w:trPr>
        <w:tc>
          <w:tcPr>
            <w:tcW w:w="4015"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2022</w:t>
            </w:r>
          </w:p>
        </w:tc>
        <w:tc>
          <w:tcPr>
            <w:tcW w:w="9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61,108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874732351"/>
        </w:trPr>
        <w:tc>
          <w:tcPr>
            <w:tcW w:w="4015"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2023</w:t>
            </w:r>
          </w:p>
        </w:tc>
        <w:tc>
          <w:tcPr>
            <w:tcW w:w="9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58,671</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874732351"/>
        </w:trPr>
        <w:tc>
          <w:tcPr>
            <w:tcW w:w="4015"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Thereafter</w:t>
            </w:r>
          </w:p>
        </w:tc>
        <w:tc>
          <w:tcPr>
            <w:tcW w:w="9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410,147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
                <w:szCs w:val="2"/>
              </w:rPr>
            </w:pPr>
            <w:r>
              <w:rPr>
                <w:color w:val="000000"/>
                <w:sz w:val="2"/>
                <w:szCs w:val="2"/>
              </w:rPr>
              <w:t> </w:t>
            </w:r>
          </w:p>
        </w:tc>
      </w:tr>
    </w:tbl>
    <w:p w:rsidR="00000000" w:rsidRDefault="00240F6E">
      <w:pPr>
        <w:pStyle w:val="a3"/>
        <w:spacing w:before="240" w:beforeAutospacing="0" w:after="0" w:afterAutospacing="0"/>
        <w:ind w:left="476"/>
        <w:jc w:val="both"/>
        <w:rPr>
          <w:sz w:val="20"/>
          <w:szCs w:val="20"/>
        </w:rPr>
      </w:pPr>
      <w:r>
        <w:rPr>
          <w:sz w:val="20"/>
          <w:szCs w:val="20"/>
        </w:rPr>
        <w:t> </w:t>
      </w:r>
    </w:p>
    <w:p w:rsidR="00000000" w:rsidRDefault="00240F6E">
      <w:pPr>
        <w:pStyle w:val="a3"/>
        <w:spacing w:before="0" w:beforeAutospacing="0" w:after="0" w:afterAutospacing="0"/>
        <w:ind w:left="476"/>
        <w:jc w:val="both"/>
        <w:rPr>
          <w:b/>
          <w:bCs/>
          <w:sz w:val="20"/>
          <w:szCs w:val="20"/>
        </w:rPr>
      </w:pPr>
      <w:r>
        <w:rPr>
          <w:b/>
          <w:bCs/>
          <w:sz w:val="20"/>
          <w:szCs w:val="20"/>
        </w:rPr>
        <w:t>Recent Accounting Pronouncements – Other</w:t>
      </w:r>
    </w:p>
    <w:p w:rsidR="00000000" w:rsidRDefault="00240F6E">
      <w:pPr>
        <w:pStyle w:val="a3"/>
        <w:spacing w:before="120" w:beforeAutospacing="0" w:after="0" w:afterAutospacing="0"/>
        <w:ind w:left="476"/>
        <w:jc w:val="both"/>
        <w:rPr>
          <w:rFonts w:ascii="Arial" w:hAnsi="Arial" w:cs="Arial"/>
          <w:color w:val="000000"/>
          <w:sz w:val="20"/>
          <w:szCs w:val="20"/>
        </w:rPr>
      </w:pPr>
      <w:r>
        <w:rPr>
          <w:rFonts w:ascii="Arial" w:hAnsi="Arial" w:cs="Arial"/>
          <w:color w:val="000000"/>
          <w:sz w:val="20"/>
          <w:szCs w:val="20"/>
        </w:rPr>
        <w:t xml:space="preserve">In </w:t>
      </w:r>
      <w:r>
        <w:rPr>
          <w:color w:val="000000"/>
          <w:sz w:val="20"/>
          <w:szCs w:val="20"/>
        </w:rPr>
        <w:t>June 2016,  the FASB issued ASU No. 2016 13, "Financial Instruments – Credit Losses – Measurement of Credit Losses on Financial Instruments," which will change how entities measure credit losses for most financia</w:t>
      </w:r>
      <w:r>
        <w:rPr>
          <w:color w:val="000000"/>
          <w:sz w:val="20"/>
          <w:szCs w:val="20"/>
        </w:rPr>
        <w:t>l assets and certain other instruments that are not measured at fair value through net income. The ASU will replace the current "incurred loss" approach with an "expected loss" model for instruments measured at amortized cost. For trade and other receivabl</w:t>
      </w:r>
      <w:r>
        <w:rPr>
          <w:color w:val="000000"/>
          <w:sz w:val="20"/>
          <w:szCs w:val="20"/>
        </w:rPr>
        <w:t>es, held-to-maturity debt securities, contract assets, loans and other instruments, entities will be required to use a new forward-looking "expected loss" model that generally will result in the earlier recognition of allowances for losses. The ASU is effe</w:t>
      </w:r>
      <w:r>
        <w:rPr>
          <w:color w:val="000000"/>
          <w:sz w:val="20"/>
          <w:szCs w:val="20"/>
        </w:rPr>
        <w:t>ctive for the Company in the first quarter of 2020. The Company is currently evaluating the effects of this ASU to determine the potential impact on its financial statements, however the Company does not currently expect the new standard will have a materi</w:t>
      </w:r>
      <w:r>
        <w:rPr>
          <w:color w:val="000000"/>
          <w:sz w:val="20"/>
          <w:szCs w:val="20"/>
        </w:rPr>
        <w:t>al impact on its financial statements.</w:t>
      </w:r>
    </w:p>
    <w:p w:rsidR="00000000" w:rsidRDefault="00240F6E">
      <w:pPr>
        <w:pStyle w:val="a3"/>
        <w:spacing w:before="120" w:beforeAutospacing="0" w:after="0" w:afterAutospacing="0"/>
        <w:ind w:left="476"/>
        <w:jc w:val="both"/>
        <w:rPr>
          <w:color w:val="000000"/>
          <w:sz w:val="20"/>
          <w:szCs w:val="20"/>
        </w:rPr>
      </w:pPr>
      <w:r>
        <w:rPr>
          <w:color w:val="000000"/>
          <w:sz w:val="20"/>
          <w:szCs w:val="20"/>
        </w:rPr>
        <w:t>Other recent accounting pronouncements issued by the FASB (including its Emerging Issues Task Force), the American Institute of Certified Public Accountants and the SEC did not, or are not expected to, have a material</w:t>
      </w:r>
      <w:r>
        <w:rPr>
          <w:color w:val="000000"/>
          <w:sz w:val="20"/>
          <w:szCs w:val="20"/>
        </w:rPr>
        <w:t xml:space="preserve"> effect on the Company's results of operations or financial position.</w:t>
      </w:r>
    </w:p>
    <w:p w:rsidR="00000000" w:rsidRDefault="00240F6E">
      <w:pPr>
        <w:pStyle w:val="a3"/>
        <w:spacing w:before="240" w:beforeAutospacing="0" w:after="0" w:afterAutospacing="0"/>
        <w:ind w:left="476"/>
        <w:jc w:val="both"/>
        <w:rPr>
          <w:b/>
          <w:bCs/>
          <w:sz w:val="20"/>
          <w:szCs w:val="20"/>
        </w:rPr>
      </w:pPr>
      <w:r>
        <w:rPr>
          <w:b/>
          <w:bCs/>
          <w:sz w:val="20"/>
          <w:szCs w:val="20"/>
        </w:rPr>
        <w:t>Fair Value of Financial Instruments</w:t>
      </w:r>
    </w:p>
    <w:p w:rsidR="00000000" w:rsidRDefault="00240F6E">
      <w:pPr>
        <w:pStyle w:val="a3"/>
        <w:spacing w:before="120" w:beforeAutospacing="0" w:after="0" w:afterAutospacing="0"/>
        <w:ind w:left="476"/>
        <w:jc w:val="both"/>
        <w:rPr>
          <w:sz w:val="20"/>
          <w:szCs w:val="20"/>
        </w:rPr>
      </w:pPr>
      <w:r>
        <w:rPr>
          <w:sz w:val="20"/>
          <w:szCs w:val="20"/>
        </w:rPr>
        <w:t>To meet the reporting requirements of ASC 825, "Financial Instruments", regarding fair value of financial instruments, CoreCivic calculates the estima</w:t>
      </w:r>
      <w:r>
        <w:rPr>
          <w:sz w:val="20"/>
          <w:szCs w:val="20"/>
        </w:rPr>
        <w:t>ted fair value of financial instruments using market interest rates, quoted market prices of similar instruments, or discounted cash flow techniques with observable Level 1 inputs for publicly traded debt and Level 2 inputs for all other financial instrume</w:t>
      </w:r>
      <w:r>
        <w:rPr>
          <w:sz w:val="20"/>
          <w:szCs w:val="20"/>
        </w:rPr>
        <w:t xml:space="preserve">nts, as defined in ASC 820, "Fair Value Measurement".  At March 31, 2019 and December 31, 2018, </w:t>
      </w:r>
    </w:p>
    <w:p w:rsidR="00000000" w:rsidRDefault="00240F6E">
      <w:pPr>
        <w:pStyle w:val="a3"/>
        <w:spacing w:before="240" w:beforeAutospacing="0" w:after="0" w:afterAutospacing="0"/>
        <w:jc w:val="center"/>
        <w:rPr>
          <w:sz w:val="20"/>
          <w:szCs w:val="20"/>
        </w:rPr>
      </w:pPr>
      <w:r>
        <w:rPr>
          <w:sz w:val="20"/>
          <w:szCs w:val="20"/>
        </w:rPr>
        <w:t>8</w:t>
      </w:r>
    </w:p>
    <w:p w:rsidR="00000000" w:rsidRDefault="00240F6E">
      <w:pPr>
        <w:rPr>
          <w:rFonts w:eastAsia="Times New Roman"/>
        </w:rPr>
      </w:pPr>
      <w:r>
        <w:rPr>
          <w:rFonts w:eastAsia="Times New Roman"/>
        </w:rPr>
        <w:pict>
          <v:rect id="_x0000_i1034" style="width:0;height:1.5pt" o:hralign="center" o:hrstd="t" o:hr="t" fillcolor="#a0a0a0" stroked="f"/>
        </w:pict>
      </w:r>
    </w:p>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120" w:beforeAutospacing="0" w:after="0" w:afterAutospacing="0"/>
        <w:ind w:left="476"/>
        <w:jc w:val="both"/>
        <w:rPr>
          <w:sz w:val="20"/>
          <w:szCs w:val="20"/>
        </w:rPr>
      </w:pPr>
      <w:r>
        <w:rPr>
          <w:sz w:val="20"/>
          <w:szCs w:val="20"/>
        </w:rPr>
        <w:t>there were no material differences between the carrying amounts and the estimated fair values of CoreCivic's financial</w:t>
      </w:r>
      <w:r>
        <w:rPr>
          <w:sz w:val="20"/>
          <w:szCs w:val="20"/>
        </w:rPr>
        <w:t xml:space="preserve"> instruments, other than as follows (in thousands):</w:t>
      </w:r>
    </w:p>
    <w:p w:rsidR="00000000" w:rsidRDefault="00240F6E">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2899"/>
        <w:gridCol w:w="65"/>
        <w:gridCol w:w="115"/>
        <w:gridCol w:w="882"/>
        <w:gridCol w:w="82"/>
        <w:gridCol w:w="65"/>
        <w:gridCol w:w="115"/>
        <w:gridCol w:w="882"/>
        <w:gridCol w:w="82"/>
        <w:gridCol w:w="65"/>
        <w:gridCol w:w="115"/>
        <w:gridCol w:w="882"/>
        <w:gridCol w:w="82"/>
        <w:gridCol w:w="65"/>
        <w:gridCol w:w="115"/>
        <w:gridCol w:w="882"/>
        <w:gridCol w:w="82"/>
      </w:tblGrid>
      <w:tr w:rsidR="00000000">
        <w:trPr>
          <w:divId w:val="1673029082"/>
        </w:trPr>
        <w:tc>
          <w:tcPr>
            <w:tcW w:w="251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pPr>
            <w:r>
              <w:t> </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16"/>
                <w:szCs w:val="16"/>
              </w:rPr>
            </w:pPr>
            <w:r>
              <w:rPr>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March 31, 2019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December 31, 2018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1673029082"/>
        </w:trPr>
        <w:tc>
          <w:tcPr>
            <w:tcW w:w="251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16"/>
                <w:szCs w:val="16"/>
              </w:rPr>
            </w:pPr>
            <w:r>
              <w:rPr>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Carrying</w:t>
            </w:r>
          </w:p>
          <w:p w:rsidR="00000000" w:rsidRDefault="00240F6E">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Carrying</w:t>
            </w:r>
          </w:p>
          <w:p w:rsidR="00000000" w:rsidRDefault="00240F6E">
            <w:pPr>
              <w:pStyle w:val="a3"/>
              <w:spacing w:before="0" w:beforeAutospacing="0" w:after="0" w:afterAutospacing="0"/>
              <w:jc w:val="center"/>
              <w:rPr>
                <w:b/>
                <w:bCs/>
                <w:color w:val="000000"/>
                <w:sz w:val="16"/>
                <w:szCs w:val="16"/>
              </w:rPr>
            </w:pPr>
            <w:r>
              <w:rPr>
                <w:b/>
                <w:bCs/>
                <w:color w:val="000000"/>
                <w:sz w:val="16"/>
                <w:szCs w:val="16"/>
              </w:rPr>
              <w:t>Amount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16"/>
                <w:szCs w:val="16"/>
              </w:rPr>
            </w:pPr>
            <w:r>
              <w:rPr>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Fair Value</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1673029082"/>
        </w:trPr>
        <w:tc>
          <w:tcPr>
            <w:tcW w:w="2517"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Note receivable from Agecroft Prison Management, LTD</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2,953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4,129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2,887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4,037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673029082"/>
        </w:trPr>
        <w:tc>
          <w:tcPr>
            <w:tcW w:w="251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Debt</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(1,856,060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(1,808,872</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(1,814,795</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(1,744,045</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r>
    </w:tbl>
    <w:p w:rsidR="00000000" w:rsidRDefault="00240F6E">
      <w:pPr>
        <w:pStyle w:val="a3"/>
        <w:spacing w:before="120" w:beforeAutospacing="0" w:after="0" w:afterAutospacing="0"/>
        <w:ind w:left="476"/>
        <w:jc w:val="both"/>
      </w:pPr>
      <w:r>
        <w:t xml:space="preserve">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437948290"/>
        </w:trPr>
        <w:tc>
          <w:tcPr>
            <w:tcW w:w="227" w:type="pct"/>
            <w:noWrap/>
            <w:hideMark/>
          </w:tcPr>
          <w:p w:rsidR="00000000" w:rsidRDefault="00240F6E">
            <w:pPr>
              <w:pStyle w:val="a3"/>
              <w:spacing w:before="120" w:beforeAutospacing="0" w:after="0" w:afterAutospacing="0"/>
              <w:jc w:val="both"/>
              <w:rPr>
                <w:b/>
                <w:bCs/>
                <w:sz w:val="20"/>
                <w:szCs w:val="20"/>
              </w:rPr>
            </w:pPr>
            <w:r>
              <w:rPr>
                <w:b/>
                <w:bCs/>
                <w:sz w:val="20"/>
                <w:szCs w:val="20"/>
              </w:rPr>
              <w:t>3.</w:t>
            </w:r>
          </w:p>
        </w:tc>
        <w:tc>
          <w:tcPr>
            <w:tcW w:w="0" w:type="auto"/>
            <w:hideMark/>
          </w:tcPr>
          <w:p w:rsidR="00000000" w:rsidRDefault="00240F6E">
            <w:pPr>
              <w:pStyle w:val="a3"/>
              <w:spacing w:before="120" w:beforeAutospacing="0" w:after="0" w:afterAutospacing="0"/>
              <w:jc w:val="both"/>
              <w:rPr>
                <w:b/>
                <w:bCs/>
                <w:sz w:val="20"/>
                <w:szCs w:val="20"/>
              </w:rPr>
            </w:pPr>
            <w:r>
              <w:rPr>
                <w:b/>
                <w:bCs/>
                <w:sz w:val="20"/>
                <w:szCs w:val="20"/>
              </w:rPr>
              <w:t>GOODWILL</w:t>
            </w:r>
          </w:p>
        </w:tc>
      </w:tr>
    </w:tbl>
    <w:p w:rsidR="00000000" w:rsidRDefault="00240F6E">
      <w:pPr>
        <w:pStyle w:val="a3"/>
        <w:spacing w:before="120" w:beforeAutospacing="0" w:after="0" w:afterAutospacing="0"/>
        <w:ind w:left="476"/>
        <w:jc w:val="both"/>
        <w:rPr>
          <w:sz w:val="20"/>
          <w:szCs w:val="20"/>
        </w:rPr>
      </w:pPr>
      <w:r>
        <w:rPr>
          <w:sz w:val="20"/>
          <w:szCs w:val="20"/>
        </w:rPr>
        <w:t>ASU 2017-04, "Intangibles-Goodwill and Other (Topic 350): Simplifying the Test of Goodwill Impairment", establishes accounting and reporting requirements for goodwill and other intangible assets.  Goodwill was $48.2 million as of both March 31, 2019 and De</w:t>
      </w:r>
      <w:r>
        <w:rPr>
          <w:sz w:val="20"/>
          <w:szCs w:val="20"/>
        </w:rPr>
        <w:t>cember 31, 2018.  Of this amount, goodwill was $7.9 million as of both March 31, 2019 and December 31, 2018 for the Company's CoreCivic Safety segment, and was $40.3 million as of both March 31, 2019 and December 31, 2018 for its CoreCivic Community segmen</w:t>
      </w:r>
      <w:r>
        <w:rPr>
          <w:sz w:val="20"/>
          <w:szCs w:val="20"/>
        </w:rPr>
        <w:t>t.  This goodwill was established in connection with multiple business combination transactions.  </w:t>
      </w:r>
    </w:p>
    <w:p w:rsidR="00000000" w:rsidRDefault="00240F6E">
      <w:pPr>
        <w:pStyle w:val="a3"/>
        <w:spacing w:before="240" w:beforeAutospacing="0" w:after="0" w:afterAutospacing="0"/>
        <w:ind w:left="476"/>
        <w:jc w:val="both"/>
        <w:rPr>
          <w:sz w:val="20"/>
          <w:szCs w:val="20"/>
        </w:rPr>
      </w:pPr>
      <w:r>
        <w:rPr>
          <w:sz w:val="20"/>
          <w:szCs w:val="20"/>
        </w:rPr>
        <w:t>Under the provisions of ASU 2017-04, CoreCivic performs a qualitative assessment to determine whether the existence of events or circumstances leads to a det</w:t>
      </w:r>
      <w:r>
        <w:rPr>
          <w:sz w:val="20"/>
          <w:szCs w:val="20"/>
        </w:rPr>
        <w:t xml:space="preserve">ermination that it is more likely than not that the fair value of a reporting unit is less than its carrying amount.  If, after assessing the totality of events or circumstances, the Company determines it is not more likely than not that the fair value of </w:t>
      </w:r>
      <w:r>
        <w:rPr>
          <w:sz w:val="20"/>
          <w:szCs w:val="20"/>
        </w:rPr>
        <w:t>a reporting unit is less than its carrying amount, then performing a quantitative impairment test is not necessary.  If a quantitative test is required, CoreCivic performs an assessment to identify the existence of impairment and to measure the excess of a</w:t>
      </w:r>
      <w:r>
        <w:rPr>
          <w:sz w:val="20"/>
          <w:szCs w:val="20"/>
        </w:rPr>
        <w:t xml:space="preserve"> reporting unit's carrying amount over its fair value by using a combination of various common valuation techniques, including market multiples and discounted cash flows.  These impairment tests are required to be performed at least annually.  CoreCivic pe</w:t>
      </w:r>
      <w:r>
        <w:rPr>
          <w:sz w:val="20"/>
          <w:szCs w:val="20"/>
        </w:rPr>
        <w:t>rforms its impairment tests during the fourth quarter, in connection with its annual budgeting process and whenever circumstances indicate the carrying value of goodwill may not be recoverable.</w:t>
      </w:r>
      <w: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620109686"/>
        </w:trPr>
        <w:tc>
          <w:tcPr>
            <w:tcW w:w="227" w:type="pct"/>
            <w:noWrap/>
            <w:hideMark/>
          </w:tcPr>
          <w:p w:rsidR="00000000" w:rsidRDefault="00240F6E">
            <w:pPr>
              <w:pStyle w:val="a3"/>
              <w:spacing w:before="360" w:beforeAutospacing="0" w:after="0" w:afterAutospacing="0"/>
              <w:jc w:val="both"/>
              <w:rPr>
                <w:b/>
                <w:bCs/>
                <w:sz w:val="20"/>
                <w:szCs w:val="20"/>
              </w:rPr>
            </w:pPr>
            <w:r>
              <w:rPr>
                <w:b/>
                <w:bCs/>
                <w:sz w:val="20"/>
                <w:szCs w:val="20"/>
              </w:rPr>
              <w:t>4.</w:t>
            </w:r>
          </w:p>
        </w:tc>
        <w:tc>
          <w:tcPr>
            <w:tcW w:w="0" w:type="auto"/>
            <w:hideMark/>
          </w:tcPr>
          <w:p w:rsidR="00000000" w:rsidRDefault="00240F6E">
            <w:pPr>
              <w:pStyle w:val="a3"/>
              <w:spacing w:before="360" w:beforeAutospacing="0" w:after="0" w:afterAutospacing="0"/>
              <w:jc w:val="both"/>
              <w:rPr>
                <w:b/>
                <w:bCs/>
                <w:sz w:val="20"/>
                <w:szCs w:val="20"/>
              </w:rPr>
            </w:pPr>
            <w:r>
              <w:rPr>
                <w:b/>
                <w:bCs/>
                <w:sz w:val="20"/>
                <w:szCs w:val="20"/>
              </w:rPr>
              <w:t>REAL ESTATE TRANSACTIONS</w:t>
            </w:r>
          </w:p>
        </w:tc>
      </w:tr>
    </w:tbl>
    <w:p w:rsidR="00000000" w:rsidRDefault="00240F6E">
      <w:pPr>
        <w:pStyle w:val="a3"/>
        <w:spacing w:before="120" w:beforeAutospacing="0" w:after="0" w:afterAutospacing="0"/>
        <w:ind w:left="476"/>
        <w:jc w:val="both"/>
        <w:rPr>
          <w:b/>
          <w:bCs/>
          <w:sz w:val="20"/>
          <w:szCs w:val="20"/>
        </w:rPr>
      </w:pPr>
      <w:r>
        <w:rPr>
          <w:b/>
          <w:bCs/>
          <w:sz w:val="20"/>
          <w:szCs w:val="20"/>
        </w:rPr>
        <w:t xml:space="preserve">Acquisitions </w:t>
      </w:r>
    </w:p>
    <w:p w:rsidR="00000000" w:rsidRDefault="00240F6E">
      <w:pPr>
        <w:pStyle w:val="a3"/>
        <w:spacing w:before="120" w:beforeAutospacing="0" w:after="0" w:afterAutospacing="0"/>
        <w:ind w:left="476"/>
        <w:jc w:val="both"/>
        <w:rPr>
          <w:sz w:val="20"/>
          <w:szCs w:val="20"/>
        </w:rPr>
      </w:pPr>
      <w:r>
        <w:rPr>
          <w:sz w:val="20"/>
          <w:szCs w:val="20"/>
        </w:rPr>
        <w:t>On February 20</w:t>
      </w:r>
      <w:r>
        <w:rPr>
          <w:sz w:val="20"/>
          <w:szCs w:val="20"/>
        </w:rPr>
        <w:t>, 2019, CoreCivic acquired the South Raleigh Reentry Center, a 60-bed residential reentry center in Raleigh, North Carolina, for $0.9 million, excluding transaction-related expenses. In connection with the acquisition, CoreCivic expects to become the contr</w:t>
      </w:r>
      <w:r>
        <w:rPr>
          <w:sz w:val="20"/>
          <w:szCs w:val="20"/>
        </w:rPr>
        <w:t xml:space="preserve">acting party to a contract with the Federal Bureau of Prisons to provide reentry services for both male and female residents. In allocating the purchase price of this transaction, CoreCivic recorded $0.9 million of net tangible assets.  CoreCivic acquired </w:t>
      </w:r>
      <w:r>
        <w:rPr>
          <w:sz w:val="20"/>
          <w:szCs w:val="20"/>
        </w:rPr>
        <w:t>the property as a strategic investment that further expands the Company's network of residential reentry centers.  </w:t>
      </w:r>
    </w:p>
    <w:p w:rsidR="00000000" w:rsidRDefault="00240F6E">
      <w:pPr>
        <w:pStyle w:val="a3"/>
        <w:spacing w:before="120" w:beforeAutospacing="0" w:after="0" w:afterAutospacing="0"/>
        <w:ind w:left="476"/>
        <w:jc w:val="both"/>
        <w:rPr>
          <w:sz w:val="20"/>
          <w:szCs w:val="20"/>
        </w:rPr>
      </w:pPr>
      <w:r>
        <w:rPr>
          <w:sz w:val="20"/>
          <w:szCs w:val="20"/>
        </w:rPr>
        <w:t>On May 6, 2019, CoreCivic acquired a 36,520-square foot office building in Detroit, Michigan, for $7.2 million, excluding transaction-relate</w:t>
      </w:r>
      <w:r>
        <w:rPr>
          <w:sz w:val="20"/>
          <w:szCs w:val="20"/>
        </w:rPr>
        <w:t>d expenses, that was built-to-suit for the state of Michigan's Department of Health and Human Services ("MDHHS") in 2002.  The property is 100% leased to the Michigan Department of Technology, Management and Budget ("MDTMB") on behalf of MDHHS through June</w:t>
      </w:r>
      <w:r>
        <w:rPr>
          <w:sz w:val="20"/>
          <w:szCs w:val="20"/>
        </w:rPr>
        <w:t xml:space="preserve"> 2028 and includes one six-year renewal option at the sole discretion of the MDTMB. </w:t>
      </w:r>
    </w:p>
    <w:p w:rsidR="00000000" w:rsidRDefault="00240F6E">
      <w:pPr>
        <w:pStyle w:val="a3"/>
        <w:spacing w:before="360" w:beforeAutospacing="0" w:after="0" w:afterAutospacing="0"/>
        <w:ind w:left="476"/>
        <w:jc w:val="both"/>
        <w:rPr>
          <w:b/>
          <w:bCs/>
          <w:sz w:val="20"/>
          <w:szCs w:val="20"/>
        </w:rPr>
      </w:pPr>
      <w:r>
        <w:rPr>
          <w:b/>
          <w:bCs/>
          <w:sz w:val="20"/>
          <w:szCs w:val="20"/>
        </w:rPr>
        <w:t>Financing Leasing Transactions</w:t>
      </w:r>
    </w:p>
    <w:p w:rsidR="00000000" w:rsidRDefault="00240F6E">
      <w:pPr>
        <w:pStyle w:val="a3"/>
        <w:spacing w:before="120" w:beforeAutospacing="0" w:after="0" w:afterAutospacing="0"/>
        <w:ind w:left="476"/>
        <w:jc w:val="both"/>
        <w:rPr>
          <w:sz w:val="20"/>
          <w:szCs w:val="20"/>
        </w:rPr>
      </w:pPr>
      <w:r>
        <w:rPr>
          <w:sz w:val="20"/>
          <w:szCs w:val="20"/>
        </w:rPr>
        <w:t>On January 24, 2018, CoreCivic entered into a 20-year lease agreement with the KDOC for a 2,432-bed correctional facility the Company is con</w:t>
      </w:r>
      <w:r>
        <w:rPr>
          <w:sz w:val="20"/>
          <w:szCs w:val="20"/>
        </w:rPr>
        <w:t>structing in Lansing, Kansas.  The new facility will replace the Lansing Correctional Facility, the State's largest correctional complex for adult male inmates, originally constructed in 1863.  CoreCivic will be responsible for facility maintenance through</w:t>
      </w:r>
      <w:r>
        <w:rPr>
          <w:sz w:val="20"/>
          <w:szCs w:val="20"/>
        </w:rPr>
        <w:t>out the 20-year term of the lease, at which time ownership will revert to the State.  Construction of the new facility commenced in the first quarter of 2018 and is expected to be completed during the first quarter of 2020.  CoreCivic expects to account fo</w:t>
      </w:r>
      <w:r>
        <w:rPr>
          <w:sz w:val="20"/>
          <w:szCs w:val="20"/>
        </w:rPr>
        <w:t>r the lease with the KDOC as a multiple element lease with a portion of the lease payments attributable to the capital lease.  In addition, portions of the lease payments will be attributable to maintenance services and capital maintenance, representing tw</w:t>
      </w:r>
      <w:r>
        <w:rPr>
          <w:sz w:val="20"/>
          <w:szCs w:val="20"/>
        </w:rPr>
        <w:t>o separately valued non-lease components.  As of March 31, 2019, CoreCivic has capitalized $74.4 million associated with the construction of the project.</w:t>
      </w:r>
    </w:p>
    <w:p w:rsidR="00000000" w:rsidRDefault="00240F6E">
      <w:pPr>
        <w:pStyle w:val="a3"/>
        <w:spacing w:before="240" w:beforeAutospacing="0" w:after="0" w:afterAutospacing="0"/>
        <w:jc w:val="center"/>
        <w:rPr>
          <w:sz w:val="20"/>
          <w:szCs w:val="20"/>
        </w:rPr>
      </w:pPr>
      <w:r>
        <w:rPr>
          <w:sz w:val="20"/>
          <w:szCs w:val="20"/>
        </w:rPr>
        <w:t>9</w:t>
      </w:r>
    </w:p>
    <w:p w:rsidR="00000000" w:rsidRDefault="00240F6E">
      <w:pPr>
        <w:rPr>
          <w:rFonts w:eastAsia="Times New Roman"/>
        </w:rPr>
      </w:pPr>
      <w:r>
        <w:rPr>
          <w:rFonts w:eastAsia="Times New Roman"/>
        </w:rPr>
        <w:pict>
          <v:rect id="_x0000_i1035" style="width:0;height:1.5pt" o:hralign="center" o:hrstd="t" o:hr="t" fillcolor="#a0a0a0" stroked="f"/>
        </w:pict>
      </w:r>
    </w:p>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360" w:beforeAutospacing="0" w:after="0" w:afterAutospacing="0"/>
        <w:ind w:left="476"/>
        <w:jc w:val="both"/>
        <w:rPr>
          <w:b/>
          <w:bCs/>
          <w:sz w:val="20"/>
          <w:szCs w:val="20"/>
        </w:rPr>
      </w:pPr>
      <w:r>
        <w:rPr>
          <w:b/>
          <w:bCs/>
          <w:sz w:val="20"/>
          <w:szCs w:val="20"/>
        </w:rPr>
        <w:t>Idle Facilities</w:t>
      </w:r>
    </w:p>
    <w:p w:rsidR="00000000" w:rsidRDefault="00240F6E">
      <w:pPr>
        <w:pStyle w:val="a3"/>
        <w:spacing w:before="120" w:beforeAutospacing="0" w:after="0" w:afterAutospacing="0"/>
        <w:ind w:left="476"/>
        <w:jc w:val="both"/>
        <w:rPr>
          <w:sz w:val="20"/>
          <w:szCs w:val="20"/>
        </w:rPr>
      </w:pPr>
      <w:r>
        <w:rPr>
          <w:sz w:val="20"/>
          <w:szCs w:val="20"/>
        </w:rPr>
        <w:t xml:space="preserve">As of March 31, 2019, CoreCivic had eight idled facilities that are currently available and being actively marketed as solutions to meet the needs of potential customers. The following table summarizes </w:t>
      </w:r>
      <w:r>
        <w:rPr>
          <w:sz w:val="20"/>
          <w:szCs w:val="20"/>
        </w:rPr>
        <w:t xml:space="preserve">each of the idled facilities and their respective carrying values, </w:t>
      </w:r>
      <w:r>
        <w:rPr>
          <w:color w:val="000000"/>
          <w:sz w:val="20"/>
          <w:szCs w:val="20"/>
          <w:shd w:val="clear" w:color="auto" w:fill="FFFFFF"/>
        </w:rPr>
        <w:t>excluding equipment and other assets that could generally be transferred and used at other facilities CoreCivic owns without significant cost (dollars in thousands)</w:t>
      </w:r>
      <w:r>
        <w:rPr>
          <w:sz w:val="20"/>
          <w:szCs w:val="20"/>
        </w:rPr>
        <w:t>:</w:t>
      </w:r>
    </w:p>
    <w:tbl>
      <w:tblPr>
        <w:tblW w:w="3500" w:type="pct"/>
        <w:tblCellMar>
          <w:left w:w="0" w:type="dxa"/>
          <w:right w:w="0" w:type="dxa"/>
        </w:tblCellMar>
        <w:tblLook w:val="04A0" w:firstRow="1" w:lastRow="0" w:firstColumn="1" w:lastColumn="0" w:noHBand="0" w:noVBand="1"/>
      </w:tblPr>
      <w:tblGrid>
        <w:gridCol w:w="2560"/>
        <w:gridCol w:w="65"/>
        <w:gridCol w:w="66"/>
        <w:gridCol w:w="567"/>
        <w:gridCol w:w="65"/>
        <w:gridCol w:w="65"/>
        <w:gridCol w:w="415"/>
        <w:gridCol w:w="65"/>
        <w:gridCol w:w="115"/>
        <w:gridCol w:w="665"/>
        <w:gridCol w:w="65"/>
        <w:gridCol w:w="65"/>
        <w:gridCol w:w="116"/>
        <w:gridCol w:w="855"/>
        <w:gridCol w:w="65"/>
      </w:tblGrid>
      <w:tr w:rsidR="00000000">
        <w:trPr>
          <w:divId w:val="1800222941"/>
        </w:trPr>
        <w:tc>
          <w:tcPr>
            <w:tcW w:w="2523"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pPr>
            <w:r>
              <w:t> </w:t>
            </w:r>
          </w:p>
        </w:tc>
        <w:tc>
          <w:tcPr>
            <w:tcW w:w="5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center"/>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center"/>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center"/>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59" w:type="pct"/>
            <w:shd w:val="clear" w:color="auto" w:fill="FFFFFF"/>
            <w:tcMar>
              <w:top w:w="15" w:type="dxa"/>
              <w:left w:w="0" w:type="dxa"/>
              <w:bottom w:w="0" w:type="dxa"/>
              <w:right w:w="15" w:type="dxa"/>
            </w:tcMar>
            <w:vAlign w:val="center"/>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center"/>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1128" w:type="pct"/>
            <w:gridSpan w:val="6"/>
            <w:shd w:val="clear" w:color="auto" w:fill="FFFFFF"/>
            <w:tcMar>
              <w:top w:w="15" w:type="dxa"/>
              <w:left w:w="0" w:type="dxa"/>
              <w:bottom w:w="0" w:type="dxa"/>
              <w:right w:w="15" w:type="dxa"/>
            </w:tcMar>
            <w:vAlign w:val="center"/>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Net Car</w:t>
            </w:r>
            <w:r>
              <w:rPr>
                <w:b/>
                <w:bCs/>
                <w:color w:val="000000"/>
                <w:sz w:val="16"/>
                <w:szCs w:val="16"/>
              </w:rPr>
              <w:t>rying Values</w:t>
            </w:r>
          </w:p>
        </w:tc>
        <w:tc>
          <w:tcPr>
            <w:tcW w:w="50" w:type="pct"/>
            <w:shd w:val="clear" w:color="auto" w:fill="FFFFFF"/>
            <w:noWrap/>
            <w:tcMar>
              <w:top w:w="15" w:type="dxa"/>
              <w:left w:w="0" w:type="dxa"/>
              <w:bottom w:w="0" w:type="dxa"/>
              <w:right w:w="15" w:type="dxa"/>
            </w:tcMar>
            <w:vAlign w:val="center"/>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1800222941"/>
        </w:trPr>
        <w:tc>
          <w:tcPr>
            <w:tcW w:w="2523"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16"/>
                <w:szCs w:val="16"/>
              </w:rPr>
            </w:pPr>
            <w:r>
              <w:rPr>
                <w:rFonts w:ascii="Calibri" w:hAnsi="Calibri" w:cs="Calibri"/>
                <w:color w:val="000000"/>
                <w:sz w:val="16"/>
                <w:szCs w:val="16"/>
              </w:rPr>
              <w:t> </w:t>
            </w:r>
          </w:p>
        </w:tc>
        <w:tc>
          <w:tcPr>
            <w:tcW w:w="509" w:type="pct"/>
            <w:gridSpan w:val="2"/>
            <w:shd w:val="clear" w:color="auto" w:fill="FFFFFF"/>
            <w:tcMar>
              <w:top w:w="15" w:type="dxa"/>
              <w:left w:w="0" w:type="dxa"/>
              <w:bottom w:w="0" w:type="dxa"/>
              <w:right w:w="15" w:type="dxa"/>
            </w:tcMar>
            <w:vAlign w:val="center"/>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Design</w:t>
            </w:r>
          </w:p>
        </w:tc>
        <w:tc>
          <w:tcPr>
            <w:tcW w:w="50" w:type="pct"/>
            <w:shd w:val="clear" w:color="auto" w:fill="FFFFFF"/>
            <w:noWrap/>
            <w:tcMar>
              <w:top w:w="15" w:type="dxa"/>
              <w:left w:w="0" w:type="dxa"/>
              <w:bottom w:w="0" w:type="dxa"/>
              <w:right w:w="15" w:type="dxa"/>
            </w:tcMar>
            <w:vAlign w:val="center"/>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center"/>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59" w:type="pct"/>
            <w:shd w:val="clear" w:color="auto" w:fill="FFFFFF"/>
            <w:tcMar>
              <w:top w:w="15" w:type="dxa"/>
              <w:left w:w="0" w:type="dxa"/>
              <w:bottom w:w="0" w:type="dxa"/>
              <w:right w:w="15" w:type="dxa"/>
            </w:tcMar>
            <w:vAlign w:val="center"/>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Date</w:t>
            </w:r>
          </w:p>
        </w:tc>
        <w:tc>
          <w:tcPr>
            <w:tcW w:w="59" w:type="pct"/>
            <w:shd w:val="clear" w:color="auto" w:fill="FFFFFF"/>
            <w:tcMar>
              <w:top w:w="15" w:type="dxa"/>
              <w:left w:w="0" w:type="dxa"/>
              <w:bottom w:w="0" w:type="dxa"/>
              <w:right w:w="15" w:type="dxa"/>
            </w:tcMar>
            <w:vAlign w:val="center"/>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center"/>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center"/>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center"/>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509" w:type="pct"/>
            <w:gridSpan w:val="2"/>
            <w:shd w:val="clear" w:color="auto" w:fill="FFFFFF"/>
            <w:tcMar>
              <w:top w:w="15" w:type="dxa"/>
              <w:left w:w="0" w:type="dxa"/>
              <w:bottom w:w="0" w:type="dxa"/>
              <w:right w:w="15" w:type="dxa"/>
            </w:tcMar>
            <w:vAlign w:val="center"/>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center"/>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1800222941"/>
        </w:trPr>
        <w:tc>
          <w:tcPr>
            <w:tcW w:w="2523" w:type="pct"/>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Facility</w:t>
            </w:r>
          </w:p>
        </w:tc>
        <w:tc>
          <w:tcPr>
            <w:tcW w:w="5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Capacity</w:t>
            </w:r>
          </w:p>
        </w:tc>
        <w:tc>
          <w:tcPr>
            <w:tcW w:w="50" w:type="pct"/>
            <w:shd w:val="clear" w:color="auto" w:fill="FFFFFF"/>
            <w:noWrap/>
            <w:tcMar>
              <w:top w:w="15" w:type="dxa"/>
              <w:left w:w="0" w:type="dxa"/>
              <w:bottom w:w="0" w:type="dxa"/>
              <w:right w:w="15" w:type="dxa"/>
            </w:tcMar>
            <w:vAlign w:val="center"/>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center"/>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59" w:type="pct"/>
            <w:tcBorders>
              <w:bottom w:val="single" w:sz="6" w:space="0" w:color="000000"/>
            </w:tcBorders>
            <w:shd w:val="clear" w:color="auto" w:fill="FFFFFF"/>
            <w:tcMar>
              <w:top w:w="15" w:type="dxa"/>
              <w:left w:w="0" w:type="dxa"/>
              <w:bottom w:w="0" w:type="dxa"/>
              <w:right w:w="15" w:type="dxa"/>
            </w:tcMar>
            <w:vAlign w:val="center"/>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Idled</w:t>
            </w:r>
          </w:p>
        </w:tc>
        <w:tc>
          <w:tcPr>
            <w:tcW w:w="59" w:type="pct"/>
            <w:shd w:val="clear" w:color="auto" w:fill="FFFFFF"/>
            <w:tcMar>
              <w:top w:w="15" w:type="dxa"/>
              <w:left w:w="0" w:type="dxa"/>
              <w:bottom w:w="0" w:type="dxa"/>
              <w:right w:w="15" w:type="dxa"/>
            </w:tcMar>
            <w:vAlign w:val="center"/>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center"/>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9" w:type="pct"/>
            <w:shd w:val="clear" w:color="auto" w:fill="FFFFFF"/>
            <w:tcMar>
              <w:top w:w="15" w:type="dxa"/>
              <w:left w:w="0" w:type="dxa"/>
              <w:bottom w:w="0" w:type="dxa"/>
              <w:right w:w="15" w:type="dxa"/>
            </w:tcMar>
            <w:vAlign w:val="center"/>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center"/>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1800222941"/>
        </w:trPr>
        <w:tc>
          <w:tcPr>
            <w:tcW w:w="2523" w:type="pct"/>
            <w:tcBorders>
              <w:top w:val="single" w:sz="6" w:space="0" w:color="000000"/>
            </w:tcBorders>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Prairie Correctional Facility</w:t>
            </w:r>
          </w:p>
        </w:tc>
        <w:tc>
          <w:tcPr>
            <w:tcW w:w="5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1,600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59" w:type="pct"/>
            <w:tcBorders>
              <w:top w:val="single" w:sz="6" w:space="0" w:color="000000"/>
            </w:tcBorders>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center"/>
              <w:rPr>
                <w:color w:val="000000"/>
                <w:sz w:val="20"/>
                <w:szCs w:val="20"/>
              </w:rPr>
            </w:pPr>
            <w:r>
              <w:rPr>
                <w:color w:val="000000"/>
                <w:sz w:val="20"/>
                <w:szCs w:val="20"/>
              </w:rPr>
              <w:t>2010</w:t>
            </w:r>
          </w:p>
        </w:tc>
        <w:tc>
          <w:tcPr>
            <w:tcW w:w="5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15,086</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15,278</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800222941"/>
        </w:trPr>
        <w:tc>
          <w:tcPr>
            <w:tcW w:w="2523"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Huerfano County Correctional Center</w:t>
            </w:r>
          </w:p>
        </w:tc>
        <w:tc>
          <w:tcPr>
            <w:tcW w:w="5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752</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5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color w:val="000000"/>
                <w:sz w:val="20"/>
                <w:szCs w:val="20"/>
              </w:rPr>
            </w:pPr>
            <w:r>
              <w:rPr>
                <w:color w:val="000000"/>
                <w:sz w:val="20"/>
                <w:szCs w:val="20"/>
              </w:rPr>
              <w:t>2010</w:t>
            </w:r>
          </w:p>
        </w:tc>
        <w:tc>
          <w:tcPr>
            <w:tcW w:w="5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16,497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16,660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800222941"/>
        </w:trPr>
        <w:tc>
          <w:tcPr>
            <w:tcW w:w="2523"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Diamondback Correctional Facility</w:t>
            </w:r>
          </w:p>
        </w:tc>
        <w:tc>
          <w:tcPr>
            <w:tcW w:w="5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2,160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5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center"/>
              <w:rPr>
                <w:color w:val="000000"/>
                <w:sz w:val="20"/>
                <w:szCs w:val="20"/>
              </w:rPr>
            </w:pPr>
            <w:r>
              <w:rPr>
                <w:color w:val="000000"/>
                <w:sz w:val="20"/>
                <w:szCs w:val="20"/>
              </w:rPr>
              <w:t>2010</w:t>
            </w:r>
          </w:p>
        </w:tc>
        <w:tc>
          <w:tcPr>
            <w:tcW w:w="5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40,800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40,962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800222941"/>
        </w:trPr>
        <w:tc>
          <w:tcPr>
            <w:tcW w:w="2523"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Southeast Kentucky Correctional Facility</w:t>
            </w:r>
          </w:p>
        </w:tc>
        <w:tc>
          <w:tcPr>
            <w:tcW w:w="5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656</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5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color w:val="000000"/>
                <w:sz w:val="20"/>
                <w:szCs w:val="20"/>
              </w:rPr>
            </w:pPr>
            <w:r>
              <w:rPr>
                <w:color w:val="000000"/>
                <w:sz w:val="20"/>
                <w:szCs w:val="20"/>
              </w:rPr>
              <w:t>2012</w:t>
            </w:r>
          </w:p>
        </w:tc>
        <w:tc>
          <w:tcPr>
            <w:tcW w:w="5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20,889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21,098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800222941"/>
        </w:trPr>
        <w:tc>
          <w:tcPr>
            <w:tcW w:w="2523"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Marion Adjustment Center</w:t>
            </w:r>
          </w:p>
        </w:tc>
        <w:tc>
          <w:tcPr>
            <w:tcW w:w="5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826</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5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center"/>
              <w:rPr>
                <w:color w:val="000000"/>
                <w:sz w:val="20"/>
                <w:szCs w:val="20"/>
              </w:rPr>
            </w:pPr>
            <w:r>
              <w:rPr>
                <w:color w:val="000000"/>
                <w:sz w:val="20"/>
                <w:szCs w:val="20"/>
              </w:rPr>
              <w:t>2013</w:t>
            </w:r>
          </w:p>
        </w:tc>
        <w:tc>
          <w:tcPr>
            <w:tcW w:w="5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11,666</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11,770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800222941"/>
        </w:trPr>
        <w:tc>
          <w:tcPr>
            <w:tcW w:w="2523"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Kit Carson Correctional Center</w:t>
            </w:r>
          </w:p>
        </w:tc>
        <w:tc>
          <w:tcPr>
            <w:tcW w:w="5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1,488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5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color w:val="000000"/>
                <w:sz w:val="20"/>
                <w:szCs w:val="20"/>
              </w:rPr>
            </w:pPr>
            <w:r>
              <w:rPr>
                <w:color w:val="000000"/>
                <w:sz w:val="20"/>
                <w:szCs w:val="20"/>
              </w:rPr>
              <w:t>2016</w:t>
            </w:r>
          </w:p>
        </w:tc>
        <w:tc>
          <w:tcPr>
            <w:tcW w:w="5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55,069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55,507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800222941"/>
        </w:trPr>
        <w:tc>
          <w:tcPr>
            <w:tcW w:w="2523"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Eden Detention Center</w:t>
            </w:r>
          </w:p>
        </w:tc>
        <w:tc>
          <w:tcPr>
            <w:tcW w:w="5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1,422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5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center"/>
              <w:rPr>
                <w:color w:val="000000"/>
                <w:sz w:val="20"/>
                <w:szCs w:val="20"/>
              </w:rPr>
            </w:pPr>
            <w:r>
              <w:rPr>
                <w:color w:val="000000"/>
                <w:sz w:val="20"/>
                <w:szCs w:val="20"/>
              </w:rPr>
              <w:t>2017</w:t>
            </w:r>
          </w:p>
        </w:tc>
        <w:tc>
          <w:tcPr>
            <w:tcW w:w="5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37,966</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38,349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800222941"/>
        </w:trPr>
        <w:tc>
          <w:tcPr>
            <w:tcW w:w="2523"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Torrance County Detention Facility</w:t>
            </w:r>
          </w:p>
        </w:tc>
        <w:tc>
          <w:tcPr>
            <w:tcW w:w="5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910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5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color w:val="000000"/>
                <w:sz w:val="20"/>
                <w:szCs w:val="20"/>
              </w:rPr>
            </w:pPr>
            <w:r>
              <w:rPr>
                <w:color w:val="000000"/>
                <w:sz w:val="20"/>
                <w:szCs w:val="20"/>
              </w:rPr>
              <w:t>2017</w:t>
            </w:r>
          </w:p>
        </w:tc>
        <w:tc>
          <w:tcPr>
            <w:tcW w:w="5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34,968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35,355</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800222941"/>
        </w:trPr>
        <w:tc>
          <w:tcPr>
            <w:tcW w:w="2523"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9,814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5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center"/>
              <w:rPr>
                <w:color w:val="000000"/>
                <w:sz w:val="20"/>
                <w:szCs w:val="20"/>
              </w:rPr>
            </w:pPr>
            <w:r>
              <w:rPr>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232,941</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234,979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
                <w:szCs w:val="2"/>
              </w:rPr>
            </w:pPr>
            <w:r>
              <w:rPr>
                <w:color w:val="000000"/>
                <w:sz w:val="2"/>
                <w:szCs w:val="2"/>
              </w:rPr>
              <w:t> </w:t>
            </w:r>
          </w:p>
        </w:tc>
      </w:tr>
    </w:tbl>
    <w:p w:rsidR="00000000" w:rsidRDefault="00240F6E">
      <w:pPr>
        <w:pStyle w:val="a3"/>
        <w:spacing w:before="0" w:beforeAutospacing="0" w:after="0" w:afterAutospacing="0"/>
        <w:jc w:val="both"/>
        <w:rPr>
          <w:sz w:val="20"/>
          <w:szCs w:val="20"/>
        </w:rPr>
      </w:pPr>
      <w:r>
        <w:rPr>
          <w:sz w:val="20"/>
          <w:szCs w:val="20"/>
        </w:rPr>
        <w:t> </w:t>
      </w:r>
    </w:p>
    <w:p w:rsidR="00000000" w:rsidRDefault="00240F6E">
      <w:pPr>
        <w:pStyle w:val="a3"/>
        <w:spacing w:before="0" w:beforeAutospacing="0" w:after="0" w:afterAutospacing="0"/>
        <w:ind w:left="476"/>
        <w:jc w:val="both"/>
        <w:rPr>
          <w:sz w:val="20"/>
          <w:szCs w:val="20"/>
        </w:rPr>
      </w:pPr>
      <w:r>
        <w:rPr>
          <w:sz w:val="20"/>
          <w:szCs w:val="20"/>
        </w:rPr>
        <w:t xml:space="preserve">CoreCivic also has two </w:t>
      </w:r>
      <w:r>
        <w:rPr>
          <w:sz w:val="20"/>
          <w:szCs w:val="20"/>
        </w:rPr>
        <w:t>idled non-core facilities containing an aggregate of 440 beds with an aggregate net book value of $3.7 million.  CoreCivic incurred approximately $3.1 million and $3.5 million in operating expenses at the idled facilities for the three months ended March 3</w:t>
      </w:r>
      <w:r>
        <w:rPr>
          <w:sz w:val="20"/>
          <w:szCs w:val="20"/>
        </w:rPr>
        <w:t>1, 2019 and 2018, respectively.    </w:t>
      </w:r>
    </w:p>
    <w:p w:rsidR="00000000" w:rsidRDefault="00240F6E">
      <w:pPr>
        <w:pStyle w:val="a3"/>
        <w:spacing w:before="240" w:beforeAutospacing="0" w:after="0" w:afterAutospacing="0"/>
        <w:ind w:left="476"/>
        <w:jc w:val="both"/>
        <w:rPr>
          <w:color w:val="000000"/>
          <w:sz w:val="20"/>
          <w:szCs w:val="20"/>
        </w:rPr>
      </w:pPr>
      <w:r>
        <w:rPr>
          <w:color w:val="000000"/>
          <w:sz w:val="20"/>
          <w:szCs w:val="20"/>
          <w:shd w:val="clear" w:color="auto" w:fill="FFFFFF"/>
        </w:rPr>
        <w:t>CoreCivic considers the cancellation of a contract as an indicator of impairment and tested each of the idled facilities for impairment when it was notified by the respective</w:t>
      </w:r>
      <w:r>
        <w:rPr>
          <w:color w:val="000000"/>
          <w:sz w:val="20"/>
          <w:szCs w:val="20"/>
        </w:rPr>
        <w:t xml:space="preserve"> customers that they would no longer be utiliz</w:t>
      </w:r>
      <w:r>
        <w:rPr>
          <w:color w:val="000000"/>
          <w:sz w:val="20"/>
          <w:szCs w:val="20"/>
        </w:rPr>
        <w:t xml:space="preserve">ing such facility.  CoreCivic updates the impairment analyses on an annual basis for each of the idled facilities and </w:t>
      </w:r>
      <w:r>
        <w:rPr>
          <w:color w:val="000000"/>
          <w:sz w:val="20"/>
          <w:szCs w:val="20"/>
          <w:shd w:val="clear" w:color="auto" w:fill="FFFFFF"/>
        </w:rPr>
        <w:t>evaluates on a quarterly basis market developments for the potential utilization of each of these facilities in order to identify events t</w:t>
      </w:r>
      <w:r>
        <w:rPr>
          <w:color w:val="000000"/>
          <w:sz w:val="20"/>
          <w:szCs w:val="20"/>
          <w:shd w:val="clear" w:color="auto" w:fill="FFFFFF"/>
        </w:rPr>
        <w:t>hat may cause CoreCivic to reconsider its most recent assumptions.  As a result of CoreCivic's analyses, CoreCivic determined each of the idled facilities to have recoverable values in excess of the corresponding carrying values.  </w:t>
      </w:r>
    </w:p>
    <w:p w:rsidR="00000000" w:rsidRDefault="00240F6E">
      <w:pPr>
        <w:pStyle w:val="a3"/>
        <w:spacing w:before="240" w:beforeAutospacing="0" w:after="0" w:afterAutospacing="0"/>
        <w:ind w:left="476"/>
        <w:jc w:val="both"/>
        <w:rPr>
          <w:sz w:val="23"/>
          <w:szCs w:val="23"/>
        </w:rPr>
      </w:pPr>
      <w:r>
        <w:rPr>
          <w:sz w:val="23"/>
          <w:szCs w:val="23"/>
        </w:rPr>
        <w:t> </w:t>
      </w:r>
    </w:p>
    <w:p w:rsidR="00000000" w:rsidRDefault="00240F6E">
      <w:pPr>
        <w:pStyle w:val="a3"/>
        <w:spacing w:before="0" w:beforeAutospacing="0" w:after="0" w:afterAutospacing="0"/>
      </w:pPr>
    </w:p>
    <w:p w:rsidR="00000000" w:rsidRDefault="00240F6E">
      <w:pPr>
        <w:pStyle w:val="a3"/>
        <w:spacing w:before="240" w:beforeAutospacing="0" w:after="0" w:afterAutospacing="0"/>
        <w:jc w:val="center"/>
        <w:rPr>
          <w:sz w:val="20"/>
          <w:szCs w:val="20"/>
        </w:rPr>
      </w:pPr>
      <w:r>
        <w:rPr>
          <w:sz w:val="20"/>
          <w:szCs w:val="20"/>
        </w:rPr>
        <w:t>10</w:t>
      </w:r>
    </w:p>
    <w:p w:rsidR="00000000" w:rsidRDefault="00240F6E">
      <w:pPr>
        <w:rPr>
          <w:rFonts w:eastAsia="Times New Roman"/>
        </w:rPr>
      </w:pPr>
      <w:r>
        <w:rPr>
          <w:rFonts w:eastAsia="Times New Roman"/>
        </w:rPr>
        <w:pict>
          <v:rect id="_x0000_i1036" style="width:0;height:1.5pt" o:hralign="center" o:hrstd="t" o:hr="t" fillcolor="#a0a0a0" stroked="f"/>
        </w:pict>
      </w:r>
    </w:p>
    <w:p w:rsidR="00000000" w:rsidRDefault="00240F6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966475721"/>
        </w:trPr>
        <w:tc>
          <w:tcPr>
            <w:tcW w:w="227" w:type="pct"/>
            <w:noWrap/>
            <w:hideMark/>
          </w:tcPr>
          <w:p w:rsidR="00000000" w:rsidRDefault="00240F6E">
            <w:pPr>
              <w:pStyle w:val="a3"/>
              <w:spacing w:before="0" w:beforeAutospacing="0" w:after="0" w:afterAutospacing="0"/>
              <w:jc w:val="both"/>
              <w:rPr>
                <w:b/>
                <w:bCs/>
                <w:sz w:val="20"/>
                <w:szCs w:val="20"/>
              </w:rPr>
            </w:pPr>
            <w:r>
              <w:rPr>
                <w:b/>
                <w:bCs/>
                <w:sz w:val="20"/>
                <w:szCs w:val="20"/>
              </w:rPr>
              <w:t>5.</w:t>
            </w:r>
          </w:p>
        </w:tc>
        <w:tc>
          <w:tcPr>
            <w:tcW w:w="0" w:type="auto"/>
            <w:hideMark/>
          </w:tcPr>
          <w:p w:rsidR="00000000" w:rsidRDefault="00240F6E">
            <w:pPr>
              <w:pStyle w:val="a3"/>
              <w:spacing w:before="0" w:beforeAutospacing="0" w:after="0" w:afterAutospacing="0"/>
              <w:jc w:val="both"/>
              <w:rPr>
                <w:b/>
                <w:bCs/>
                <w:sz w:val="20"/>
                <w:szCs w:val="20"/>
              </w:rPr>
            </w:pPr>
            <w:r>
              <w:rPr>
                <w:b/>
                <w:bCs/>
                <w:sz w:val="20"/>
                <w:szCs w:val="20"/>
              </w:rPr>
              <w:t>DEBT</w:t>
            </w:r>
          </w:p>
        </w:tc>
      </w:tr>
    </w:tbl>
    <w:p w:rsidR="00000000" w:rsidRDefault="00240F6E">
      <w:pPr>
        <w:pStyle w:val="a3"/>
        <w:spacing w:before="120" w:beforeAutospacing="0" w:after="0" w:afterAutospacing="0"/>
        <w:ind w:left="476"/>
        <w:jc w:val="both"/>
        <w:rPr>
          <w:sz w:val="20"/>
          <w:szCs w:val="20"/>
        </w:rPr>
      </w:pPr>
      <w:r>
        <w:rPr>
          <w:sz w:val="20"/>
          <w:szCs w:val="20"/>
        </w:rPr>
        <w:t xml:space="preserve">Debt outstanding as of March 31, 2019 and December 31, 2018 consists of the following (in thousands): </w:t>
      </w:r>
    </w:p>
    <w:p w:rsidR="00000000" w:rsidRDefault="00240F6E">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4426"/>
        <w:gridCol w:w="65"/>
        <w:gridCol w:w="115"/>
        <w:gridCol w:w="815"/>
        <w:gridCol w:w="82"/>
        <w:gridCol w:w="65"/>
        <w:gridCol w:w="116"/>
        <w:gridCol w:w="879"/>
        <w:gridCol w:w="82"/>
      </w:tblGrid>
      <w:tr w:rsidR="00000000">
        <w:trPr>
          <w:divId w:val="940915904"/>
        </w:trPr>
        <w:tc>
          <w:tcPr>
            <w:tcW w:w="3402"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pPr>
            <w:r>
              <w:t> </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16"/>
                <w:szCs w:val="16"/>
              </w:rPr>
            </w:pPr>
            <w:r>
              <w:rPr>
                <w:color w:val="000000"/>
                <w:sz w:val="16"/>
                <w:szCs w:val="16"/>
              </w:rPr>
              <w:t> </w:t>
            </w:r>
          </w:p>
        </w:tc>
        <w:tc>
          <w:tcPr>
            <w:tcW w:w="687" w:type="pct"/>
            <w:gridSpan w:val="2"/>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687" w:type="pct"/>
            <w:gridSpan w:val="2"/>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December 31,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940915904"/>
        </w:trPr>
        <w:tc>
          <w:tcPr>
            <w:tcW w:w="3402"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16"/>
                <w:szCs w:val="16"/>
              </w:rPr>
            </w:pPr>
            <w:r>
              <w:rPr>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16"/>
                <w:szCs w:val="16"/>
              </w:rPr>
            </w:pPr>
            <w:r>
              <w:rPr>
                <w:color w:val="000000"/>
                <w:sz w:val="16"/>
                <w:szCs w:val="16"/>
              </w:rPr>
              <w:t> </w:t>
            </w:r>
          </w:p>
        </w:tc>
        <w:tc>
          <w:tcPr>
            <w:tcW w:w="687" w:type="pct"/>
            <w:gridSpan w:val="2"/>
            <w:tcBorders>
              <w:bottom w:val="single" w:sz="6" w:space="0" w:color="000000"/>
            </w:tcBorders>
            <w:shd w:val="clear" w:color="auto" w:fill="FFFFFF"/>
            <w:tcMar>
              <w:top w:w="15" w:type="dxa"/>
              <w:left w:w="0" w:type="dxa"/>
              <w:bottom w:w="0" w:type="dxa"/>
              <w:right w:w="15" w:type="dxa"/>
            </w:tcMar>
            <w:vAlign w:val="center"/>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center"/>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68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940915904"/>
        </w:trPr>
        <w:tc>
          <w:tcPr>
            <w:tcW w:w="3402"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Revolving Credit Facility, principal due at maturity</w:t>
            </w:r>
          </w:p>
          <w:p w:rsidR="00000000" w:rsidRDefault="00240F6E">
            <w:pPr>
              <w:pStyle w:val="a3"/>
              <w:spacing w:before="0" w:beforeAutospacing="0" w:after="0" w:afterAutospacing="0"/>
              <w:rPr>
                <w:color w:val="000000"/>
                <w:sz w:val="20"/>
                <w:szCs w:val="20"/>
              </w:rPr>
            </w:pPr>
            <w:r>
              <w:rPr>
                <w:color w:val="000000"/>
                <w:sz w:val="20"/>
                <w:szCs w:val="20"/>
              </w:rPr>
              <w:t>   in April 2023; interest payable periodically at variable interest</w:t>
            </w:r>
          </w:p>
          <w:p w:rsidR="00000000" w:rsidRDefault="00240F6E">
            <w:pPr>
              <w:pStyle w:val="a3"/>
              <w:spacing w:before="0" w:beforeAutospacing="0" w:after="0" w:afterAutospacing="0"/>
              <w:rPr>
                <w:color w:val="000000"/>
                <w:sz w:val="20"/>
                <w:szCs w:val="20"/>
              </w:rPr>
            </w:pPr>
            <w:r>
              <w:rPr>
                <w:color w:val="000000"/>
                <w:sz w:val="20"/>
                <w:szCs w:val="20"/>
              </w:rPr>
              <w:t>   rates. The weighted average rate at both March 31, 2019 and</w:t>
            </w:r>
          </w:p>
          <w:p w:rsidR="00000000" w:rsidRDefault="00240F6E">
            <w:pPr>
              <w:pStyle w:val="a3"/>
              <w:spacing w:before="0" w:beforeAutospacing="0" w:after="0" w:afterAutospacing="0"/>
              <w:rPr>
                <w:color w:val="000000"/>
                <w:sz w:val="20"/>
                <w:szCs w:val="20"/>
              </w:rPr>
            </w:pPr>
            <w:r>
              <w:rPr>
                <w:color w:val="000000"/>
                <w:sz w:val="20"/>
                <w:szCs w:val="20"/>
              </w:rPr>
              <w:t>   December 31, 2018 was 4.0%.</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63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214,000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63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201,000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40915904"/>
        </w:trPr>
        <w:tc>
          <w:tcPr>
            <w:tcW w:w="3402"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Term Loan, scheduled principal payments through maturity in</w:t>
            </w:r>
          </w:p>
          <w:p w:rsidR="00000000" w:rsidRDefault="00240F6E">
            <w:pPr>
              <w:pStyle w:val="a3"/>
              <w:spacing w:before="0" w:beforeAutospacing="0" w:after="0" w:afterAutospacing="0"/>
              <w:rPr>
                <w:color w:val="000000"/>
                <w:sz w:val="20"/>
                <w:szCs w:val="20"/>
              </w:rPr>
            </w:pPr>
            <w:r>
              <w:rPr>
                <w:color w:val="000000"/>
                <w:sz w:val="20"/>
                <w:szCs w:val="20"/>
              </w:rPr>
              <w:t>   April 2023; interest payable periodically at variable interest rates.</w:t>
            </w:r>
          </w:p>
          <w:p w:rsidR="00000000" w:rsidRDefault="00240F6E">
            <w:pPr>
              <w:pStyle w:val="a3"/>
              <w:spacing w:before="0" w:beforeAutospacing="0" w:after="0" w:afterAutospacing="0"/>
              <w:rPr>
                <w:color w:val="000000"/>
                <w:sz w:val="20"/>
                <w:szCs w:val="20"/>
              </w:rPr>
            </w:pPr>
            <w:r>
              <w:rPr>
                <w:color w:val="000000"/>
                <w:sz w:val="20"/>
                <w:szCs w:val="20"/>
              </w:rPr>
              <w:t>   The rate at both March 31, 2019 and December 31, 2018 was 4.0%.</w:t>
            </w:r>
          </w:p>
          <w:p w:rsidR="00000000" w:rsidRDefault="00240F6E">
            <w:pPr>
              <w:pStyle w:val="a3"/>
              <w:spacing w:before="0" w:beforeAutospacing="0" w:after="0" w:afterAutospacing="0"/>
              <w:rPr>
                <w:color w:val="000000"/>
                <w:sz w:val="20"/>
                <w:szCs w:val="20"/>
              </w:rPr>
            </w:pPr>
            <w:r>
              <w:rPr>
                <w:color w:val="000000"/>
                <w:sz w:val="20"/>
                <w:szCs w:val="20"/>
              </w:rPr>
              <w:t>   Unamortized debt issuance costs amounted to $0.1 mill</w:t>
            </w:r>
            <w:r>
              <w:rPr>
                <w:color w:val="000000"/>
                <w:sz w:val="20"/>
                <w:szCs w:val="20"/>
              </w:rPr>
              <w:t>ion at both</w:t>
            </w:r>
          </w:p>
          <w:p w:rsidR="00000000" w:rsidRDefault="00240F6E">
            <w:pPr>
              <w:pStyle w:val="a3"/>
              <w:spacing w:before="0" w:beforeAutospacing="0" w:after="0" w:afterAutospacing="0"/>
              <w:rPr>
                <w:color w:val="000000"/>
                <w:sz w:val="20"/>
                <w:szCs w:val="20"/>
              </w:rPr>
            </w:pPr>
            <w:r>
              <w:rPr>
                <w:color w:val="000000"/>
                <w:sz w:val="20"/>
                <w:szCs w:val="20"/>
              </w:rPr>
              <w:t>   March 31, 2019 and December 31, 2018.</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196,250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197,500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40915904"/>
        </w:trPr>
        <w:tc>
          <w:tcPr>
            <w:tcW w:w="3402"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4.625% Senior Notes, principal due at maturity in May 2023;</w:t>
            </w:r>
          </w:p>
          <w:p w:rsidR="00000000" w:rsidRDefault="00240F6E">
            <w:pPr>
              <w:pStyle w:val="a3"/>
              <w:spacing w:before="0" w:beforeAutospacing="0" w:after="0" w:afterAutospacing="0"/>
              <w:rPr>
                <w:color w:val="000000"/>
                <w:sz w:val="20"/>
                <w:szCs w:val="20"/>
              </w:rPr>
            </w:pPr>
            <w:r>
              <w:rPr>
                <w:color w:val="000000"/>
                <w:sz w:val="20"/>
                <w:szCs w:val="20"/>
              </w:rPr>
              <w:t>   interest payable semi-annually in May and November at 4.625%.</w:t>
            </w:r>
          </w:p>
          <w:p w:rsidR="00000000" w:rsidRDefault="00240F6E">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Unamortized debt issuance costs amounted to $2.6 million</w:t>
            </w:r>
          </w:p>
          <w:p w:rsidR="00000000" w:rsidRDefault="00240F6E">
            <w:pPr>
              <w:pStyle w:val="a3"/>
              <w:spacing w:before="0" w:beforeAutospacing="0" w:after="0" w:afterAutospacing="0"/>
              <w:rPr>
                <w:color w:val="000000"/>
                <w:sz w:val="20"/>
                <w:szCs w:val="20"/>
              </w:rPr>
            </w:pPr>
            <w:r>
              <w:rPr>
                <w:color w:val="000000"/>
                <w:sz w:val="20"/>
                <w:szCs w:val="20"/>
              </w:rPr>
              <w:t>   and $2.7 million at March 31, 2019 and</w:t>
            </w:r>
          </w:p>
          <w:p w:rsidR="00000000" w:rsidRDefault="00240F6E">
            <w:pPr>
              <w:pStyle w:val="a3"/>
              <w:spacing w:before="0" w:beforeAutospacing="0" w:after="0" w:afterAutospacing="0"/>
              <w:rPr>
                <w:color w:val="000000"/>
                <w:sz w:val="20"/>
                <w:szCs w:val="20"/>
              </w:rPr>
            </w:pPr>
            <w:r>
              <w:rPr>
                <w:color w:val="000000"/>
                <w:sz w:val="20"/>
                <w:szCs w:val="20"/>
              </w:rPr>
              <w:t>   December 31, 2018, respectively.</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350,000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350,000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40915904"/>
        </w:trPr>
        <w:tc>
          <w:tcPr>
            <w:tcW w:w="3402"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4.125% Senior Notes, principal due at maturity in April 2020;</w:t>
            </w:r>
          </w:p>
          <w:p w:rsidR="00000000" w:rsidRDefault="00240F6E">
            <w:pPr>
              <w:pStyle w:val="a3"/>
              <w:spacing w:before="0" w:beforeAutospacing="0" w:after="0" w:afterAutospacing="0"/>
              <w:rPr>
                <w:color w:val="000000"/>
                <w:sz w:val="20"/>
                <w:szCs w:val="20"/>
              </w:rPr>
            </w:pPr>
            <w:r>
              <w:rPr>
                <w:color w:val="000000"/>
                <w:sz w:val="20"/>
                <w:szCs w:val="20"/>
              </w:rPr>
              <w:t>   interest payable semi-annua</w:t>
            </w:r>
            <w:r>
              <w:rPr>
                <w:color w:val="000000"/>
                <w:sz w:val="20"/>
                <w:szCs w:val="20"/>
              </w:rPr>
              <w:t>lly in April and October at 4.125%.</w:t>
            </w:r>
          </w:p>
          <w:p w:rsidR="00000000" w:rsidRDefault="00240F6E">
            <w:pPr>
              <w:pStyle w:val="a3"/>
              <w:spacing w:before="0" w:beforeAutospacing="0" w:after="0" w:afterAutospacing="0"/>
              <w:rPr>
                <w:color w:val="000000"/>
                <w:sz w:val="20"/>
                <w:szCs w:val="20"/>
              </w:rPr>
            </w:pPr>
            <w:r>
              <w:rPr>
                <w:color w:val="000000"/>
                <w:sz w:val="20"/>
                <w:szCs w:val="20"/>
              </w:rPr>
              <w:t>   Unamortized debt issuance costs amounted to $0.8 million</w:t>
            </w:r>
          </w:p>
          <w:p w:rsidR="00000000" w:rsidRDefault="00240F6E">
            <w:pPr>
              <w:pStyle w:val="a3"/>
              <w:spacing w:before="0" w:beforeAutospacing="0" w:after="0" w:afterAutospacing="0"/>
              <w:rPr>
                <w:color w:val="000000"/>
                <w:sz w:val="20"/>
                <w:szCs w:val="20"/>
              </w:rPr>
            </w:pPr>
            <w:r>
              <w:rPr>
                <w:color w:val="000000"/>
                <w:sz w:val="20"/>
                <w:szCs w:val="20"/>
              </w:rPr>
              <w:t>   and $1.0 million at March 31, 2019 and</w:t>
            </w:r>
          </w:p>
          <w:p w:rsidR="00000000" w:rsidRDefault="00240F6E">
            <w:pPr>
              <w:pStyle w:val="a3"/>
              <w:spacing w:before="0" w:beforeAutospacing="0" w:after="0" w:afterAutospacing="0"/>
              <w:rPr>
                <w:color w:val="000000"/>
                <w:sz w:val="20"/>
                <w:szCs w:val="20"/>
              </w:rPr>
            </w:pPr>
            <w:r>
              <w:rPr>
                <w:color w:val="000000"/>
                <w:sz w:val="20"/>
                <w:szCs w:val="20"/>
              </w:rPr>
              <w:t>   December 31, 2018, respectively.</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325,000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325,000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40915904"/>
        </w:trPr>
        <w:tc>
          <w:tcPr>
            <w:tcW w:w="3402"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5.0% Senior Notes, principal due at maturity in October 2022;</w:t>
            </w:r>
          </w:p>
          <w:p w:rsidR="00000000" w:rsidRDefault="00240F6E">
            <w:pPr>
              <w:pStyle w:val="a3"/>
              <w:spacing w:before="0" w:beforeAutospacing="0" w:after="0" w:afterAutospacing="0"/>
              <w:rPr>
                <w:color w:val="000000"/>
                <w:sz w:val="20"/>
                <w:szCs w:val="20"/>
              </w:rPr>
            </w:pPr>
            <w:r>
              <w:rPr>
                <w:color w:val="000000"/>
                <w:sz w:val="20"/>
                <w:szCs w:val="20"/>
              </w:rPr>
              <w:t>   interest payable semi-annually in April and October at 5.0%.</w:t>
            </w:r>
          </w:p>
          <w:p w:rsidR="00000000" w:rsidRDefault="00240F6E">
            <w:pPr>
              <w:pStyle w:val="a3"/>
              <w:spacing w:before="0" w:beforeAutospacing="0" w:after="0" w:afterAutospacing="0"/>
              <w:rPr>
                <w:color w:val="000000"/>
                <w:sz w:val="20"/>
                <w:szCs w:val="20"/>
              </w:rPr>
            </w:pPr>
            <w:r>
              <w:rPr>
                <w:color w:val="000000"/>
                <w:sz w:val="20"/>
                <w:szCs w:val="20"/>
              </w:rPr>
              <w:t>   Unamortized debt issuance costs amounted to $1.7 million</w:t>
            </w:r>
          </w:p>
          <w:p w:rsidR="00000000" w:rsidRDefault="00240F6E">
            <w:pPr>
              <w:pStyle w:val="a3"/>
              <w:spacing w:before="0" w:beforeAutospacing="0" w:after="0" w:afterAutospacing="0"/>
              <w:rPr>
                <w:color w:val="000000"/>
                <w:sz w:val="20"/>
                <w:szCs w:val="20"/>
              </w:rPr>
            </w:pPr>
            <w:r>
              <w:rPr>
                <w:color w:val="000000"/>
                <w:sz w:val="20"/>
                <w:szCs w:val="20"/>
              </w:rPr>
              <w:t>   and $1.8 million at March 31, 2019 and</w:t>
            </w:r>
          </w:p>
          <w:p w:rsidR="00000000" w:rsidRDefault="00240F6E">
            <w:pPr>
              <w:pStyle w:val="a3"/>
              <w:spacing w:before="0" w:beforeAutospacing="0" w:after="0" w:afterAutospacing="0"/>
              <w:rPr>
                <w:color w:val="000000"/>
                <w:sz w:val="20"/>
                <w:szCs w:val="20"/>
              </w:rPr>
            </w:pPr>
            <w:r>
              <w:rPr>
                <w:color w:val="000000"/>
                <w:sz w:val="20"/>
                <w:szCs w:val="20"/>
              </w:rPr>
              <w:t>   December 31, 2018, respec</w:t>
            </w:r>
            <w:r>
              <w:rPr>
                <w:color w:val="000000"/>
                <w:sz w:val="20"/>
                <w:szCs w:val="20"/>
              </w:rPr>
              <w:t>tively.</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250,000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250,000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40915904"/>
        </w:trPr>
        <w:tc>
          <w:tcPr>
            <w:tcW w:w="3402"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4.75% Senior Notes, principal due at maturity in October 2027;</w:t>
            </w:r>
          </w:p>
          <w:p w:rsidR="00000000" w:rsidRDefault="00240F6E">
            <w:pPr>
              <w:pStyle w:val="a3"/>
              <w:spacing w:before="0" w:beforeAutospacing="0" w:after="0" w:afterAutospacing="0"/>
              <w:rPr>
                <w:color w:val="000000"/>
                <w:sz w:val="20"/>
                <w:szCs w:val="20"/>
              </w:rPr>
            </w:pPr>
            <w:r>
              <w:rPr>
                <w:color w:val="000000"/>
                <w:sz w:val="20"/>
                <w:szCs w:val="20"/>
              </w:rPr>
              <w:t>   interest payable semi-annually in April and October at 4.75%.</w:t>
            </w:r>
          </w:p>
          <w:p w:rsidR="00000000" w:rsidRDefault="00240F6E">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Unamortized debt issuance costs amounted to $3.4 million</w:t>
            </w:r>
          </w:p>
          <w:p w:rsidR="00000000" w:rsidRDefault="00240F6E">
            <w:pPr>
              <w:pStyle w:val="a3"/>
              <w:spacing w:before="0" w:beforeAutospacing="0" w:after="0" w:afterAutospacing="0"/>
              <w:rPr>
                <w:color w:val="000000"/>
                <w:sz w:val="20"/>
                <w:szCs w:val="20"/>
              </w:rPr>
            </w:pPr>
            <w:r>
              <w:rPr>
                <w:color w:val="000000"/>
                <w:sz w:val="20"/>
                <w:szCs w:val="20"/>
              </w:rPr>
              <w:t>   and $3.5 million at March 31, 2019 and</w:t>
            </w:r>
          </w:p>
          <w:p w:rsidR="00000000" w:rsidRDefault="00240F6E">
            <w:pPr>
              <w:pStyle w:val="a3"/>
              <w:spacing w:before="0" w:beforeAutospacing="0" w:after="0" w:afterAutospacing="0"/>
              <w:rPr>
                <w:color w:val="000000"/>
                <w:sz w:val="20"/>
                <w:szCs w:val="20"/>
              </w:rPr>
            </w:pPr>
            <w:r>
              <w:rPr>
                <w:color w:val="000000"/>
                <w:sz w:val="20"/>
                <w:szCs w:val="20"/>
              </w:rPr>
              <w:t>   December 31, 2018, respectively.</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250,000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250,000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40915904"/>
        </w:trPr>
        <w:tc>
          <w:tcPr>
            <w:tcW w:w="3402"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4.5% Non-Recourse Mortgage Note, secured by Capital Commerce</w:t>
            </w:r>
          </w:p>
          <w:p w:rsidR="00000000" w:rsidRDefault="00240F6E">
            <w:pPr>
              <w:pStyle w:val="a3"/>
              <w:spacing w:before="0" w:beforeAutospacing="0" w:after="0" w:afterAutospacing="0"/>
              <w:rPr>
                <w:color w:val="000000"/>
                <w:sz w:val="20"/>
                <w:szCs w:val="20"/>
              </w:rPr>
            </w:pPr>
            <w:r>
              <w:rPr>
                <w:color w:val="000000"/>
                <w:sz w:val="20"/>
                <w:szCs w:val="20"/>
              </w:rPr>
              <w:t>   Center; principal and intere</w:t>
            </w:r>
            <w:r>
              <w:rPr>
                <w:color w:val="000000"/>
                <w:sz w:val="20"/>
                <w:szCs w:val="20"/>
              </w:rPr>
              <w:t>st at 4.5% payable monthly until maturity</w:t>
            </w:r>
          </w:p>
          <w:p w:rsidR="00000000" w:rsidRDefault="00240F6E">
            <w:pPr>
              <w:pStyle w:val="a3"/>
              <w:spacing w:before="0" w:beforeAutospacing="0" w:after="0" w:afterAutospacing="0"/>
              <w:rPr>
                <w:color w:val="000000"/>
                <w:sz w:val="20"/>
                <w:szCs w:val="20"/>
              </w:rPr>
            </w:pPr>
            <w:r>
              <w:rPr>
                <w:color w:val="000000"/>
                <w:sz w:val="20"/>
                <w:szCs w:val="20"/>
              </w:rPr>
              <w:t>   in January 2033. Unamortized debt issuance costs amounted</w:t>
            </w:r>
          </w:p>
          <w:p w:rsidR="00000000" w:rsidRDefault="00240F6E">
            <w:pPr>
              <w:pStyle w:val="a3"/>
              <w:spacing w:before="0" w:beforeAutospacing="0" w:after="0" w:afterAutospacing="0"/>
              <w:rPr>
                <w:color w:val="000000"/>
                <w:sz w:val="20"/>
                <w:szCs w:val="20"/>
              </w:rPr>
            </w:pPr>
            <w:r>
              <w:rPr>
                <w:color w:val="000000"/>
                <w:sz w:val="20"/>
                <w:szCs w:val="20"/>
              </w:rPr>
              <w:t>   to $0.3 million at both March 31, 2019 and December 31, 2018.</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23,129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23,429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40915904"/>
        </w:trPr>
        <w:tc>
          <w:tcPr>
            <w:tcW w:w="3402"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4.43% Non-Recourse Mortgage Note, secured by the Lansing</w:t>
            </w:r>
          </w:p>
          <w:p w:rsidR="00000000" w:rsidRDefault="00240F6E">
            <w:pPr>
              <w:pStyle w:val="a3"/>
              <w:spacing w:before="0" w:beforeAutospacing="0" w:after="0" w:afterAutospacing="0"/>
              <w:rPr>
                <w:color w:val="000000"/>
                <w:sz w:val="20"/>
                <w:szCs w:val="20"/>
              </w:rPr>
            </w:pPr>
            <w:r>
              <w:rPr>
                <w:color w:val="000000"/>
                <w:sz w:val="20"/>
                <w:szCs w:val="20"/>
              </w:rPr>
              <w:t>   Correctional Facility; principal and interest at 4.43% payable quarterly</w:t>
            </w:r>
          </w:p>
          <w:p w:rsidR="00000000" w:rsidRDefault="00240F6E">
            <w:pPr>
              <w:pStyle w:val="a3"/>
              <w:spacing w:before="0" w:beforeAutospacing="0" w:after="0" w:afterAutospacing="0"/>
              <w:rPr>
                <w:color w:val="000000"/>
                <w:sz w:val="20"/>
                <w:szCs w:val="20"/>
              </w:rPr>
            </w:pPr>
            <w:r>
              <w:rPr>
                <w:color w:val="000000"/>
                <w:sz w:val="20"/>
                <w:szCs w:val="20"/>
              </w:rPr>
              <w:t>   beginning in July 2020 until maturity in January 2040. Unamortized</w:t>
            </w:r>
          </w:p>
          <w:p w:rsidR="00000000" w:rsidRDefault="00240F6E">
            <w:pPr>
              <w:pStyle w:val="a3"/>
              <w:spacing w:before="0" w:beforeAutospacing="0" w:after="0" w:afterAutospacing="0"/>
              <w:rPr>
                <w:color w:val="000000"/>
                <w:sz w:val="20"/>
                <w:szCs w:val="20"/>
              </w:rPr>
            </w:pPr>
            <w:r>
              <w:rPr>
                <w:color w:val="000000"/>
                <w:sz w:val="20"/>
                <w:szCs w:val="20"/>
              </w:rPr>
              <w:t>   debt issuance costs amounted  to $3.4 million at b</w:t>
            </w:r>
            <w:r>
              <w:rPr>
                <w:color w:val="000000"/>
                <w:sz w:val="20"/>
                <w:szCs w:val="20"/>
              </w:rPr>
              <w:t>oth</w:t>
            </w:r>
          </w:p>
          <w:p w:rsidR="00000000" w:rsidRDefault="00240F6E">
            <w:pPr>
              <w:pStyle w:val="a3"/>
              <w:spacing w:before="0" w:beforeAutospacing="0" w:after="0" w:afterAutospacing="0"/>
              <w:rPr>
                <w:color w:val="000000"/>
                <w:sz w:val="20"/>
                <w:szCs w:val="20"/>
              </w:rPr>
            </w:pPr>
            <w:r>
              <w:rPr>
                <w:color w:val="000000"/>
                <w:sz w:val="20"/>
                <w:szCs w:val="20"/>
              </w:rPr>
              <w:t>   March 31, 2019 and December 31, 2018.</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93,472</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62,331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40915904"/>
        </w:trPr>
        <w:tc>
          <w:tcPr>
            <w:tcW w:w="3402"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4.5% Non-Recourse Mortgage Note, secured by SSA-Baltimore;</w:t>
            </w:r>
          </w:p>
          <w:p w:rsidR="00000000" w:rsidRDefault="00240F6E">
            <w:pPr>
              <w:pStyle w:val="a3"/>
              <w:spacing w:before="0" w:beforeAutospacing="0" w:after="0" w:afterAutospacing="0"/>
              <w:rPr>
                <w:color w:val="000000"/>
                <w:sz w:val="20"/>
                <w:szCs w:val="20"/>
              </w:rPr>
            </w:pPr>
            <w:r>
              <w:rPr>
                <w:color w:val="000000"/>
                <w:sz w:val="20"/>
                <w:szCs w:val="20"/>
              </w:rPr>
              <w:t>   principal and interest at 4.5% payable monthly until maturity in</w:t>
            </w:r>
          </w:p>
          <w:p w:rsidR="00000000" w:rsidRDefault="00240F6E">
            <w:pPr>
              <w:pStyle w:val="a3"/>
              <w:spacing w:before="0" w:beforeAutospacing="0" w:after="0" w:afterAutospacing="0"/>
              <w:rPr>
                <w:color w:val="000000"/>
                <w:sz w:val="20"/>
                <w:szCs w:val="20"/>
              </w:rPr>
            </w:pPr>
            <w:r>
              <w:rPr>
                <w:color w:val="000000"/>
                <w:sz w:val="20"/>
                <w:szCs w:val="20"/>
              </w:rPr>
              <w:t>   February 2034. Unamortized debt issuance costs amounte</w:t>
            </w:r>
            <w:r>
              <w:rPr>
                <w:color w:val="000000"/>
                <w:sz w:val="20"/>
                <w:szCs w:val="20"/>
              </w:rPr>
              <w:t>d</w:t>
            </w:r>
          </w:p>
          <w:p w:rsidR="00000000" w:rsidRDefault="00240F6E">
            <w:pPr>
              <w:pStyle w:val="a3"/>
              <w:spacing w:before="0" w:beforeAutospacing="0" w:after="0" w:afterAutospacing="0"/>
              <w:rPr>
                <w:color w:val="000000"/>
                <w:sz w:val="20"/>
                <w:szCs w:val="20"/>
              </w:rPr>
            </w:pPr>
            <w:r>
              <w:rPr>
                <w:color w:val="000000"/>
                <w:sz w:val="20"/>
                <w:szCs w:val="20"/>
              </w:rPr>
              <w:t>   to $0.2 million and $0.3 million at March 31, 2019</w:t>
            </w:r>
          </w:p>
          <w:p w:rsidR="00000000" w:rsidRDefault="00240F6E">
            <w:pPr>
              <w:pStyle w:val="a3"/>
              <w:spacing w:before="0" w:beforeAutospacing="0" w:after="0" w:afterAutospacing="0"/>
              <w:rPr>
                <w:color w:val="000000"/>
                <w:sz w:val="20"/>
                <w:szCs w:val="20"/>
              </w:rPr>
            </w:pPr>
            <w:r>
              <w:rPr>
                <w:color w:val="000000"/>
                <w:sz w:val="20"/>
                <w:szCs w:val="20"/>
              </w:rPr>
              <w:t>   and December 31, 2018, respectively.</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3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154,209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155,535</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40915904"/>
        </w:trPr>
        <w:tc>
          <w:tcPr>
            <w:tcW w:w="3402"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Total debt</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3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1,856,060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1,814,795</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40915904"/>
        </w:trPr>
        <w:tc>
          <w:tcPr>
            <w:tcW w:w="3402"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Unamortized debt issuance costs</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(12,498</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(13,119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r>
      <w:tr w:rsidR="00000000">
        <w:trPr>
          <w:divId w:val="940915904"/>
        </w:trPr>
        <w:tc>
          <w:tcPr>
            <w:tcW w:w="3402"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Current portion of long-term debt</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3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(15,448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(14,121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r>
      <w:tr w:rsidR="00000000">
        <w:trPr>
          <w:divId w:val="940915904"/>
        </w:trPr>
        <w:tc>
          <w:tcPr>
            <w:tcW w:w="3402"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Long-term debt, net</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63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1,828,114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637"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1,787,555</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
                <w:szCs w:val="2"/>
              </w:rPr>
            </w:pPr>
            <w:r>
              <w:rPr>
                <w:color w:val="000000"/>
                <w:sz w:val="2"/>
                <w:szCs w:val="2"/>
              </w:rPr>
              <w:t> </w:t>
            </w:r>
          </w:p>
        </w:tc>
      </w:tr>
    </w:tbl>
    <w:p w:rsidR="00000000" w:rsidRDefault="00240F6E">
      <w:pPr>
        <w:pStyle w:val="a3"/>
        <w:spacing w:before="0" w:beforeAutospacing="0" w:after="0" w:afterAutospacing="0"/>
        <w:jc w:val="both"/>
        <w:rPr>
          <w:sz w:val="20"/>
          <w:szCs w:val="20"/>
        </w:rPr>
      </w:pPr>
      <w:r>
        <w:rPr>
          <w:sz w:val="20"/>
          <w:szCs w:val="20"/>
        </w:rPr>
        <w:t> </w:t>
      </w:r>
    </w:p>
    <w:p w:rsidR="00000000" w:rsidRDefault="00240F6E">
      <w:pPr>
        <w:pStyle w:val="a3"/>
        <w:spacing w:before="0" w:beforeAutospacing="0" w:after="0" w:afterAutospacing="0"/>
        <w:ind w:left="476"/>
        <w:jc w:val="both"/>
        <w:rPr>
          <w:i/>
          <w:iCs/>
          <w:sz w:val="20"/>
          <w:szCs w:val="20"/>
        </w:rPr>
      </w:pPr>
      <w:r>
        <w:rPr>
          <w:i/>
          <w:iCs/>
          <w:sz w:val="20"/>
          <w:szCs w:val="20"/>
        </w:rPr>
        <w:t>Revolving Credit Facility.</w:t>
      </w:r>
      <w:r>
        <w:rPr>
          <w:sz w:val="20"/>
          <w:szCs w:val="20"/>
        </w:rPr>
        <w:t>  </w:t>
      </w:r>
      <w:r>
        <w:rPr>
          <w:sz w:val="20"/>
          <w:szCs w:val="20"/>
        </w:rPr>
        <w:t>On April 17, 2018, CoreCivic entered into the Second Amended and Restated Credit Agreement (the "Credit Agreement") in an aggregate principal amount of up to $1.0 billion.  The Credit Agreement provides for a term loan of $200.0 million (the "Term Loan") a</w:t>
      </w:r>
      <w:r>
        <w:rPr>
          <w:sz w:val="20"/>
          <w:szCs w:val="20"/>
        </w:rPr>
        <w:t>nd a revolving credit facility in an aggregate principal amount of up to $800.0 million (the "Revolving Credit Facility"). The Credit Agreement has a maturity of April 2023.   The Credit Agreement also contains an "accordion" feature that provides for unco</w:t>
      </w:r>
      <w:r>
        <w:rPr>
          <w:sz w:val="20"/>
          <w:szCs w:val="20"/>
        </w:rPr>
        <w:t xml:space="preserve">mmitted incremental extensions of credit in the form of increases in the revolving commitments or incremental term loans of up to $350.0 million as requested by CoreCivic. At CoreCivic's option, interest on </w:t>
      </w:r>
    </w:p>
    <w:p w:rsidR="00000000" w:rsidRDefault="00240F6E">
      <w:pPr>
        <w:pStyle w:val="a3"/>
        <w:spacing w:before="240" w:beforeAutospacing="0" w:after="0" w:afterAutospacing="0"/>
        <w:jc w:val="center"/>
        <w:rPr>
          <w:sz w:val="20"/>
          <w:szCs w:val="20"/>
        </w:rPr>
      </w:pPr>
      <w:r>
        <w:rPr>
          <w:sz w:val="20"/>
          <w:szCs w:val="20"/>
        </w:rPr>
        <w:t>11</w:t>
      </w:r>
    </w:p>
    <w:p w:rsidR="00000000" w:rsidRDefault="00240F6E">
      <w:pPr>
        <w:rPr>
          <w:rFonts w:eastAsia="Times New Roman"/>
        </w:rPr>
      </w:pPr>
      <w:r>
        <w:rPr>
          <w:rFonts w:eastAsia="Times New Roman"/>
        </w:rPr>
        <w:pict>
          <v:rect id="_x0000_i1037" style="width:0;height:1.5pt" o:hralign="center" o:hrstd="t" o:hr="t" fillcolor="#a0a0a0" stroked="f"/>
        </w:pict>
      </w:r>
    </w:p>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0" w:beforeAutospacing="0" w:after="0" w:afterAutospacing="0"/>
        <w:ind w:left="476"/>
        <w:jc w:val="both"/>
        <w:rPr>
          <w:i/>
          <w:iCs/>
          <w:sz w:val="20"/>
          <w:szCs w:val="20"/>
        </w:rPr>
      </w:pPr>
      <w:r>
        <w:rPr>
          <w:sz w:val="20"/>
          <w:szCs w:val="20"/>
        </w:rPr>
        <w:t>outstanding borrowings under the Revolving Credit Facility is based on either a base rate plus a margin ranging from 0.00% to 1.00% or at the London Interbank Offered Rate ("LIBOR") plus a margin ranging from 1.00% to 2.00% based on CoreCivic's then-curren</w:t>
      </w:r>
      <w:r>
        <w:rPr>
          <w:sz w:val="20"/>
          <w:szCs w:val="20"/>
        </w:rPr>
        <w:t xml:space="preserve">t leverage ratio.  The Revolving Credit Facility includes a $30.0 million sublimit for swing line loans that enables CoreCivic to borrow at the base rate from the Administrative Agent on same-day notice. </w:t>
      </w:r>
    </w:p>
    <w:p w:rsidR="00000000" w:rsidRDefault="00240F6E">
      <w:pPr>
        <w:pStyle w:val="a3"/>
        <w:spacing w:before="120" w:beforeAutospacing="0" w:after="0" w:afterAutospacing="0"/>
        <w:ind w:left="476"/>
        <w:jc w:val="both"/>
        <w:rPr>
          <w:sz w:val="20"/>
          <w:szCs w:val="20"/>
        </w:rPr>
      </w:pPr>
      <w:r>
        <w:rPr>
          <w:sz w:val="20"/>
          <w:szCs w:val="20"/>
        </w:rPr>
        <w:t>Based on CoreCivic's current total leverage ratio, loans under the Revolving Credit Facility bear interest at the base rate plus a margin of 0.50% or at LIBOR plus a margin of 1.50%, and a commitment fee equal to 0.35% of the unfunded balance.  The Revolvi</w:t>
      </w:r>
      <w:r>
        <w:rPr>
          <w:sz w:val="20"/>
          <w:szCs w:val="20"/>
        </w:rPr>
        <w:t>ng Credit Facility also has a $50.0 million sublimit for the issuance of standby letters of credit. As of March 31, 2019, CoreCivic had $214.0 million in borrowings outstanding under the Revolving Credit Facility as well as $23.7 million in letters of cred</w:t>
      </w:r>
      <w:r>
        <w:rPr>
          <w:sz w:val="20"/>
          <w:szCs w:val="20"/>
        </w:rPr>
        <w:t>it outstanding resulting in $562.3 million available under the Revolving Credit Facility.  </w:t>
      </w:r>
    </w:p>
    <w:p w:rsidR="00000000" w:rsidRDefault="00240F6E">
      <w:pPr>
        <w:pStyle w:val="a3"/>
        <w:spacing w:before="240" w:beforeAutospacing="0" w:after="0" w:afterAutospacing="0"/>
        <w:ind w:left="476"/>
        <w:jc w:val="both"/>
        <w:rPr>
          <w:sz w:val="20"/>
          <w:szCs w:val="20"/>
        </w:rPr>
      </w:pPr>
      <w:r>
        <w:rPr>
          <w:sz w:val="20"/>
          <w:szCs w:val="20"/>
        </w:rPr>
        <w:t>The Revolving Credit Facility is secured by a pledge of all of the capital stock of CoreCivic's domestic restricted subsidiaries, 65% of the capital stock of CoreCi</w:t>
      </w:r>
      <w:r>
        <w:rPr>
          <w:sz w:val="20"/>
          <w:szCs w:val="20"/>
        </w:rPr>
        <w:t>vic's foreign subsidiaries, all of CoreCivic's accounts receivable, and all of CoreCivic's deposit accounts. The Revolving Credit Facility requires CoreCivic to meet certain financial covenants, including, without limitation, a maximum total leverage ratio</w:t>
      </w:r>
      <w:r>
        <w:rPr>
          <w:sz w:val="20"/>
          <w:szCs w:val="20"/>
        </w:rPr>
        <w:t>, a maximum secured leverage ratio, and a minimum fixed charge coverage ratio.  As of March 31, 2019, CoreCivic was in compliance with all such covenants.  In addition, the Revolving Credit Facility contains certain covenants that, among other things, limi</w:t>
      </w:r>
      <w:r>
        <w:rPr>
          <w:sz w:val="20"/>
          <w:szCs w:val="20"/>
        </w:rPr>
        <w:t>t the incurrence of additional indebtedness, payment of dividends and other customary restricted payments, permitted investments, transactions with affiliates, asset sales, mergers and consolidations, liquidations, prepayments and modifications of other in</w:t>
      </w:r>
      <w:r>
        <w:rPr>
          <w:sz w:val="20"/>
          <w:szCs w:val="20"/>
        </w:rPr>
        <w:t xml:space="preserve">debtedness, liens and other encumbrances and other matters customarily restricted in such agreements.  In addition, the Revolving Credit Facility is subject to certain cross-default provisions with terms of CoreCivic's other unsecured indebtedness, and is </w:t>
      </w:r>
      <w:r>
        <w:rPr>
          <w:sz w:val="20"/>
          <w:szCs w:val="20"/>
        </w:rPr>
        <w:t xml:space="preserve">subject to acceleration upon the occurrence of a change of control. </w:t>
      </w:r>
    </w:p>
    <w:p w:rsidR="00000000" w:rsidRDefault="00240F6E">
      <w:pPr>
        <w:pStyle w:val="a3"/>
        <w:spacing w:before="240" w:beforeAutospacing="0" w:after="0" w:afterAutospacing="0"/>
        <w:ind w:left="476"/>
        <w:jc w:val="both"/>
        <w:rPr>
          <w:i/>
          <w:iCs/>
          <w:sz w:val="20"/>
          <w:szCs w:val="20"/>
        </w:rPr>
      </w:pPr>
      <w:r>
        <w:rPr>
          <w:i/>
          <w:iCs/>
          <w:sz w:val="20"/>
          <w:szCs w:val="20"/>
        </w:rPr>
        <w:t>Incremental Term Loan.</w:t>
      </w:r>
      <w:r>
        <w:t xml:space="preserve"> </w:t>
      </w:r>
      <w:r>
        <w:rPr>
          <w:sz w:val="20"/>
          <w:szCs w:val="20"/>
        </w:rPr>
        <w:t>Interest rate margins under the Term Loan are the same as the interest rate margins under the Revolving Credit Facility.  The Term Loan also has the same collateral</w:t>
      </w:r>
      <w:r>
        <w:rPr>
          <w:sz w:val="20"/>
          <w:szCs w:val="20"/>
        </w:rPr>
        <w:t xml:space="preserve"> requirements, financial and certain other covenants, and cross-default provisions as the Revolving Credit Facility.  The Term Loan, which is pre-payable without penalty, also has a maturity concurrent with the Revolving Credit Facility due April 2023, wit</w:t>
      </w:r>
      <w:r>
        <w:rPr>
          <w:sz w:val="20"/>
          <w:szCs w:val="20"/>
        </w:rPr>
        <w:t>h scheduled quarterly principal payments through April 2023.  As of March 31, 2019, the outstanding balance of the Term Loan was $196.3 million.  </w:t>
      </w:r>
    </w:p>
    <w:p w:rsidR="00000000" w:rsidRDefault="00240F6E">
      <w:pPr>
        <w:pStyle w:val="a3"/>
        <w:spacing w:before="240" w:beforeAutospacing="0" w:after="0" w:afterAutospacing="0"/>
        <w:ind w:left="476"/>
        <w:jc w:val="both"/>
        <w:rPr>
          <w:i/>
          <w:iCs/>
          <w:sz w:val="20"/>
          <w:szCs w:val="20"/>
        </w:rPr>
      </w:pPr>
      <w:r>
        <w:rPr>
          <w:i/>
          <w:iCs/>
          <w:sz w:val="20"/>
          <w:szCs w:val="20"/>
        </w:rPr>
        <w:t>Senior Notes.</w:t>
      </w:r>
      <w:r>
        <w:rPr>
          <w:sz w:val="20"/>
          <w:szCs w:val="20"/>
        </w:rPr>
        <w:t>  Interest on the $325.0 million aggregate principal amount of CoreCivic's 4.125% senior notes i</w:t>
      </w:r>
      <w:r>
        <w:rPr>
          <w:sz w:val="20"/>
          <w:szCs w:val="20"/>
        </w:rPr>
        <w:t>ssued in April 2013 (the "4.125% Senior Notes") accrues at the stated rate and is payable in April and October of each year.  The 4.125% Senior Notes are scheduled to mature on April 1, 2020.  Interest on the $350.0 million aggregate principal amount of Co</w:t>
      </w:r>
      <w:r>
        <w:rPr>
          <w:sz w:val="20"/>
          <w:szCs w:val="20"/>
        </w:rPr>
        <w:t>reCivic's 4.625% senior notes issued in April 2013 (the "4.625% Senior Notes") accrues at the stated rate and is payable in May and November of each year.  The 4.625% Senior Notes are scheduled to mature on May 1, 2023.  Interest on the $250.0 million aggr</w:t>
      </w:r>
      <w:r>
        <w:rPr>
          <w:sz w:val="20"/>
          <w:szCs w:val="20"/>
        </w:rPr>
        <w:t>egate principal amount of CoreCivic's 5.0% senior notes issued in September 2015 (the "5.0% Senior Notes") accrues at the stated rate and is payable in April and October of each year.  The 5.0% Senior Notes are scheduled to mature on October 15, 2022.  Int</w:t>
      </w:r>
      <w:r>
        <w:rPr>
          <w:sz w:val="20"/>
          <w:szCs w:val="20"/>
        </w:rPr>
        <w:t>erest on the $250.0 million aggregate principal amount of CoreCivic's 4.75% senior notes issued in October 2017 (the "4.75% Senior Notes") accrues at the stated rate and is payable in April and October of each year.  The 4.75% Senior Notes are scheduled to</w:t>
      </w:r>
      <w:r>
        <w:rPr>
          <w:sz w:val="20"/>
          <w:szCs w:val="20"/>
        </w:rPr>
        <w:t xml:space="preserve"> mature on October 15, 2027.</w:t>
      </w:r>
    </w:p>
    <w:p w:rsidR="00000000" w:rsidRDefault="00240F6E">
      <w:pPr>
        <w:pStyle w:val="a3"/>
        <w:spacing w:before="240" w:beforeAutospacing="0" w:after="0" w:afterAutospacing="0"/>
        <w:ind w:left="476"/>
        <w:jc w:val="both"/>
        <w:rPr>
          <w:sz w:val="20"/>
          <w:szCs w:val="20"/>
        </w:rPr>
      </w:pPr>
      <w:r>
        <w:rPr>
          <w:sz w:val="20"/>
          <w:szCs w:val="20"/>
        </w:rPr>
        <w:t>The 4.125% Senior Notes, the 4.625% Senior Notes, the 5.0% Senior Notes, and the 4.75% Senior Notes, collectively referred to herein as the "Senior Notes", are senior unsecured obligations of the Company and are guaranteed by a</w:t>
      </w:r>
      <w:r>
        <w:rPr>
          <w:sz w:val="20"/>
          <w:szCs w:val="20"/>
        </w:rPr>
        <w:t>ll of the Company's subsidiaries that guarantee the Revolving Credit Facility.  CoreCivic may redeem all or part of the Senior Notes at any time prior to three months before their respective maturity date at a "make-whole" redemption price, plus accrued an</w:t>
      </w:r>
      <w:r>
        <w:rPr>
          <w:sz w:val="20"/>
          <w:szCs w:val="20"/>
        </w:rPr>
        <w:t>d unpaid interest thereon to, but not including, the redemption date.  Thereafter, the Senior Notes are redeemable at CoreCivic's option, in whole or in part, at a redemption price equal to 100% of the aggregate principal amount of the notes to be redeemed</w:t>
      </w:r>
      <w:r>
        <w:rPr>
          <w:sz w:val="20"/>
          <w:szCs w:val="20"/>
        </w:rPr>
        <w:t xml:space="preserve"> plus accrued and unpaid interest thereon to, but not including, the redemption date.  </w:t>
      </w:r>
    </w:p>
    <w:p w:rsidR="00000000" w:rsidRDefault="00240F6E">
      <w:pPr>
        <w:pStyle w:val="a3"/>
        <w:spacing w:before="240" w:beforeAutospacing="0" w:after="0" w:afterAutospacing="0"/>
        <w:ind w:left="476"/>
        <w:jc w:val="both"/>
        <w:rPr>
          <w:sz w:val="20"/>
          <w:szCs w:val="20"/>
        </w:rPr>
      </w:pPr>
      <w:r>
        <w:rPr>
          <w:sz w:val="20"/>
          <w:szCs w:val="20"/>
        </w:rPr>
        <w:t> </w:t>
      </w:r>
    </w:p>
    <w:p w:rsidR="00000000" w:rsidRDefault="00240F6E">
      <w:pPr>
        <w:pStyle w:val="a3"/>
        <w:spacing w:before="0" w:beforeAutospacing="0" w:after="0" w:afterAutospacing="0"/>
      </w:pPr>
    </w:p>
    <w:p w:rsidR="00000000" w:rsidRDefault="00240F6E">
      <w:pPr>
        <w:pStyle w:val="a3"/>
        <w:spacing w:before="240" w:beforeAutospacing="0" w:after="0" w:afterAutospacing="0"/>
        <w:jc w:val="center"/>
        <w:rPr>
          <w:sz w:val="20"/>
          <w:szCs w:val="20"/>
        </w:rPr>
      </w:pPr>
      <w:r>
        <w:rPr>
          <w:sz w:val="20"/>
          <w:szCs w:val="20"/>
        </w:rPr>
        <w:t>12</w:t>
      </w:r>
    </w:p>
    <w:p w:rsidR="00000000" w:rsidRDefault="00240F6E">
      <w:pPr>
        <w:rPr>
          <w:rFonts w:eastAsia="Times New Roman"/>
        </w:rPr>
      </w:pPr>
      <w:r>
        <w:rPr>
          <w:rFonts w:eastAsia="Times New Roman"/>
        </w:rPr>
        <w:pict>
          <v:rect id="_x0000_i1038" style="width:0;height:1.5pt" o:hralign="center" o:hrstd="t" o:hr="t" fillcolor="#a0a0a0" stroked="f"/>
        </w:pict>
      </w:r>
    </w:p>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240" w:beforeAutospacing="0" w:after="0" w:afterAutospacing="0"/>
        <w:ind w:left="476"/>
        <w:jc w:val="both"/>
        <w:rPr>
          <w:b/>
          <w:bCs/>
          <w:i/>
          <w:iCs/>
          <w:sz w:val="20"/>
          <w:szCs w:val="20"/>
        </w:rPr>
      </w:pPr>
      <w:r>
        <w:rPr>
          <w:b/>
          <w:bCs/>
          <w:i/>
          <w:iCs/>
          <w:sz w:val="20"/>
          <w:szCs w:val="20"/>
        </w:rPr>
        <w:t>Non-Recourse Mortgage Notes:</w:t>
      </w:r>
    </w:p>
    <w:p w:rsidR="00000000" w:rsidRDefault="00240F6E">
      <w:pPr>
        <w:pStyle w:val="a3"/>
        <w:spacing w:before="120" w:beforeAutospacing="0" w:after="0" w:afterAutospacing="0"/>
        <w:ind w:left="476"/>
        <w:jc w:val="both"/>
        <w:rPr>
          <w:i/>
          <w:iCs/>
          <w:sz w:val="20"/>
          <w:szCs w:val="20"/>
        </w:rPr>
      </w:pPr>
      <w:r>
        <w:rPr>
          <w:i/>
          <w:iCs/>
          <w:sz w:val="20"/>
          <w:szCs w:val="20"/>
        </w:rPr>
        <w:t>Capital Commerce Center</w:t>
      </w:r>
      <w:r>
        <w:rPr>
          <w:sz w:val="20"/>
          <w:szCs w:val="20"/>
        </w:rPr>
        <w:t>.  On January 19, 2018, CoreCivic acquired the 261,000 square-foot Cap</w:t>
      </w:r>
      <w:r>
        <w:rPr>
          <w:sz w:val="20"/>
          <w:szCs w:val="20"/>
        </w:rPr>
        <w:t>ital Commerce Center, located in Tallahassee, Florida, for a purchase price of $44.7 million.  The acquisition was partially financed with a $24.5 million non-recourse mortgage note (the "Capital Commerce Note"), which is fully-secured by the Capital Comme</w:t>
      </w:r>
      <w:r>
        <w:rPr>
          <w:sz w:val="20"/>
          <w:szCs w:val="20"/>
        </w:rPr>
        <w:t>rce Center property, with an interest rate of 4.5%, maturing in January 2033.  Principal and interest on the Capital Commerce Note are payable in equal monthly payments over the 15-year term of the note. The Capital Commerce Note is pre-payable at any time</w:t>
      </w:r>
      <w:r>
        <w:rPr>
          <w:sz w:val="20"/>
          <w:szCs w:val="20"/>
        </w:rPr>
        <w:t xml:space="preserve"> with a prepayment charge, if any, equal to an amount so as to maintain the same yield on the Capital Commerce Note as if it had been carried through to its full term using Treasury instruments having a term equal to the remaining term of the Capital Comme</w:t>
      </w:r>
      <w:r>
        <w:rPr>
          <w:sz w:val="20"/>
          <w:szCs w:val="20"/>
        </w:rPr>
        <w:t>rce Note as of the prepayment date. CoreCivic capitalized approximately $0.4 million of costs associated with the Capital Commerce Note.  As of March 31, 2019, the outstanding balance of the mortgage note was $23.1 million.</w:t>
      </w:r>
    </w:p>
    <w:p w:rsidR="00000000" w:rsidRDefault="00240F6E">
      <w:pPr>
        <w:pStyle w:val="a3"/>
        <w:spacing w:before="240" w:beforeAutospacing="0" w:after="0" w:afterAutospacing="0"/>
        <w:ind w:left="476"/>
        <w:jc w:val="both"/>
        <w:rPr>
          <w:i/>
          <w:iCs/>
          <w:sz w:val="20"/>
          <w:szCs w:val="20"/>
        </w:rPr>
      </w:pPr>
      <w:r>
        <w:rPr>
          <w:i/>
          <w:iCs/>
          <w:sz w:val="20"/>
          <w:szCs w:val="20"/>
        </w:rPr>
        <w:t>Lansing Correctional Facility.  </w:t>
      </w:r>
      <w:r>
        <w:rPr>
          <w:color w:val="000000"/>
          <w:sz w:val="20"/>
          <w:szCs w:val="20"/>
        </w:rPr>
        <w:t>On April 20, 2018, CoreCivic of Kansas, LLC (the "Issuer"), a wholly-owned unrestricted subsidiary of the Company, priced $159.5 million in aggregate principal amount of non-recourse senior secured notes of the Issuer (the "Kansas Notes"), in a private pla</w:t>
      </w:r>
      <w:r>
        <w:rPr>
          <w:color w:val="000000"/>
          <w:sz w:val="20"/>
          <w:szCs w:val="20"/>
        </w:rPr>
        <w:t>cement pursuant to Section 4(a)(2) of the Securities Act of 1933, as amended.  The private placement closed on June 1, 2018.  The Company is using the proceeds of the private placement, which are drawn on quarterly funding dates beginning in the second qua</w:t>
      </w:r>
      <w:r>
        <w:rPr>
          <w:color w:val="000000"/>
          <w:sz w:val="20"/>
          <w:szCs w:val="20"/>
        </w:rPr>
        <w:t>rter of 2018, to fund construction of the Lansing Correctional Facility, along with costs and expenses of the project.  The Kansas Notes have a yield to maturity of 4.43% and are scheduled to mature in January 2040, approximately 20 years following complet</w:t>
      </w:r>
      <w:r>
        <w:rPr>
          <w:color w:val="000000"/>
          <w:sz w:val="20"/>
          <w:szCs w:val="20"/>
        </w:rPr>
        <w:t>ion of the project, which is expected to occur during the first quarter of 2020. Principal and interest on the Kansas Notes will be payable in quarterly payments beginning in July 2020 until maturity. CoreCivic may redeem all or part of the Kansas Notes at</w:t>
      </w:r>
      <w:r>
        <w:rPr>
          <w:color w:val="000000"/>
          <w:sz w:val="20"/>
          <w:szCs w:val="20"/>
        </w:rPr>
        <w:t xml:space="preserve"> any time upon written notice of not less than 30 days and not more than 60 days prior to the date fixed for such prepayment, with a "make-whole" amount, together with interest on the Kansas Notes accrued to, but not including, the redemption date. CoreCiv</w:t>
      </w:r>
      <w:r>
        <w:rPr>
          <w:color w:val="000000"/>
          <w:sz w:val="20"/>
          <w:szCs w:val="20"/>
        </w:rPr>
        <w:t>ic capitalized approximately $3.4 million of costs associated with the private placement. Because the Issuer has been designated as an unrestricted subsidiary of the Company under terms of the Company's Credit Agreement, the issuance and service of the Kan</w:t>
      </w:r>
      <w:r>
        <w:rPr>
          <w:color w:val="000000"/>
          <w:sz w:val="20"/>
          <w:szCs w:val="20"/>
        </w:rPr>
        <w:t>sas Notes, and the revenues and expenses associated with the facility lease, will not impact the financial covenants associated with the Company's Credit Agreement.  As of March 31, 2019, the outstanding balance of the Kansas Notes was $93.5 million.</w:t>
      </w:r>
    </w:p>
    <w:p w:rsidR="00000000" w:rsidRDefault="00240F6E">
      <w:pPr>
        <w:pStyle w:val="a3"/>
        <w:spacing w:before="240" w:beforeAutospacing="0" w:after="0" w:afterAutospacing="0"/>
        <w:ind w:left="476"/>
        <w:jc w:val="both"/>
        <w:rPr>
          <w:i/>
          <w:iCs/>
          <w:sz w:val="20"/>
          <w:szCs w:val="20"/>
        </w:rPr>
      </w:pPr>
      <w:r>
        <w:rPr>
          <w:i/>
          <w:iCs/>
          <w:sz w:val="20"/>
          <w:szCs w:val="20"/>
        </w:rPr>
        <w:t>SSA-B</w:t>
      </w:r>
      <w:r>
        <w:rPr>
          <w:i/>
          <w:iCs/>
          <w:sz w:val="20"/>
          <w:szCs w:val="20"/>
        </w:rPr>
        <w:t>altimore.  </w:t>
      </w:r>
      <w:r>
        <w:rPr>
          <w:sz w:val="20"/>
          <w:szCs w:val="20"/>
        </w:rPr>
        <w:t>On August 23, 2018, CoreCivic acquired the 541,000 square-foot SSA-Baltimore office building for a purchase price of $242.0 million.  In connection with the acquisition, a wholly-owned unrestricted subsidiary of the Company assumed $157.3 millio</w:t>
      </w:r>
      <w:r>
        <w:rPr>
          <w:sz w:val="20"/>
          <w:szCs w:val="20"/>
        </w:rPr>
        <w:t>n of in-place financing that was used to fund the initial construction of the property in 2014.  The assumed non-recourse mortgage note (the "SSA-Baltimore Note") carries a fixed interest rate of 4.5% and requires monthly principal and interest payments, w</w:t>
      </w:r>
      <w:r>
        <w:rPr>
          <w:sz w:val="20"/>
          <w:szCs w:val="20"/>
        </w:rPr>
        <w:t xml:space="preserve">ith a balloon payment of $40.0 million due at maturity in February 2034. The SSA-Baltimore Note is fully-secured by the SSA-Baltimore property.  CoreCivic may pre-pay the SSA-Baltimore Note in whole or in part upon not less than 30 days' and not more than </w:t>
      </w:r>
      <w:r>
        <w:rPr>
          <w:sz w:val="20"/>
          <w:szCs w:val="20"/>
        </w:rPr>
        <w:t>60 days' prior written notice and such pre-payment shall include a "make-whole" amount.  During the last 90 days of the permanent loan term and upon 30 days' prior written notice, CoreCivic may prepay the note in full, including any accrued and outstanding</w:t>
      </w:r>
      <w:r>
        <w:rPr>
          <w:sz w:val="20"/>
          <w:szCs w:val="20"/>
        </w:rPr>
        <w:t xml:space="preserve"> interest on any permanent loan payment date, without the payment of the "make-whole" amount. CoreCivic capitalized approximately $0.2 million of costs associated with the assumption of the SSA-Baltimore Note.  As of March 31, 2019, the outstanding balance</w:t>
      </w:r>
      <w:r>
        <w:rPr>
          <w:sz w:val="20"/>
          <w:szCs w:val="20"/>
        </w:rPr>
        <w:t xml:space="preserve"> of the SSA-Baltimore Note was $154.2 million.</w:t>
      </w:r>
    </w:p>
    <w:p w:rsidR="00000000" w:rsidRDefault="00240F6E">
      <w:pPr>
        <w:pStyle w:val="a3"/>
        <w:spacing w:before="240" w:beforeAutospacing="0" w:after="0" w:afterAutospacing="0"/>
        <w:ind w:left="476"/>
        <w:jc w:val="both"/>
        <w:rPr>
          <w:sz w:val="20"/>
          <w:szCs w:val="20"/>
        </w:rPr>
      </w:pPr>
      <w:r>
        <w:rPr>
          <w:sz w:val="20"/>
          <w:szCs w:val="20"/>
        </w:rPr>
        <w:t xml:space="preserve">CoreCivic may also seek to issue additional debt or equity securities from time to time when the Company determines that market conditions and the opportunity to utilize the proceeds from the issuance of such </w:t>
      </w:r>
      <w:r>
        <w:rPr>
          <w:sz w:val="20"/>
          <w:szCs w:val="20"/>
        </w:rPr>
        <w:t>securities are favorable.</w:t>
      </w:r>
    </w:p>
    <w:p w:rsidR="00000000" w:rsidRDefault="00240F6E">
      <w:pPr>
        <w:pStyle w:val="a3"/>
        <w:spacing w:before="120" w:beforeAutospacing="0" w:after="0" w:afterAutospacing="0"/>
        <w:ind w:left="476"/>
        <w:jc w:val="both"/>
        <w:rPr>
          <w:i/>
          <w:iCs/>
          <w:sz w:val="20"/>
          <w:szCs w:val="20"/>
        </w:rPr>
      </w:pPr>
      <w:r>
        <w:rPr>
          <w:i/>
          <w:iCs/>
          <w:sz w:val="20"/>
          <w:szCs w:val="20"/>
        </w:rPr>
        <w:t>Debt Maturities.</w:t>
      </w:r>
      <w:r>
        <w:rPr>
          <w:sz w:val="20"/>
          <w:szCs w:val="20"/>
        </w:rPr>
        <w:t>  Scheduled principal payments as of March 31, 2019 for the remainder of 2019, the next four years, and thereafter were as follows (in thousands):</w:t>
      </w:r>
    </w:p>
    <w:p w:rsidR="00000000" w:rsidRDefault="00240F6E">
      <w:pPr>
        <w:pStyle w:val="a3"/>
        <w:spacing w:before="0" w:beforeAutospacing="0" w:after="0" w:afterAutospacing="0"/>
        <w:jc w:val="both"/>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924"/>
        <w:gridCol w:w="65"/>
        <w:gridCol w:w="115"/>
        <w:gridCol w:w="815"/>
        <w:gridCol w:w="65"/>
      </w:tblGrid>
      <w:tr w:rsidR="00000000">
        <w:trPr>
          <w:divId w:val="1834300957"/>
        </w:trPr>
        <w:tc>
          <w:tcPr>
            <w:tcW w:w="4011"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2019 (remainder)</w:t>
            </w:r>
          </w:p>
        </w:tc>
        <w:tc>
          <w:tcPr>
            <w:tcW w:w="9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791"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11,245</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834300957"/>
        </w:trPr>
        <w:tc>
          <w:tcPr>
            <w:tcW w:w="4011"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2020</w:t>
            </w:r>
          </w:p>
        </w:tc>
        <w:tc>
          <w:tcPr>
            <w:tcW w:w="9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343,849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834300957"/>
        </w:trPr>
        <w:tc>
          <w:tcPr>
            <w:tcW w:w="4011"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2021</w:t>
            </w:r>
          </w:p>
        </w:tc>
        <w:tc>
          <w:tcPr>
            <w:tcW w:w="9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1"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20,337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834300957"/>
        </w:trPr>
        <w:tc>
          <w:tcPr>
            <w:tcW w:w="4011"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2022</w:t>
            </w:r>
          </w:p>
        </w:tc>
        <w:tc>
          <w:tcPr>
            <w:tcW w:w="9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274,231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834300957"/>
        </w:trPr>
        <w:tc>
          <w:tcPr>
            <w:tcW w:w="4011"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2023</w:t>
            </w:r>
          </w:p>
        </w:tc>
        <w:tc>
          <w:tcPr>
            <w:tcW w:w="9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1"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734,360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834300957"/>
        </w:trPr>
        <w:tc>
          <w:tcPr>
            <w:tcW w:w="4011"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Thereafter</w:t>
            </w:r>
          </w:p>
        </w:tc>
        <w:tc>
          <w:tcPr>
            <w:tcW w:w="9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472,038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834300957"/>
        </w:trPr>
        <w:tc>
          <w:tcPr>
            <w:tcW w:w="4011"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Total debt</w:t>
            </w:r>
          </w:p>
        </w:tc>
        <w:tc>
          <w:tcPr>
            <w:tcW w:w="9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79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1,856,060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
                <w:szCs w:val="2"/>
              </w:rPr>
            </w:pPr>
            <w:r>
              <w:rPr>
                <w:color w:val="000000"/>
                <w:sz w:val="2"/>
                <w:szCs w:val="2"/>
              </w:rPr>
              <w:t> </w:t>
            </w:r>
          </w:p>
        </w:tc>
      </w:tr>
    </w:tbl>
    <w:p w:rsidR="00000000" w:rsidRDefault="00240F6E">
      <w:pPr>
        <w:pStyle w:val="a3"/>
        <w:spacing w:before="0" w:beforeAutospacing="0" w:after="0" w:afterAutospacing="0"/>
        <w:jc w:val="both"/>
        <w:rPr>
          <w:b/>
          <w:bCs/>
          <w:sz w:val="20"/>
          <w:szCs w:val="20"/>
        </w:rPr>
      </w:pPr>
      <w:r>
        <w:rPr>
          <w:b/>
          <w:bCs/>
          <w:sz w:val="20"/>
          <w:szCs w:val="20"/>
        </w:rPr>
        <w:t> </w:t>
      </w:r>
    </w:p>
    <w:p w:rsidR="00000000" w:rsidRDefault="00240F6E">
      <w:pPr>
        <w:pStyle w:val="a3"/>
        <w:spacing w:before="240" w:beforeAutospacing="0" w:after="0" w:afterAutospacing="0"/>
        <w:jc w:val="center"/>
        <w:rPr>
          <w:sz w:val="20"/>
          <w:szCs w:val="20"/>
        </w:rPr>
      </w:pPr>
      <w:r>
        <w:rPr>
          <w:sz w:val="20"/>
          <w:szCs w:val="20"/>
        </w:rPr>
        <w:t>13</w:t>
      </w:r>
    </w:p>
    <w:p w:rsidR="00000000" w:rsidRDefault="00240F6E">
      <w:pPr>
        <w:rPr>
          <w:rFonts w:eastAsia="Times New Roman"/>
        </w:rPr>
      </w:pPr>
      <w:r>
        <w:rPr>
          <w:rFonts w:eastAsia="Times New Roman"/>
        </w:rPr>
        <w:pict>
          <v:rect id="_x0000_i1039" style="width:0;height:1.5pt" o:hralign="center" o:hrstd="t" o:hr="t" fillcolor="#a0a0a0" stroked="f"/>
        </w:pict>
      </w:r>
    </w:p>
    <w:p w:rsidR="00000000" w:rsidRDefault="00240F6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641809418"/>
        </w:trPr>
        <w:tc>
          <w:tcPr>
            <w:tcW w:w="227" w:type="pct"/>
            <w:noWrap/>
            <w:hideMark/>
          </w:tcPr>
          <w:p w:rsidR="00000000" w:rsidRDefault="00240F6E">
            <w:pPr>
              <w:pStyle w:val="a3"/>
              <w:spacing w:before="160" w:beforeAutospacing="0" w:after="0" w:afterAutospacing="0"/>
              <w:jc w:val="both"/>
              <w:rPr>
                <w:b/>
                <w:bCs/>
                <w:sz w:val="20"/>
                <w:szCs w:val="20"/>
              </w:rPr>
            </w:pPr>
            <w:r>
              <w:rPr>
                <w:b/>
                <w:bCs/>
                <w:sz w:val="20"/>
                <w:szCs w:val="20"/>
              </w:rPr>
              <w:t>6.</w:t>
            </w:r>
          </w:p>
        </w:tc>
        <w:tc>
          <w:tcPr>
            <w:tcW w:w="0" w:type="auto"/>
            <w:hideMark/>
          </w:tcPr>
          <w:p w:rsidR="00000000" w:rsidRDefault="00240F6E">
            <w:pPr>
              <w:pStyle w:val="a3"/>
              <w:spacing w:before="160" w:beforeAutospacing="0" w:after="0" w:afterAutospacing="0"/>
              <w:jc w:val="both"/>
              <w:rPr>
                <w:b/>
                <w:bCs/>
                <w:sz w:val="20"/>
                <w:szCs w:val="20"/>
              </w:rPr>
            </w:pPr>
            <w:r>
              <w:rPr>
                <w:b/>
                <w:bCs/>
                <w:sz w:val="20"/>
                <w:szCs w:val="20"/>
              </w:rPr>
              <w:t>STOCKHOLDERS' EQUITY</w:t>
            </w:r>
          </w:p>
        </w:tc>
      </w:tr>
    </w:tbl>
    <w:p w:rsidR="00000000" w:rsidRDefault="00240F6E">
      <w:pPr>
        <w:pStyle w:val="a3"/>
        <w:spacing w:before="120" w:beforeAutospacing="0" w:after="0" w:afterAutospacing="0"/>
        <w:ind w:firstLine="556"/>
        <w:jc w:val="both"/>
        <w:rPr>
          <w:b/>
          <w:bCs/>
          <w:sz w:val="20"/>
          <w:szCs w:val="20"/>
        </w:rPr>
      </w:pPr>
      <w:r>
        <w:rPr>
          <w:b/>
          <w:bCs/>
          <w:sz w:val="20"/>
          <w:szCs w:val="20"/>
        </w:rPr>
        <w:t>Dividends on Common Stock</w:t>
      </w:r>
    </w:p>
    <w:p w:rsidR="00000000" w:rsidRDefault="00240F6E">
      <w:pPr>
        <w:pStyle w:val="a3"/>
        <w:spacing w:before="120" w:beforeAutospacing="0" w:after="0" w:afterAutospacing="0"/>
        <w:ind w:left="476"/>
        <w:jc w:val="both"/>
        <w:rPr>
          <w:sz w:val="20"/>
          <w:szCs w:val="20"/>
        </w:rPr>
      </w:pPr>
      <w:r>
        <w:rPr>
          <w:sz w:val="20"/>
          <w:szCs w:val="20"/>
        </w:rPr>
        <w:t xml:space="preserve">During 2018 and the first quarter of 2019, CoreCivic's Board of Directors declared the following quarterly dividends on its common stock: </w:t>
      </w:r>
    </w:p>
    <w:p w:rsidR="00000000" w:rsidRDefault="00240F6E">
      <w:pPr>
        <w:pStyle w:val="a3"/>
        <w:spacing w:before="0" w:beforeAutospacing="0" w:after="0" w:afterAutospacing="0"/>
        <w:jc w:val="both"/>
        <w:rPr>
          <w:sz w:val="20"/>
          <w:szCs w:val="20"/>
        </w:rPr>
      </w:pPr>
      <w:r>
        <w:rPr>
          <w:sz w:val="20"/>
          <w:szCs w:val="20"/>
        </w:rPr>
        <w:t> </w:t>
      </w:r>
    </w:p>
    <w:tbl>
      <w:tblPr>
        <w:tblW w:w="4000" w:type="pct"/>
        <w:tblCellMar>
          <w:left w:w="0" w:type="dxa"/>
          <w:right w:w="0" w:type="dxa"/>
        </w:tblCellMar>
        <w:tblLook w:val="04A0" w:firstRow="1" w:lastRow="0" w:firstColumn="1" w:lastColumn="0" w:noHBand="0" w:noVBand="1"/>
      </w:tblPr>
      <w:tblGrid>
        <w:gridCol w:w="1736"/>
        <w:gridCol w:w="109"/>
        <w:gridCol w:w="1737"/>
        <w:gridCol w:w="109"/>
        <w:gridCol w:w="1737"/>
        <w:gridCol w:w="110"/>
        <w:gridCol w:w="115"/>
        <w:gridCol w:w="927"/>
        <w:gridCol w:w="65"/>
      </w:tblGrid>
      <w:tr w:rsidR="00000000">
        <w:trPr>
          <w:divId w:val="901863495"/>
        </w:trPr>
        <w:tc>
          <w:tcPr>
            <w:tcW w:w="1311" w:type="pct"/>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Declaration Date</w:t>
            </w:r>
          </w:p>
        </w:tc>
        <w:tc>
          <w:tcPr>
            <w:tcW w:w="8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1311" w:type="pct"/>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Record </w:t>
            </w:r>
            <w:r>
              <w:rPr>
                <w:b/>
                <w:bCs/>
                <w:color w:val="000000"/>
                <w:sz w:val="16"/>
                <w:szCs w:val="16"/>
              </w:rPr>
              <w:t>Date</w:t>
            </w:r>
          </w:p>
        </w:tc>
        <w:tc>
          <w:tcPr>
            <w:tcW w:w="8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1311" w:type="pct"/>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Payable Date</w:t>
            </w:r>
          </w:p>
        </w:tc>
        <w:tc>
          <w:tcPr>
            <w:tcW w:w="8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75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Per Share</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901863495"/>
        </w:trPr>
        <w:tc>
          <w:tcPr>
            <w:tcW w:w="1311" w:type="pct"/>
            <w:tcBorders>
              <w:top w:val="single" w:sz="6" w:space="0" w:color="000000"/>
            </w:tcBorders>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February 22, 2018</w:t>
            </w:r>
          </w:p>
        </w:tc>
        <w:tc>
          <w:tcPr>
            <w:tcW w:w="8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1311" w:type="pct"/>
            <w:tcBorders>
              <w:top w:val="single" w:sz="6" w:space="0" w:color="000000"/>
            </w:tcBorders>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April 2, 2018</w:t>
            </w:r>
          </w:p>
        </w:tc>
        <w:tc>
          <w:tcPr>
            <w:tcW w:w="8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1311" w:type="pct"/>
            <w:tcBorders>
              <w:top w:val="single" w:sz="6" w:space="0" w:color="000000"/>
            </w:tcBorders>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April 16, 2018</w:t>
            </w:r>
          </w:p>
        </w:tc>
        <w:tc>
          <w:tcPr>
            <w:tcW w:w="8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70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0.43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01863495"/>
        </w:trPr>
        <w:tc>
          <w:tcPr>
            <w:tcW w:w="1311"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May 11, 2018</w:t>
            </w:r>
          </w:p>
        </w:tc>
        <w:tc>
          <w:tcPr>
            <w:tcW w:w="8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131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July 2, 2018</w:t>
            </w:r>
          </w:p>
        </w:tc>
        <w:tc>
          <w:tcPr>
            <w:tcW w:w="8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131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July 16, 2018</w:t>
            </w:r>
          </w:p>
        </w:tc>
        <w:tc>
          <w:tcPr>
            <w:tcW w:w="8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701"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0.43</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01863495"/>
        </w:trPr>
        <w:tc>
          <w:tcPr>
            <w:tcW w:w="1311"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August 16, 2018</w:t>
            </w:r>
          </w:p>
        </w:tc>
        <w:tc>
          <w:tcPr>
            <w:tcW w:w="8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131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October 1, 2018</w:t>
            </w:r>
          </w:p>
        </w:tc>
        <w:tc>
          <w:tcPr>
            <w:tcW w:w="8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131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October 15, 2018</w:t>
            </w:r>
          </w:p>
        </w:tc>
        <w:tc>
          <w:tcPr>
            <w:tcW w:w="8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701"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0.43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01863495"/>
        </w:trPr>
        <w:tc>
          <w:tcPr>
            <w:tcW w:w="1311"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December 13, 2018</w:t>
            </w:r>
          </w:p>
        </w:tc>
        <w:tc>
          <w:tcPr>
            <w:tcW w:w="8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131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January 2, </w:t>
            </w:r>
            <w:r>
              <w:rPr>
                <w:color w:val="000000"/>
                <w:sz w:val="20"/>
                <w:szCs w:val="20"/>
              </w:rPr>
              <w:t>2019</w:t>
            </w:r>
          </w:p>
        </w:tc>
        <w:tc>
          <w:tcPr>
            <w:tcW w:w="8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131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January 15, 2019</w:t>
            </w:r>
          </w:p>
        </w:tc>
        <w:tc>
          <w:tcPr>
            <w:tcW w:w="8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701"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0.43</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01863495"/>
        </w:trPr>
        <w:tc>
          <w:tcPr>
            <w:tcW w:w="1311"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February 21, 2019</w:t>
            </w:r>
          </w:p>
        </w:tc>
        <w:tc>
          <w:tcPr>
            <w:tcW w:w="8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131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April 1, 2019</w:t>
            </w:r>
          </w:p>
        </w:tc>
        <w:tc>
          <w:tcPr>
            <w:tcW w:w="8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131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April 15, 2019</w:t>
            </w:r>
          </w:p>
        </w:tc>
        <w:tc>
          <w:tcPr>
            <w:tcW w:w="8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701"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0.44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
                <w:szCs w:val="2"/>
              </w:rPr>
            </w:pPr>
            <w:r>
              <w:rPr>
                <w:color w:val="000000"/>
                <w:sz w:val="2"/>
                <w:szCs w:val="2"/>
              </w:rPr>
              <w:t> </w:t>
            </w:r>
          </w:p>
        </w:tc>
      </w:tr>
    </w:tbl>
    <w:p w:rsidR="00000000" w:rsidRDefault="00240F6E">
      <w:pPr>
        <w:pStyle w:val="a3"/>
        <w:spacing w:before="0" w:beforeAutospacing="0" w:after="0" w:afterAutospacing="0"/>
        <w:jc w:val="both"/>
        <w:rPr>
          <w:sz w:val="20"/>
          <w:szCs w:val="20"/>
        </w:rPr>
      </w:pPr>
      <w:r>
        <w:rPr>
          <w:sz w:val="20"/>
          <w:szCs w:val="20"/>
        </w:rPr>
        <w:t> </w:t>
      </w:r>
    </w:p>
    <w:p w:rsidR="00000000" w:rsidRDefault="00240F6E">
      <w:pPr>
        <w:pStyle w:val="a3"/>
        <w:spacing w:before="0" w:beforeAutospacing="0" w:after="0" w:afterAutospacing="0"/>
        <w:ind w:left="476"/>
        <w:jc w:val="both"/>
        <w:rPr>
          <w:sz w:val="20"/>
          <w:szCs w:val="20"/>
        </w:rPr>
      </w:pPr>
      <w:r>
        <w:rPr>
          <w:sz w:val="20"/>
          <w:szCs w:val="20"/>
        </w:rPr>
        <w:t>Future dividends will depend on CoreCivic's distribution requirements as a REIT, future cash flows and earnings, capital requirements, financial condition, limitations under debt covenants, opportunities for alternative uses of capital, and on such other f</w:t>
      </w:r>
      <w:r>
        <w:rPr>
          <w:sz w:val="20"/>
          <w:szCs w:val="20"/>
        </w:rPr>
        <w:t>actors as the Board of Directors of CoreCivic may consider relevant.</w:t>
      </w:r>
    </w:p>
    <w:p w:rsidR="00000000" w:rsidRDefault="00240F6E">
      <w:pPr>
        <w:pStyle w:val="a3"/>
        <w:spacing w:before="360" w:beforeAutospacing="0" w:after="0" w:afterAutospacing="0"/>
        <w:ind w:left="476"/>
        <w:jc w:val="both"/>
        <w:rPr>
          <w:b/>
          <w:bCs/>
          <w:sz w:val="20"/>
          <w:szCs w:val="20"/>
        </w:rPr>
      </w:pPr>
      <w:r>
        <w:rPr>
          <w:b/>
          <w:bCs/>
          <w:sz w:val="20"/>
          <w:szCs w:val="20"/>
        </w:rPr>
        <w:t>Stock Options</w:t>
      </w:r>
    </w:p>
    <w:p w:rsidR="00000000" w:rsidRDefault="00240F6E">
      <w:pPr>
        <w:pStyle w:val="a3"/>
        <w:spacing w:before="120" w:beforeAutospacing="0" w:after="0" w:afterAutospacing="0"/>
        <w:ind w:left="476"/>
        <w:jc w:val="both"/>
        <w:rPr>
          <w:sz w:val="20"/>
          <w:szCs w:val="20"/>
        </w:rPr>
      </w:pPr>
      <w:r>
        <w:rPr>
          <w:sz w:val="20"/>
          <w:szCs w:val="20"/>
        </w:rPr>
        <w:t>Since 2012, CoreCivic has elected not to issue stock options to its non-employee directors, officers, and executive officers as it had in prior years, and instead elected to</w:t>
      </w:r>
      <w:r>
        <w:rPr>
          <w:sz w:val="20"/>
          <w:szCs w:val="20"/>
        </w:rPr>
        <w:t xml:space="preserve"> issue all of its equity compensation in the form of restricted common stock units ("RSUs"), as described hereafter.  All outstanding stock options were fully vested as of December 31, 2016.  As of March 31, 2019, options to purchase 0.7 million shares of </w:t>
      </w:r>
      <w:r>
        <w:rPr>
          <w:sz w:val="20"/>
          <w:szCs w:val="20"/>
        </w:rPr>
        <w:t xml:space="preserve">common stock were outstanding with a weighted average exercise price of $20.49 per share. </w:t>
      </w:r>
    </w:p>
    <w:p w:rsidR="00000000" w:rsidRDefault="00240F6E">
      <w:pPr>
        <w:pStyle w:val="a3"/>
        <w:spacing w:before="360" w:beforeAutospacing="0" w:after="0" w:afterAutospacing="0"/>
        <w:ind w:left="476"/>
        <w:jc w:val="both"/>
        <w:rPr>
          <w:b/>
          <w:bCs/>
          <w:sz w:val="20"/>
          <w:szCs w:val="20"/>
        </w:rPr>
      </w:pPr>
      <w:r>
        <w:rPr>
          <w:b/>
          <w:bCs/>
          <w:sz w:val="20"/>
          <w:szCs w:val="20"/>
        </w:rPr>
        <w:t>Restricted Stock Units</w:t>
      </w:r>
    </w:p>
    <w:p w:rsidR="00000000" w:rsidRDefault="00240F6E">
      <w:pPr>
        <w:pStyle w:val="a3"/>
        <w:spacing w:before="120" w:beforeAutospacing="0" w:after="0" w:afterAutospacing="0"/>
        <w:ind w:left="476"/>
        <w:jc w:val="both"/>
        <w:rPr>
          <w:sz w:val="20"/>
          <w:szCs w:val="20"/>
        </w:rPr>
      </w:pPr>
      <w:r>
        <w:rPr>
          <w:sz w:val="20"/>
          <w:szCs w:val="20"/>
        </w:rPr>
        <w:t xml:space="preserve">During the first quarter of 2019, CoreCivic issued approximately 892,000 </w:t>
      </w:r>
      <w:r>
        <w:rPr>
          <w:sz w:val="20"/>
          <w:szCs w:val="20"/>
        </w:rPr>
        <w:t>RSUs to certain of its employees and non-employee directors, with an aggregate value of $19.1 million, including 808,000 RSUs to employees and non-employee directors whose compensation is charged to general and administrative expense and 84,000 RSUs to emp</w:t>
      </w:r>
      <w:r>
        <w:rPr>
          <w:sz w:val="20"/>
          <w:szCs w:val="20"/>
        </w:rPr>
        <w:t>loyees whose compensation is charged to operating expense.  During 2018, CoreCivic issued approximately 945,000 RSUs to certain of its employees and non-employee directors, with an aggregate value of $20.5 million, including 850,000 RSUs to employees and n</w:t>
      </w:r>
      <w:r>
        <w:rPr>
          <w:sz w:val="20"/>
          <w:szCs w:val="20"/>
        </w:rPr>
        <w:t xml:space="preserve">on-employee directors whose compensation is charged to general and administrative expense and 95,000 RSUs to employees whose compensation is charged to operating expense. </w:t>
      </w:r>
    </w:p>
    <w:p w:rsidR="00000000" w:rsidRDefault="00240F6E">
      <w:pPr>
        <w:pStyle w:val="a3"/>
        <w:spacing w:before="240" w:beforeAutospacing="0" w:after="0" w:afterAutospacing="0"/>
        <w:ind w:left="476"/>
        <w:jc w:val="both"/>
        <w:rPr>
          <w:sz w:val="20"/>
          <w:szCs w:val="20"/>
        </w:rPr>
      </w:pPr>
      <w:r>
        <w:rPr>
          <w:sz w:val="20"/>
          <w:szCs w:val="20"/>
        </w:rPr>
        <w:t xml:space="preserve">Since 2015, </w:t>
      </w:r>
      <w:r>
        <w:rPr>
          <w:color w:val="000000"/>
          <w:sz w:val="20"/>
          <w:szCs w:val="20"/>
        </w:rPr>
        <w:t xml:space="preserve">CoreCivic </w:t>
      </w:r>
      <w:r>
        <w:rPr>
          <w:sz w:val="20"/>
          <w:szCs w:val="20"/>
        </w:rPr>
        <w:t>established performance-based vesting conditions on the RSUs a</w:t>
      </w:r>
      <w:r>
        <w:rPr>
          <w:sz w:val="20"/>
          <w:szCs w:val="20"/>
        </w:rPr>
        <w:t xml:space="preserve">warded to its officers and executive officers that, unless earlier vested under the terms of the agreements, were subject to vesting over a three-year period based upon the satisfaction of certain annual performance criteria, and no more than one-third of </w:t>
      </w:r>
      <w:r>
        <w:rPr>
          <w:sz w:val="20"/>
          <w:szCs w:val="20"/>
        </w:rPr>
        <w:t>the RSUs could vest in any one performance period.  The RSUs awarded to officers and executive officers in 2019 consist of a combination of awards with performance-based conditions and time-based conditions.  Unless earlier vested under the terms of the RS</w:t>
      </w:r>
      <w:r>
        <w:rPr>
          <w:sz w:val="20"/>
          <w:szCs w:val="20"/>
        </w:rPr>
        <w:t xml:space="preserve">U agreements, the RSUs with time-based vesting conditions vest evenly generally on the first, second, and third anniversary of the award. The RSUs with performance-based vesting conditions are divided into one-third increments, each of which is subject to </w:t>
      </w:r>
      <w:r>
        <w:rPr>
          <w:sz w:val="20"/>
          <w:szCs w:val="20"/>
        </w:rPr>
        <w:t>vesting based upon satisfaction of certain annual performance criteria established at the beginning of the fiscal years ending December 31, 2019, 2020, and 2021, and which can be increased by up to 150% or decreased to 0% based on performance relative to t</w:t>
      </w:r>
      <w:r>
        <w:rPr>
          <w:sz w:val="20"/>
          <w:szCs w:val="20"/>
        </w:rPr>
        <w:t>he annual performance criteria, and further increased by up to an additional 120% or decreased by 80% based on CoreCivic's total shareholder return relative to a peer group.  Because the performance criteria for the fiscal years ending December 31, 2020 an</w:t>
      </w:r>
      <w:r>
        <w:rPr>
          <w:sz w:val="20"/>
          <w:szCs w:val="20"/>
        </w:rPr>
        <w:t xml:space="preserve">d 2021 has not yet been established, the values of the second and third RSU increments for financial reporting purposes will not be determined until such criteria are established.  Time-based RSUs issued to other employees, unless earlier vested under the </w:t>
      </w:r>
      <w:r>
        <w:rPr>
          <w:sz w:val="20"/>
          <w:szCs w:val="20"/>
        </w:rPr>
        <w:t>terms of the agreements, generally vest equally on the first, second, and third anniversary of the award.  RSUs issued to non-employee directors vest one year from the date of award.  </w:t>
      </w:r>
    </w:p>
    <w:p w:rsidR="00000000" w:rsidRDefault="00240F6E">
      <w:pPr>
        <w:pStyle w:val="a3"/>
        <w:spacing w:before="240" w:beforeAutospacing="0" w:after="0" w:afterAutospacing="0"/>
        <w:ind w:left="595"/>
        <w:jc w:val="both"/>
        <w:rPr>
          <w:sz w:val="20"/>
          <w:szCs w:val="20"/>
        </w:rPr>
      </w:pPr>
      <w:r>
        <w:rPr>
          <w:sz w:val="20"/>
          <w:szCs w:val="20"/>
        </w:rPr>
        <w:t>During the three months ended March 31, 2019, CoreCivic expensed $3.8 m</w:t>
      </w:r>
      <w:r>
        <w:rPr>
          <w:sz w:val="20"/>
          <w:szCs w:val="20"/>
        </w:rPr>
        <w:t>illion, net of forfeitures, relating to RSUs ($0.5 million of which was recorded in operating expenses and $3.3 million of which was recorded in general and administrative expenses). During the three months ended March 31, 2018, CoreCivic expensed $3.5 mil</w:t>
      </w:r>
      <w:r>
        <w:rPr>
          <w:sz w:val="20"/>
          <w:szCs w:val="20"/>
        </w:rPr>
        <w:t>lion, net of forfeitures, relating to RSUs ($0.5 million of which was recorded in operating expenses and $3.0 million of which was recorded in general and administrative expenses). As of March 31, 2019, approximately 1.6 million RSUs remained outstanding a</w:t>
      </w:r>
      <w:r>
        <w:rPr>
          <w:sz w:val="20"/>
          <w:szCs w:val="20"/>
        </w:rPr>
        <w:t xml:space="preserve">nd subject to vesting. </w:t>
      </w:r>
    </w:p>
    <w:p w:rsidR="00000000" w:rsidRDefault="00240F6E">
      <w:pPr>
        <w:pStyle w:val="a3"/>
        <w:spacing w:before="240" w:beforeAutospacing="0" w:after="0" w:afterAutospacing="0"/>
        <w:jc w:val="center"/>
        <w:rPr>
          <w:sz w:val="20"/>
          <w:szCs w:val="20"/>
        </w:rPr>
      </w:pPr>
      <w:r>
        <w:rPr>
          <w:sz w:val="20"/>
          <w:szCs w:val="20"/>
        </w:rPr>
        <w:t>14</w:t>
      </w:r>
    </w:p>
    <w:p w:rsidR="00000000" w:rsidRDefault="00240F6E">
      <w:pPr>
        <w:rPr>
          <w:rFonts w:eastAsia="Times New Roman"/>
        </w:rPr>
      </w:pPr>
      <w:r>
        <w:rPr>
          <w:rFonts w:eastAsia="Times New Roman"/>
        </w:rPr>
        <w:pict>
          <v:rect id="_x0000_i1040" style="width:0;height:1.5pt" o:hralign="center" o:hrstd="t" o:hr="t" fillcolor="#a0a0a0" stroked="f"/>
        </w:pict>
      </w:r>
    </w:p>
    <w:p w:rsidR="00000000" w:rsidRDefault="00240F6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546793212"/>
        </w:trPr>
        <w:tc>
          <w:tcPr>
            <w:tcW w:w="227" w:type="pct"/>
            <w:noWrap/>
            <w:hideMark/>
          </w:tcPr>
          <w:p w:rsidR="00000000" w:rsidRDefault="00240F6E">
            <w:pPr>
              <w:pStyle w:val="a3"/>
              <w:spacing w:before="360" w:beforeAutospacing="0" w:after="0" w:afterAutospacing="0"/>
              <w:jc w:val="both"/>
              <w:rPr>
                <w:b/>
                <w:bCs/>
                <w:sz w:val="20"/>
                <w:szCs w:val="20"/>
              </w:rPr>
            </w:pPr>
            <w:r>
              <w:rPr>
                <w:b/>
                <w:bCs/>
                <w:sz w:val="20"/>
                <w:szCs w:val="20"/>
              </w:rPr>
              <w:t>7.</w:t>
            </w:r>
          </w:p>
        </w:tc>
        <w:tc>
          <w:tcPr>
            <w:tcW w:w="0" w:type="auto"/>
            <w:hideMark/>
          </w:tcPr>
          <w:p w:rsidR="00000000" w:rsidRDefault="00240F6E">
            <w:pPr>
              <w:pStyle w:val="a3"/>
              <w:spacing w:before="360" w:beforeAutospacing="0" w:after="0" w:afterAutospacing="0"/>
              <w:jc w:val="both"/>
              <w:rPr>
                <w:b/>
                <w:bCs/>
                <w:sz w:val="20"/>
                <w:szCs w:val="20"/>
              </w:rPr>
            </w:pPr>
            <w:r>
              <w:rPr>
                <w:b/>
                <w:bCs/>
                <w:sz w:val="20"/>
                <w:szCs w:val="20"/>
              </w:rPr>
              <w:t>EARNINGS PER SHARE</w:t>
            </w:r>
          </w:p>
        </w:tc>
      </w:tr>
    </w:tbl>
    <w:p w:rsidR="00000000" w:rsidRDefault="00240F6E">
      <w:pPr>
        <w:pStyle w:val="a3"/>
        <w:spacing w:before="120" w:beforeAutospacing="0" w:after="0" w:afterAutospacing="0"/>
        <w:ind w:left="476"/>
        <w:jc w:val="both"/>
        <w:rPr>
          <w:sz w:val="20"/>
          <w:szCs w:val="20"/>
        </w:rPr>
      </w:pPr>
      <w:r>
        <w:rPr>
          <w:sz w:val="20"/>
          <w:szCs w:val="20"/>
        </w:rPr>
        <w:t>Basic earnings per share is computed by dividing net income by the weighted average number of common shares outstanding during the year.  Diluted earnings per share re</w:t>
      </w:r>
      <w:r>
        <w:rPr>
          <w:sz w:val="20"/>
          <w:szCs w:val="20"/>
        </w:rPr>
        <w:t xml:space="preserve">flects the potential dilution that could occur if securities or other contracts to issue common stock were exercised or converted into common stock or resulted in the issuance of common stock that then shared in the earnings of the entity.  For CoreCivic, </w:t>
      </w:r>
      <w:r>
        <w:rPr>
          <w:sz w:val="20"/>
          <w:szCs w:val="20"/>
        </w:rPr>
        <w:t>diluted earnings per share is computed by dividing net income by the weighted average number of common shares after considering the additional dilution related to restricted share grants and stock options.</w:t>
      </w:r>
    </w:p>
    <w:p w:rsidR="00000000" w:rsidRDefault="00240F6E">
      <w:pPr>
        <w:pStyle w:val="a3"/>
        <w:spacing w:before="240" w:beforeAutospacing="0" w:after="0" w:afterAutospacing="0"/>
        <w:ind w:left="476"/>
        <w:jc w:val="both"/>
        <w:rPr>
          <w:sz w:val="20"/>
          <w:szCs w:val="20"/>
        </w:rPr>
      </w:pPr>
      <w:r>
        <w:rPr>
          <w:sz w:val="20"/>
          <w:szCs w:val="20"/>
        </w:rPr>
        <w:t xml:space="preserve">A reconciliation of the numerator and denominator </w:t>
      </w:r>
      <w:r>
        <w:rPr>
          <w:sz w:val="20"/>
          <w:szCs w:val="20"/>
        </w:rPr>
        <w:t>of the basic earnings per share computation to the numerator and denominator of the diluted earnings per share computation is as follows (in thousands, except per share data):</w:t>
      </w:r>
    </w:p>
    <w:p w:rsidR="00000000" w:rsidRDefault="00240F6E">
      <w:pPr>
        <w:pStyle w:val="a3"/>
        <w:spacing w:before="0" w:beforeAutospacing="0" w:after="0" w:afterAutospacing="0"/>
        <w:ind w:left="595" w:hanging="612"/>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995"/>
        <w:gridCol w:w="109"/>
        <w:gridCol w:w="115"/>
        <w:gridCol w:w="951"/>
        <w:gridCol w:w="65"/>
        <w:gridCol w:w="108"/>
        <w:gridCol w:w="115"/>
        <w:gridCol w:w="952"/>
        <w:gridCol w:w="65"/>
      </w:tblGrid>
      <w:tr w:rsidR="00000000">
        <w:trPr>
          <w:divId w:val="160052718"/>
        </w:trPr>
        <w:tc>
          <w:tcPr>
            <w:tcW w:w="334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pPr>
            <w: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240F6E">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160052718"/>
        </w:trPr>
        <w:tc>
          <w:tcPr>
            <w:tcW w:w="334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160052718"/>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b/>
                <w:bCs/>
                <w:color w:val="000000"/>
                <w:sz w:val="20"/>
                <w:szCs w:val="20"/>
              </w:rPr>
            </w:pPr>
            <w:r>
              <w:rPr>
                <w:b/>
                <w:bCs/>
                <w:color w:val="000000"/>
                <w:sz w:val="20"/>
                <w:szCs w:val="20"/>
              </w:rPr>
              <w:t>NUMERATOR</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60052718"/>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b/>
                <w:bCs/>
                <w:color w:val="000000"/>
                <w:sz w:val="20"/>
                <w:szCs w:val="20"/>
              </w:rPr>
            </w:pPr>
            <w:r>
              <w:rPr>
                <w:b/>
                <w:bCs/>
                <w:color w:val="000000"/>
                <w:sz w:val="20"/>
                <w:szCs w:val="20"/>
              </w:rPr>
              <w:t>Basic:</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60052718"/>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Net income</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644"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49,340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644"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37,777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60052718"/>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b/>
                <w:bCs/>
                <w:color w:val="000000"/>
                <w:sz w:val="20"/>
                <w:szCs w:val="20"/>
              </w:rPr>
            </w:pPr>
            <w:r>
              <w:rPr>
                <w:b/>
                <w:bCs/>
                <w:color w:val="000000"/>
                <w:sz w:val="20"/>
                <w:szCs w:val="20"/>
              </w:rPr>
              <w:t>Diluted:</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60052718"/>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Net income</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644"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49,340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644" w:type="pct"/>
            <w:tcBorders>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37,777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60052718"/>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b/>
                <w:bCs/>
                <w:color w:val="000000"/>
                <w:sz w:val="20"/>
                <w:szCs w:val="20"/>
              </w:rPr>
            </w:pPr>
            <w:r>
              <w:rPr>
                <w:b/>
                <w:bCs/>
                <w:color w:val="000000"/>
                <w:sz w:val="20"/>
                <w:szCs w:val="20"/>
              </w:rPr>
              <w:t>DENOMINATOR</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60052718"/>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b/>
                <w:bCs/>
                <w:color w:val="000000"/>
                <w:sz w:val="20"/>
                <w:szCs w:val="20"/>
              </w:rPr>
            </w:pPr>
            <w:r>
              <w:rPr>
                <w:b/>
                <w:bCs/>
                <w:color w:val="000000"/>
                <w:sz w:val="20"/>
                <w:szCs w:val="20"/>
              </w:rPr>
              <w:t>Basic:</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60052718"/>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Weighted average common shares outstanding</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118,836</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tcBorders>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118,359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60052718"/>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b/>
                <w:bCs/>
                <w:color w:val="000000"/>
                <w:sz w:val="20"/>
                <w:szCs w:val="20"/>
              </w:rPr>
            </w:pPr>
            <w:r>
              <w:rPr>
                <w:b/>
                <w:bCs/>
                <w:color w:val="000000"/>
                <w:sz w:val="20"/>
                <w:szCs w:val="20"/>
              </w:rPr>
              <w:t>Diluted:</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60052718"/>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Weighted average common shares outstanding</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118,836</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118,359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60052718"/>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Effect of dilutive securities:</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60052718"/>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547"/>
              <w:rPr>
                <w:color w:val="000000"/>
                <w:sz w:val="20"/>
                <w:szCs w:val="20"/>
              </w:rPr>
            </w:pPr>
            <w:r>
              <w:rPr>
                <w:color w:val="000000"/>
                <w:sz w:val="20"/>
                <w:szCs w:val="20"/>
              </w:rPr>
              <w:t>Stock options</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94" w:type="pct"/>
            <w:gridSpan w:val="2"/>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36</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101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60052718"/>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547"/>
              <w:rPr>
                <w:color w:val="000000"/>
                <w:sz w:val="20"/>
                <w:szCs w:val="20"/>
              </w:rPr>
            </w:pPr>
            <w:r>
              <w:rPr>
                <w:color w:val="000000"/>
                <w:sz w:val="20"/>
                <w:szCs w:val="20"/>
              </w:rPr>
              <w:t>Restricted stock-based awards</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94" w:type="pct"/>
            <w:gridSpan w:val="2"/>
            <w:tcBorders>
              <w:bottom w:val="single" w:sz="6" w:space="0" w:color="000000"/>
            </w:tcBorders>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46</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60052718"/>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Weighted average shares and assumed conversions</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118,918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118,509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60052718"/>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b/>
                <w:bCs/>
                <w:color w:val="000000"/>
                <w:sz w:val="20"/>
                <w:szCs w:val="20"/>
              </w:rPr>
            </w:pPr>
            <w:r>
              <w:rPr>
                <w:b/>
                <w:bCs/>
                <w:color w:val="000000"/>
                <w:sz w:val="20"/>
                <w:szCs w:val="20"/>
              </w:rPr>
              <w:t>BASIC EARNINGS PER SHARE</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64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0.42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644"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0.32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60052718"/>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b/>
                <w:bCs/>
                <w:color w:val="000000"/>
                <w:sz w:val="20"/>
                <w:szCs w:val="20"/>
              </w:rPr>
            </w:pPr>
            <w:r>
              <w:rPr>
                <w:b/>
                <w:bCs/>
                <w:color w:val="000000"/>
                <w:sz w:val="20"/>
                <w:szCs w:val="20"/>
              </w:rPr>
              <w:t>DILUTED EARNINGS PER SHARE</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644"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0.41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644"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0.32</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
                <w:szCs w:val="2"/>
              </w:rPr>
            </w:pPr>
            <w:r>
              <w:rPr>
                <w:color w:val="000000"/>
                <w:sz w:val="2"/>
                <w:szCs w:val="2"/>
              </w:rPr>
              <w:t> </w:t>
            </w:r>
          </w:p>
        </w:tc>
      </w:tr>
    </w:tbl>
    <w:p w:rsidR="00000000" w:rsidRDefault="00240F6E">
      <w:pPr>
        <w:pStyle w:val="a3"/>
        <w:spacing w:before="0" w:beforeAutospacing="0" w:after="0" w:afterAutospacing="0"/>
        <w:ind w:left="595" w:hanging="612"/>
        <w:jc w:val="both"/>
        <w:rPr>
          <w:sz w:val="20"/>
          <w:szCs w:val="20"/>
        </w:rPr>
      </w:pPr>
      <w:r>
        <w:rPr>
          <w:sz w:val="20"/>
          <w:szCs w:val="20"/>
        </w:rPr>
        <w:t> </w:t>
      </w:r>
    </w:p>
    <w:p w:rsidR="00000000" w:rsidRDefault="00240F6E">
      <w:pPr>
        <w:pStyle w:val="a3"/>
        <w:spacing w:before="0" w:beforeAutospacing="0" w:after="0" w:afterAutospacing="0"/>
        <w:ind w:left="595" w:hanging="612"/>
        <w:jc w:val="both"/>
        <w:rPr>
          <w:sz w:val="20"/>
          <w:szCs w:val="20"/>
        </w:rPr>
      </w:pPr>
      <w:r>
        <w:rPr>
          <w:sz w:val="20"/>
          <w:szCs w:val="20"/>
        </w:rPr>
        <w:t> </w:t>
      </w:r>
    </w:p>
    <w:p w:rsidR="00000000" w:rsidRDefault="00240F6E">
      <w:pPr>
        <w:pStyle w:val="a3"/>
        <w:spacing w:before="0" w:beforeAutospacing="0" w:after="0" w:afterAutospacing="0"/>
        <w:ind w:left="476"/>
        <w:jc w:val="both"/>
        <w:rPr>
          <w:sz w:val="20"/>
          <w:szCs w:val="20"/>
        </w:rPr>
      </w:pPr>
      <w:r>
        <w:rPr>
          <w:sz w:val="20"/>
          <w:szCs w:val="20"/>
        </w:rPr>
        <w:t>Approximately 0.5 million stock options were excluded from the computation of diluted earnings per share for both the three months ended March 31, 2019 and 2018, because they were anti-dilutive.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172378572"/>
        </w:trPr>
        <w:tc>
          <w:tcPr>
            <w:tcW w:w="227" w:type="pct"/>
            <w:noWrap/>
            <w:hideMark/>
          </w:tcPr>
          <w:p w:rsidR="00000000" w:rsidRDefault="00240F6E">
            <w:pPr>
              <w:pStyle w:val="a3"/>
              <w:spacing w:before="360" w:beforeAutospacing="0" w:after="0" w:afterAutospacing="0"/>
              <w:jc w:val="both"/>
              <w:rPr>
                <w:b/>
                <w:bCs/>
                <w:sz w:val="20"/>
                <w:szCs w:val="20"/>
              </w:rPr>
            </w:pPr>
            <w:r>
              <w:rPr>
                <w:b/>
                <w:bCs/>
                <w:sz w:val="20"/>
                <w:szCs w:val="20"/>
              </w:rPr>
              <w:t>8.</w:t>
            </w:r>
          </w:p>
        </w:tc>
        <w:tc>
          <w:tcPr>
            <w:tcW w:w="0" w:type="auto"/>
            <w:hideMark/>
          </w:tcPr>
          <w:p w:rsidR="00000000" w:rsidRDefault="00240F6E">
            <w:pPr>
              <w:pStyle w:val="a3"/>
              <w:spacing w:before="360" w:beforeAutospacing="0" w:after="0" w:afterAutospacing="0"/>
              <w:jc w:val="both"/>
              <w:rPr>
                <w:b/>
                <w:bCs/>
                <w:sz w:val="20"/>
                <w:szCs w:val="20"/>
              </w:rPr>
            </w:pPr>
            <w:r>
              <w:rPr>
                <w:b/>
                <w:bCs/>
                <w:sz w:val="20"/>
                <w:szCs w:val="20"/>
              </w:rPr>
              <w:t>COMMITMENTS AND CONTINGENCIES</w:t>
            </w:r>
          </w:p>
        </w:tc>
      </w:tr>
    </w:tbl>
    <w:p w:rsidR="00000000" w:rsidRDefault="00240F6E">
      <w:pPr>
        <w:pStyle w:val="a3"/>
        <w:spacing w:before="120" w:beforeAutospacing="0" w:after="0" w:afterAutospacing="0"/>
        <w:ind w:left="476"/>
        <w:jc w:val="both"/>
        <w:rPr>
          <w:b/>
          <w:bCs/>
          <w:sz w:val="20"/>
          <w:szCs w:val="20"/>
        </w:rPr>
      </w:pPr>
      <w:r>
        <w:rPr>
          <w:b/>
          <w:bCs/>
          <w:sz w:val="20"/>
          <w:szCs w:val="20"/>
        </w:rPr>
        <w:t>Legal Proceedings</w:t>
      </w:r>
    </w:p>
    <w:p w:rsidR="00000000" w:rsidRDefault="00240F6E">
      <w:pPr>
        <w:pStyle w:val="a3"/>
        <w:spacing w:before="120" w:beforeAutospacing="0" w:after="0" w:afterAutospacing="0"/>
        <w:ind w:left="476"/>
        <w:jc w:val="both"/>
        <w:rPr>
          <w:sz w:val="20"/>
          <w:szCs w:val="20"/>
        </w:rPr>
      </w:pPr>
      <w:r>
        <w:rPr>
          <w:sz w:val="20"/>
          <w:szCs w:val="20"/>
        </w:rPr>
        <w:t xml:space="preserve">The nature of CoreCivic's business results in claims and litigation alleging that it is liable for damages arising from the conduct of its employees, offenders or others.  The nature of such claims includes, but is not limited to, claims </w:t>
      </w:r>
      <w:r>
        <w:rPr>
          <w:sz w:val="20"/>
          <w:szCs w:val="20"/>
        </w:rPr>
        <w:t>arising from employee or offender misconduct, medical malpractice, employment matters, property loss, contractual claims, including claims regarding compliance with contract performance requirements, and personal injury or other damages resulting from cont</w:t>
      </w:r>
      <w:r>
        <w:rPr>
          <w:sz w:val="20"/>
          <w:szCs w:val="20"/>
        </w:rPr>
        <w:t>act with CoreCivic's facilities, personnel or offenders, including damages arising from an offender's escape or from a disturbance at a facility.  CoreCivic maintains insurance to cover many of these claims, which may mitigate the risk that any single clai</w:t>
      </w:r>
      <w:r>
        <w:rPr>
          <w:sz w:val="20"/>
          <w:szCs w:val="20"/>
        </w:rPr>
        <w:t>m would have a material effect on CoreCivic's consolidated financial position, results of operations, or cash flows, provided the claim is one for which coverage is available.  The combination of self-insured retentions and deductible amounts means that, i</w:t>
      </w:r>
      <w:r>
        <w:rPr>
          <w:sz w:val="20"/>
          <w:szCs w:val="20"/>
        </w:rPr>
        <w:t>n the aggregate, CoreCivic is subject to substantial self-insurance risk.  </w:t>
      </w:r>
    </w:p>
    <w:p w:rsidR="00000000" w:rsidRDefault="00240F6E">
      <w:pPr>
        <w:pStyle w:val="a3"/>
        <w:spacing w:before="0" w:beforeAutospacing="0" w:after="0" w:afterAutospacing="0"/>
        <w:ind w:left="476"/>
        <w:jc w:val="both"/>
      </w:pPr>
    </w:p>
    <w:p w:rsidR="00000000" w:rsidRDefault="00240F6E">
      <w:pPr>
        <w:pStyle w:val="a3"/>
        <w:spacing w:before="240" w:beforeAutospacing="0" w:after="0" w:afterAutospacing="0"/>
        <w:jc w:val="center"/>
        <w:rPr>
          <w:sz w:val="20"/>
          <w:szCs w:val="20"/>
        </w:rPr>
      </w:pPr>
      <w:r>
        <w:rPr>
          <w:sz w:val="20"/>
          <w:szCs w:val="20"/>
        </w:rPr>
        <w:t>15</w:t>
      </w:r>
    </w:p>
    <w:p w:rsidR="00000000" w:rsidRDefault="00240F6E">
      <w:pPr>
        <w:rPr>
          <w:rFonts w:eastAsia="Times New Roman"/>
        </w:rPr>
      </w:pPr>
      <w:r>
        <w:rPr>
          <w:rFonts w:eastAsia="Times New Roman"/>
        </w:rPr>
        <w:pict>
          <v:rect id="_x0000_i1041" style="width:0;height:1.5pt" o:hralign="center" o:hrstd="t" o:hr="t" fillcolor="#a0a0a0" stroked="f"/>
        </w:pict>
      </w:r>
    </w:p>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240" w:beforeAutospacing="0" w:after="0" w:afterAutospacing="0"/>
        <w:ind w:left="476"/>
        <w:jc w:val="both"/>
        <w:rPr>
          <w:sz w:val="20"/>
          <w:szCs w:val="20"/>
        </w:rPr>
      </w:pPr>
      <w:r>
        <w:rPr>
          <w:sz w:val="20"/>
          <w:szCs w:val="20"/>
        </w:rPr>
        <w:t>CoreCivic records litigation reserves related to certain matters for which it is probable that a loss has been incurred and the range of</w:t>
      </w:r>
      <w:r>
        <w:rPr>
          <w:sz w:val="20"/>
          <w:szCs w:val="20"/>
        </w:rPr>
        <w:t xml:space="preserve"> such loss can be estimated.  Based upon management's review of the potential claims and outstanding litigation, and based upon management's experience and history of estimating losses, and taking into consideration CoreCivic's self-insured retention amoun</w:t>
      </w:r>
      <w:r>
        <w:rPr>
          <w:sz w:val="20"/>
          <w:szCs w:val="20"/>
        </w:rPr>
        <w:t>ts, management believes a loss in excess of amounts already recognized would not be material to CoreCivic's financial statements.  In the opinion of management, there are no pending legal proceedings that would have a material effect on CoreCivic's consoli</w:t>
      </w:r>
      <w:r>
        <w:rPr>
          <w:sz w:val="20"/>
          <w:szCs w:val="20"/>
        </w:rPr>
        <w:t>dated financial position, results of operations, or cash flows.  Any receivable for insurance recoveries is recorded separately from the corresponding litigation reserve, and only if recovery is determined to be probable.  Adversarial proceedings and litig</w:t>
      </w:r>
      <w:r>
        <w:rPr>
          <w:sz w:val="20"/>
          <w:szCs w:val="20"/>
        </w:rPr>
        <w:t>ation are, however, subject to inherent uncertainties, and unfavorable decisions and rulings resulting from legal proceedings could occur which could have a material adverse impact on CoreCivic's consolidated financial position, results of operations, or c</w:t>
      </w:r>
      <w:r>
        <w:rPr>
          <w:sz w:val="20"/>
          <w:szCs w:val="20"/>
        </w:rPr>
        <w:t>ash flows for the period in which such decisions or rulings occur, or future periods.  Expenses associated with legal proceedings may also fluctuate from quarter to quarter based on changes in CoreCivic's assumptions, new developments, or by the effectiven</w:t>
      </w:r>
      <w:r>
        <w:rPr>
          <w:sz w:val="20"/>
          <w:szCs w:val="20"/>
        </w:rPr>
        <w:t>ess of CoreCivic's litigation and settlement strategies.</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44111061"/>
        </w:trPr>
        <w:tc>
          <w:tcPr>
            <w:tcW w:w="227" w:type="pct"/>
            <w:noWrap/>
            <w:hideMark/>
          </w:tcPr>
          <w:p w:rsidR="00000000" w:rsidRDefault="00240F6E">
            <w:pPr>
              <w:pStyle w:val="a3"/>
              <w:spacing w:before="360" w:beforeAutospacing="0" w:after="0" w:afterAutospacing="0"/>
              <w:jc w:val="both"/>
              <w:rPr>
                <w:b/>
                <w:bCs/>
                <w:sz w:val="20"/>
                <w:szCs w:val="20"/>
              </w:rPr>
            </w:pPr>
            <w:r>
              <w:rPr>
                <w:b/>
                <w:bCs/>
                <w:sz w:val="20"/>
                <w:szCs w:val="20"/>
              </w:rPr>
              <w:t>9.</w:t>
            </w:r>
          </w:p>
        </w:tc>
        <w:tc>
          <w:tcPr>
            <w:tcW w:w="0" w:type="auto"/>
            <w:hideMark/>
          </w:tcPr>
          <w:p w:rsidR="00000000" w:rsidRDefault="00240F6E">
            <w:pPr>
              <w:pStyle w:val="a3"/>
              <w:spacing w:before="360" w:beforeAutospacing="0" w:after="0" w:afterAutospacing="0"/>
              <w:jc w:val="both"/>
              <w:rPr>
                <w:b/>
                <w:bCs/>
                <w:sz w:val="20"/>
                <w:szCs w:val="20"/>
              </w:rPr>
            </w:pPr>
            <w:r>
              <w:rPr>
                <w:b/>
                <w:bCs/>
                <w:sz w:val="20"/>
                <w:szCs w:val="20"/>
              </w:rPr>
              <w:t>INCOME TAXES</w:t>
            </w:r>
          </w:p>
        </w:tc>
      </w:tr>
    </w:tbl>
    <w:p w:rsidR="00000000" w:rsidRDefault="00240F6E">
      <w:pPr>
        <w:pStyle w:val="a3"/>
        <w:spacing w:before="120" w:beforeAutospacing="0" w:after="0" w:afterAutospacing="0"/>
        <w:ind w:left="476"/>
        <w:jc w:val="both"/>
        <w:rPr>
          <w:color w:val="000000"/>
          <w:sz w:val="20"/>
          <w:szCs w:val="20"/>
        </w:rPr>
      </w:pPr>
      <w:r>
        <w:rPr>
          <w:color w:val="000000"/>
          <w:sz w:val="20"/>
          <w:szCs w:val="20"/>
        </w:rPr>
        <w:t>As discussed in Note 1, the Company began operating in compliance with REIT requirements for federal income tax purposes effective January 1, 2013.  As a REIT, the Company must distr</w:t>
      </w:r>
      <w:r>
        <w:rPr>
          <w:color w:val="000000"/>
          <w:sz w:val="20"/>
          <w:szCs w:val="20"/>
        </w:rPr>
        <w:t>ibute at least 90 percent of its taxable income (including dividends paid to it by its TRSs) and will not pay federal income taxes on the amount distributed to its stockholders.  In addition, the Company must meet a number of other organizational and opera</w:t>
      </w:r>
      <w:r>
        <w:rPr>
          <w:color w:val="000000"/>
          <w:sz w:val="20"/>
          <w:szCs w:val="20"/>
        </w:rPr>
        <w:t>tional requirements. It is currently management's intention to adhere to these requirements and maintain the Company's REIT status. Most states where CoreCivic holds investments in real estate conform to the federal rules recognizing REITs. Certain subsidi</w:t>
      </w:r>
      <w:r>
        <w:rPr>
          <w:color w:val="000000"/>
          <w:sz w:val="20"/>
          <w:szCs w:val="20"/>
        </w:rPr>
        <w:t>aries have made an election with the Company to be treated as TRSs in conjunction with the Company's REIT election; the TRS elections permit CoreCivic to engage in certain business activities in which the REIT may not engage directly. A TRS is subject to f</w:t>
      </w:r>
      <w:r>
        <w:rPr>
          <w:color w:val="000000"/>
          <w:sz w:val="20"/>
          <w:szCs w:val="20"/>
        </w:rPr>
        <w:t>ederal and state income taxes on the income from these activities and therefore, CoreCivic includes a provision for taxes in its consolidated financial statements.</w:t>
      </w:r>
    </w:p>
    <w:p w:rsidR="00000000" w:rsidRDefault="00240F6E">
      <w:pPr>
        <w:pStyle w:val="a3"/>
        <w:spacing w:before="240" w:beforeAutospacing="0" w:after="0" w:afterAutospacing="0"/>
        <w:ind w:left="476"/>
        <w:jc w:val="both"/>
        <w:rPr>
          <w:sz w:val="20"/>
          <w:szCs w:val="20"/>
        </w:rPr>
      </w:pPr>
      <w:r>
        <w:rPr>
          <w:sz w:val="20"/>
          <w:szCs w:val="20"/>
        </w:rPr>
        <w:t>Income taxes are accounted for under the provisions of ASC 740, "Income Taxes". ASC 740 gene</w:t>
      </w:r>
      <w:r>
        <w:rPr>
          <w:sz w:val="20"/>
          <w:szCs w:val="20"/>
        </w:rPr>
        <w:t>rally requires CoreCivic to record deferred income taxes for the tax effect of differences between book and tax bases of its assets and liabilities. Deferred income taxes reflect the available net operating losses and the net tax effect of temporary differ</w:t>
      </w:r>
      <w:r>
        <w:rPr>
          <w:sz w:val="20"/>
          <w:szCs w:val="20"/>
        </w:rPr>
        <w:t>ences between the carrying amounts of assets and liabilities for financial reporting purposes and the amounts used for income tax purposes using enacted tax rates in effect for the year in which the differences are expected to reverse. The effect of a chan</w:t>
      </w:r>
      <w:r>
        <w:rPr>
          <w:sz w:val="20"/>
          <w:szCs w:val="20"/>
        </w:rPr>
        <w:t>ge in tax rates on deferred tax assets and liabilities is recognized in the statement of operations in the period that includes the enactment date.  Realization of the future tax benefits related to deferred tax assets is dependent on many factors, includi</w:t>
      </w:r>
      <w:r>
        <w:rPr>
          <w:sz w:val="20"/>
          <w:szCs w:val="20"/>
        </w:rPr>
        <w:t>ng CoreCivic's past earnings history, expected future earnings, the character and jurisdiction of such earnings, unsettled circumstances that, if unfavorably resolved, would adversely affect utilization of its deferred tax assets, carryback and carryforwar</w:t>
      </w:r>
      <w:r>
        <w:rPr>
          <w:sz w:val="20"/>
          <w:szCs w:val="20"/>
        </w:rPr>
        <w:t xml:space="preserve">d periods, and tax strategies that could potentially enhance the likelihood of realization of a deferred tax asset. </w:t>
      </w:r>
    </w:p>
    <w:p w:rsidR="00000000" w:rsidRDefault="00240F6E">
      <w:pPr>
        <w:pStyle w:val="a3"/>
        <w:spacing w:before="240" w:beforeAutospacing="0" w:after="0" w:afterAutospacing="0"/>
        <w:ind w:left="476"/>
        <w:jc w:val="both"/>
        <w:rPr>
          <w:sz w:val="20"/>
          <w:szCs w:val="20"/>
        </w:rPr>
      </w:pPr>
      <w:r>
        <w:rPr>
          <w:sz w:val="20"/>
          <w:szCs w:val="20"/>
        </w:rPr>
        <w:t>CoreCivic recorded an income tax expense of $2.5 million and $1.9 million for the three months ended March 31, 2019 and 2018, respectively.</w:t>
      </w:r>
      <w:r>
        <w:rPr>
          <w:sz w:val="20"/>
          <w:szCs w:val="20"/>
        </w:rPr>
        <w:t>  As a REIT, CoreCivic is entitled to a deduction for dividends paid, resulting in a substantial reduction in the amount of federal income tax expense it recognizes.  Substantially all of CoreCivic's income tax expense is incurred based on the earnings gen</w:t>
      </w:r>
      <w:r>
        <w:rPr>
          <w:sz w:val="20"/>
          <w:szCs w:val="20"/>
        </w:rPr>
        <w:t>erated by its TRSs.  CoreCivic's overall effective tax rate is estimated based on its current projection of taxable income primarily generated by its TRSs. The Company's consolidated effective tax rate could fluctuate in the future based on changes in esti</w:t>
      </w:r>
      <w:r>
        <w:rPr>
          <w:sz w:val="20"/>
          <w:szCs w:val="20"/>
        </w:rPr>
        <w:t>mates of taxable income, the relative amounts of taxable income generated by the TRSs and the REIT, the implementation of additional tax planning strategies, changes in federal or state tax rates or laws affecting tax credits available to the Company, chan</w:t>
      </w:r>
      <w:r>
        <w:rPr>
          <w:sz w:val="20"/>
          <w:szCs w:val="20"/>
        </w:rPr>
        <w:t xml:space="preserve">ges in other tax laws, changes in estimates related to uncertain tax positions, or changes in state apportionment factors, as well as changes in the valuation allowance applied to the Company's deferred tax assets that are based primarily on the amount of </w:t>
      </w:r>
      <w:r>
        <w:rPr>
          <w:sz w:val="20"/>
          <w:szCs w:val="20"/>
        </w:rPr>
        <w:t>state net operating losses and tax credits that could expire unused.</w:t>
      </w:r>
    </w:p>
    <w:p w:rsidR="00000000" w:rsidRDefault="00240F6E">
      <w:pPr>
        <w:pStyle w:val="a3"/>
        <w:spacing w:before="0" w:beforeAutospacing="0" w:after="0" w:afterAutospacing="0"/>
        <w:rPr>
          <w:b/>
          <w:bCs/>
          <w:sz w:val="20"/>
          <w:szCs w:val="20"/>
        </w:rPr>
      </w:pPr>
    </w:p>
    <w:p w:rsidR="00000000" w:rsidRDefault="00240F6E">
      <w:pPr>
        <w:pStyle w:val="a3"/>
        <w:spacing w:before="240" w:beforeAutospacing="0" w:after="0" w:afterAutospacing="0"/>
        <w:jc w:val="center"/>
        <w:rPr>
          <w:sz w:val="20"/>
          <w:szCs w:val="20"/>
        </w:rPr>
      </w:pPr>
      <w:r>
        <w:rPr>
          <w:sz w:val="20"/>
          <w:szCs w:val="20"/>
        </w:rPr>
        <w:t>16</w:t>
      </w:r>
    </w:p>
    <w:p w:rsidR="00000000" w:rsidRDefault="00240F6E">
      <w:pPr>
        <w:rPr>
          <w:rFonts w:eastAsia="Times New Roman"/>
        </w:rPr>
      </w:pPr>
      <w:r>
        <w:rPr>
          <w:rFonts w:eastAsia="Times New Roman"/>
        </w:rPr>
        <w:pict>
          <v:rect id="_x0000_i1042" style="width:0;height:1.5pt" o:hralign="center" o:hrstd="t" o:hr="t" fillcolor="#a0a0a0" stroked="f"/>
        </w:pict>
      </w:r>
    </w:p>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360" w:beforeAutospacing="0" w:after="0" w:afterAutospacing="0"/>
        <w:ind w:left="476"/>
        <w:jc w:val="both"/>
        <w:rPr>
          <w:b/>
          <w:bCs/>
          <w:sz w:val="20"/>
          <w:szCs w:val="20"/>
        </w:rPr>
      </w:pPr>
      <w:r>
        <w:rPr>
          <w:b/>
          <w:bCs/>
          <w:sz w:val="20"/>
          <w:szCs w:val="20"/>
        </w:rPr>
        <w:t>Income Tax Contingencies</w:t>
      </w:r>
    </w:p>
    <w:p w:rsidR="00000000" w:rsidRDefault="00240F6E">
      <w:pPr>
        <w:pStyle w:val="a3"/>
        <w:spacing w:before="120" w:beforeAutospacing="0" w:after="0" w:afterAutospacing="0"/>
        <w:ind w:left="476"/>
        <w:jc w:val="both"/>
        <w:rPr>
          <w:sz w:val="20"/>
          <w:szCs w:val="20"/>
        </w:rPr>
      </w:pPr>
      <w:r>
        <w:rPr>
          <w:sz w:val="20"/>
          <w:szCs w:val="20"/>
        </w:rPr>
        <w:t xml:space="preserve">ASC 740 prescribes a recognition threshold and measurement attribute for the financial statement recognition and measurement of a tax position taken or expected to be taken in a tax return. </w:t>
      </w:r>
      <w:r>
        <w:rPr>
          <w:color w:val="000000"/>
          <w:sz w:val="20"/>
          <w:szCs w:val="20"/>
        </w:rPr>
        <w:t>The</w:t>
      </w:r>
      <w:r>
        <w:rPr>
          <w:color w:val="000000"/>
          <w:sz w:val="20"/>
          <w:szCs w:val="20"/>
        </w:rPr>
        <w:t xml:space="preserve"> guidance prescribed in ASC 740 establishes a recognition threshold of more likely than not that a tax position will be sustained upon examination.  The measurement attribute requires that a tax position be measured at the largest amount of benefit that is</w:t>
      </w:r>
      <w:r>
        <w:rPr>
          <w:color w:val="000000"/>
          <w:sz w:val="20"/>
          <w:szCs w:val="20"/>
        </w:rPr>
        <w:t xml:space="preserve"> greater than 50% likely of being realized upon ultimate settlement.  </w:t>
      </w:r>
    </w:p>
    <w:p w:rsidR="00000000" w:rsidRDefault="00240F6E">
      <w:pPr>
        <w:pStyle w:val="a3"/>
        <w:spacing w:before="240" w:beforeAutospacing="0" w:after="0" w:afterAutospacing="0"/>
        <w:ind w:left="476"/>
        <w:jc w:val="both"/>
        <w:rPr>
          <w:sz w:val="20"/>
          <w:szCs w:val="20"/>
        </w:rPr>
      </w:pPr>
      <w:r>
        <w:rPr>
          <w:sz w:val="20"/>
          <w:szCs w:val="20"/>
        </w:rPr>
        <w:t>CoreCivic had no liabilities recorded for uncertain tax positions as of March 31, 2019 and December 31, 2018.  CoreCivic recognizes interest and penalties related to unrecognized tax po</w:t>
      </w:r>
      <w:r>
        <w:rPr>
          <w:sz w:val="20"/>
          <w:szCs w:val="20"/>
        </w:rPr>
        <w:t>sitions in income tax expense. CoreCivic does not currently anticipate that the total amount of unrecognized tax positions will significantly change in the next twelve months.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387412885"/>
        </w:trPr>
        <w:tc>
          <w:tcPr>
            <w:tcW w:w="227" w:type="pct"/>
            <w:noWrap/>
            <w:hideMark/>
          </w:tcPr>
          <w:p w:rsidR="00000000" w:rsidRDefault="00240F6E">
            <w:pPr>
              <w:pStyle w:val="a3"/>
              <w:spacing w:before="360" w:beforeAutospacing="0" w:after="0" w:afterAutospacing="0"/>
              <w:jc w:val="both"/>
              <w:rPr>
                <w:b/>
                <w:bCs/>
                <w:sz w:val="20"/>
                <w:szCs w:val="20"/>
              </w:rPr>
            </w:pPr>
            <w:r>
              <w:rPr>
                <w:b/>
                <w:bCs/>
                <w:sz w:val="20"/>
                <w:szCs w:val="20"/>
              </w:rPr>
              <w:t>10.</w:t>
            </w:r>
          </w:p>
        </w:tc>
        <w:tc>
          <w:tcPr>
            <w:tcW w:w="0" w:type="auto"/>
            <w:hideMark/>
          </w:tcPr>
          <w:p w:rsidR="00000000" w:rsidRDefault="00240F6E">
            <w:pPr>
              <w:pStyle w:val="a3"/>
              <w:spacing w:before="360" w:beforeAutospacing="0" w:after="0" w:afterAutospacing="0"/>
              <w:jc w:val="both"/>
              <w:rPr>
                <w:b/>
                <w:bCs/>
                <w:sz w:val="20"/>
                <w:szCs w:val="20"/>
              </w:rPr>
            </w:pPr>
            <w:r>
              <w:rPr>
                <w:b/>
                <w:bCs/>
                <w:sz w:val="20"/>
                <w:szCs w:val="20"/>
              </w:rPr>
              <w:t>SEGMENT REPORTING</w:t>
            </w:r>
          </w:p>
        </w:tc>
      </w:tr>
    </w:tbl>
    <w:p w:rsidR="00000000" w:rsidRDefault="00240F6E">
      <w:pPr>
        <w:pStyle w:val="a3"/>
        <w:spacing w:before="120" w:beforeAutospacing="0" w:after="0" w:afterAutospacing="0"/>
        <w:ind w:left="476"/>
        <w:jc w:val="both"/>
        <w:rPr>
          <w:sz w:val="20"/>
          <w:szCs w:val="20"/>
        </w:rPr>
      </w:pPr>
      <w:r>
        <w:rPr>
          <w:sz w:val="20"/>
          <w:szCs w:val="20"/>
        </w:rPr>
        <w:t>As of March 31, 2019, CoreCivic operated 51 correctiona</w:t>
      </w:r>
      <w:r>
        <w:rPr>
          <w:sz w:val="20"/>
          <w:szCs w:val="20"/>
        </w:rPr>
        <w:t>l and detention facilities, 44 of which the Company owned.  In addition, CoreCivic owned and operated 27 residential reentry centers and owned 27 properties that it leased to third parties.  Management views CoreCivic's operating results in three operating</w:t>
      </w:r>
      <w:r>
        <w:rPr>
          <w:sz w:val="20"/>
          <w:szCs w:val="20"/>
        </w:rPr>
        <w:t xml:space="preserve"> segments, CoreCivic Safety, CoreCivic Community, and CoreCivic Properties.  CoreCivic Safety includes the operating results of those correctional and detention facilities placed into service that were owned, or controlled via a long-term lease, and manage</w:t>
      </w:r>
      <w:r>
        <w:rPr>
          <w:sz w:val="20"/>
          <w:szCs w:val="20"/>
        </w:rPr>
        <w:t>d by CoreCivic, as well as those correctional and detention facilities owned by a third party and managed by CoreCivic.  CoreCivic Safety also includes the operating results of TransCor America, LLC, a subsidiary of the Company that provides transportation</w:t>
      </w:r>
      <w:r>
        <w:rPr>
          <w:sz w:val="20"/>
          <w:szCs w:val="20"/>
        </w:rPr>
        <w:t xml:space="preserve"> services to governmental agencies.  CoreCivic Community includes the operating results of those residential reentry centers placed into service that were owned, or controlled via a long-term lease, and managed by CoreCivic.  CoreCivic Community also inclu</w:t>
      </w:r>
      <w:r>
        <w:rPr>
          <w:sz w:val="20"/>
          <w:szCs w:val="20"/>
        </w:rPr>
        <w:t>des the operating results of Rocky Mountain Offender Management Systems, LLC and Recovery Monitoring Solutions Corporation, subsidiaries of the Company that provide electronic monitoring and case management services. CoreCivic Properties includes the opera</w:t>
      </w:r>
      <w:r>
        <w:rPr>
          <w:sz w:val="20"/>
          <w:szCs w:val="20"/>
        </w:rPr>
        <w:t>ting results of those properties leased to third parties.  The operating performance of the three segments can be measured based on their net operating income.  CoreCivic defines facility net operating income as a facility's revenues less operating expense</w:t>
      </w:r>
      <w:r>
        <w:rPr>
          <w:sz w:val="20"/>
          <w:szCs w:val="20"/>
        </w:rPr>
        <w:t>s.  </w:t>
      </w:r>
    </w:p>
    <w:p w:rsidR="00000000" w:rsidRDefault="00240F6E">
      <w:pPr>
        <w:pStyle w:val="a3"/>
        <w:spacing w:before="0" w:beforeAutospacing="0" w:after="0" w:afterAutospacing="0"/>
        <w:rPr>
          <w:sz w:val="20"/>
          <w:szCs w:val="20"/>
        </w:rPr>
      </w:pPr>
    </w:p>
    <w:p w:rsidR="00000000" w:rsidRDefault="00240F6E">
      <w:pPr>
        <w:pStyle w:val="a3"/>
        <w:spacing w:before="120" w:beforeAutospacing="0" w:after="0" w:afterAutospacing="0"/>
        <w:ind w:left="476"/>
        <w:jc w:val="both"/>
        <w:rPr>
          <w:sz w:val="20"/>
          <w:szCs w:val="20"/>
        </w:rPr>
      </w:pPr>
      <w:r>
        <w:rPr>
          <w:sz w:val="20"/>
          <w:szCs w:val="20"/>
        </w:rPr>
        <w:t> </w:t>
      </w:r>
    </w:p>
    <w:p w:rsidR="00000000" w:rsidRDefault="00240F6E">
      <w:pPr>
        <w:pStyle w:val="a3"/>
        <w:spacing w:before="240" w:beforeAutospacing="0" w:after="0" w:afterAutospacing="0"/>
        <w:jc w:val="center"/>
        <w:rPr>
          <w:sz w:val="20"/>
          <w:szCs w:val="20"/>
        </w:rPr>
      </w:pPr>
      <w:r>
        <w:rPr>
          <w:sz w:val="20"/>
          <w:szCs w:val="20"/>
        </w:rPr>
        <w:t>17</w:t>
      </w:r>
    </w:p>
    <w:p w:rsidR="00000000" w:rsidRDefault="00240F6E">
      <w:pPr>
        <w:rPr>
          <w:rFonts w:eastAsia="Times New Roman"/>
        </w:rPr>
      </w:pPr>
      <w:r>
        <w:rPr>
          <w:rFonts w:eastAsia="Times New Roman"/>
        </w:rPr>
        <w:pict>
          <v:rect id="_x0000_i1043" style="width:0;height:1.5pt" o:hralign="center" o:hrstd="t" o:hr="t" fillcolor="#a0a0a0" stroked="f"/>
        </w:pict>
      </w:r>
    </w:p>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120" w:beforeAutospacing="0" w:after="0" w:afterAutospacing="0"/>
        <w:ind w:left="476"/>
        <w:jc w:val="both"/>
        <w:rPr>
          <w:sz w:val="20"/>
          <w:szCs w:val="20"/>
        </w:rPr>
      </w:pPr>
      <w:r>
        <w:rPr>
          <w:sz w:val="20"/>
          <w:szCs w:val="20"/>
        </w:rPr>
        <w:t>The revenue and net operating income for each of the three segments and a reconciliation to CoreCivic's operating income is as follows for the three months ended March 31, 2019 and 2018 (in thousands):</w:t>
      </w:r>
    </w:p>
    <w:p w:rsidR="00000000" w:rsidRDefault="00240F6E">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5001"/>
        <w:gridCol w:w="96"/>
        <w:gridCol w:w="115"/>
        <w:gridCol w:w="942"/>
        <w:gridCol w:w="82"/>
        <w:gridCol w:w="97"/>
        <w:gridCol w:w="115"/>
        <w:gridCol w:w="945"/>
        <w:gridCol w:w="82"/>
      </w:tblGrid>
      <w:tr w:rsidR="00000000">
        <w:trPr>
          <w:divId w:val="1205755433"/>
        </w:trPr>
        <w:tc>
          <w:tcPr>
            <w:tcW w:w="335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pPr>
            <w:r>
              <w:t> </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1514"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240F6E">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1205755433"/>
        </w:trPr>
        <w:tc>
          <w:tcPr>
            <w:tcW w:w="335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77" w:type="pct"/>
            <w:tcBorders>
              <w:top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1205755433"/>
        </w:trPr>
        <w:tc>
          <w:tcPr>
            <w:tcW w:w="3357"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Revenue:</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205755433"/>
        </w:trPr>
        <w:tc>
          <w:tcPr>
            <w:tcW w:w="335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Safety</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434,318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643"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404,498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205755433"/>
        </w:trPr>
        <w:tc>
          <w:tcPr>
            <w:tcW w:w="3357"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Community</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30,566</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24,800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205755433"/>
        </w:trPr>
        <w:tc>
          <w:tcPr>
            <w:tcW w:w="335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Properties</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19,112</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11,615</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205755433"/>
        </w:trPr>
        <w:tc>
          <w:tcPr>
            <w:tcW w:w="3357"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Total segment revenue</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483,996</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440,913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205755433"/>
        </w:trPr>
        <w:tc>
          <w:tcPr>
            <w:tcW w:w="335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Operating expenses:</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205755433"/>
        </w:trPr>
        <w:tc>
          <w:tcPr>
            <w:tcW w:w="3357"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Safety</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316,595</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296,503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205755433"/>
        </w:trPr>
        <w:tc>
          <w:tcPr>
            <w:tcW w:w="335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Community</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23,496</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19,367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205755433"/>
        </w:trPr>
        <w:tc>
          <w:tcPr>
            <w:tcW w:w="3357"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Properties</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5,652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3,114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205755433"/>
        </w:trPr>
        <w:tc>
          <w:tcPr>
            <w:tcW w:w="335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Total segment operating expenses</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345,743</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318,984</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205755433"/>
        </w:trPr>
        <w:tc>
          <w:tcPr>
            <w:tcW w:w="3357"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Facility net operating income:</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205755433"/>
        </w:trPr>
        <w:tc>
          <w:tcPr>
            <w:tcW w:w="335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Safety</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117,723</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107,995</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205755433"/>
        </w:trPr>
        <w:tc>
          <w:tcPr>
            <w:tcW w:w="3357"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Community</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7,070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5,433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205755433"/>
        </w:trPr>
        <w:tc>
          <w:tcPr>
            <w:tcW w:w="335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Properties</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13,460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8,501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205755433"/>
        </w:trPr>
        <w:tc>
          <w:tcPr>
            <w:tcW w:w="3357"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Total facility net operating income</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138,253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121,929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205755433"/>
        </w:trPr>
        <w:tc>
          <w:tcPr>
            <w:tcW w:w="335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Other revenue (expense):</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205755433"/>
        </w:trPr>
        <w:tc>
          <w:tcPr>
            <w:tcW w:w="3357"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Other revenue</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68</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205755433"/>
        </w:trPr>
        <w:tc>
          <w:tcPr>
            <w:tcW w:w="335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Other operating expense</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(89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3"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(167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r>
      <w:tr w:rsidR="00000000">
        <w:trPr>
          <w:divId w:val="1205755433"/>
        </w:trPr>
        <w:tc>
          <w:tcPr>
            <w:tcW w:w="3357"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General and administrative</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(29,445</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3"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(24,971</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r>
      <w:tr w:rsidR="00000000">
        <w:trPr>
          <w:divId w:val="1205755433"/>
        </w:trPr>
        <w:tc>
          <w:tcPr>
            <w:tcW w:w="335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Depreciation and amortization</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(35,523</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(38,089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r>
      <w:tr w:rsidR="00000000">
        <w:trPr>
          <w:divId w:val="1205755433"/>
        </w:trPr>
        <w:tc>
          <w:tcPr>
            <w:tcW w:w="3357"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Operating income</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73,264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58,705</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
                <w:szCs w:val="2"/>
              </w:rPr>
            </w:pPr>
            <w:r>
              <w:rPr>
                <w:color w:val="000000"/>
                <w:sz w:val="2"/>
                <w:szCs w:val="2"/>
              </w:rPr>
              <w:t> </w:t>
            </w:r>
          </w:p>
        </w:tc>
      </w:tr>
    </w:tbl>
    <w:p w:rsidR="00000000" w:rsidRDefault="00240F6E">
      <w:pPr>
        <w:pStyle w:val="a3"/>
        <w:spacing w:before="0" w:beforeAutospacing="0" w:after="0" w:afterAutospacing="0"/>
        <w:jc w:val="both"/>
        <w:rPr>
          <w:sz w:val="20"/>
          <w:szCs w:val="20"/>
        </w:rPr>
      </w:pPr>
      <w:r>
        <w:rPr>
          <w:sz w:val="20"/>
          <w:szCs w:val="20"/>
        </w:rPr>
        <w:t> </w:t>
      </w:r>
    </w:p>
    <w:p w:rsidR="00000000" w:rsidRDefault="00240F6E">
      <w:pPr>
        <w:pStyle w:val="a3"/>
        <w:spacing w:before="0" w:beforeAutospacing="0" w:after="0" w:afterAutospacing="0"/>
        <w:ind w:left="476"/>
        <w:jc w:val="both"/>
        <w:rPr>
          <w:sz w:val="20"/>
          <w:szCs w:val="20"/>
        </w:rPr>
      </w:pPr>
      <w:r>
        <w:rPr>
          <w:sz w:val="20"/>
          <w:szCs w:val="20"/>
        </w:rPr>
        <w:t>The following table summarizes capital expenditures including accrued amounts for the three months ended March 31, 2019 and 2018 (in thousands):</w:t>
      </w:r>
    </w:p>
    <w:p w:rsidR="00000000" w:rsidRDefault="00240F6E">
      <w:pPr>
        <w:pStyle w:val="a3"/>
        <w:spacing w:before="0" w:beforeAutospacing="0" w:after="0" w:afterAutospacing="0"/>
        <w:jc w:val="both"/>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995"/>
        <w:gridCol w:w="109"/>
        <w:gridCol w:w="115"/>
        <w:gridCol w:w="951"/>
        <w:gridCol w:w="65"/>
        <w:gridCol w:w="108"/>
        <w:gridCol w:w="115"/>
        <w:gridCol w:w="952"/>
        <w:gridCol w:w="65"/>
      </w:tblGrid>
      <w:tr w:rsidR="00000000">
        <w:trPr>
          <w:divId w:val="240455603"/>
        </w:trPr>
        <w:tc>
          <w:tcPr>
            <w:tcW w:w="334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pPr>
            <w: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1519"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240F6E">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240455603"/>
        </w:trPr>
        <w:tc>
          <w:tcPr>
            <w:tcW w:w="334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81" w:type="pct"/>
            <w:tcBorders>
              <w:top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694"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240455603"/>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Capital expenditures:</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240455603"/>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Safety</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19,956</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11,470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240455603"/>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Community</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1,463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7,147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240455603"/>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Properties</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15,903</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40,994</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240455603"/>
        </w:trPr>
        <w:tc>
          <w:tcPr>
            <w:tcW w:w="334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Corporate and other</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3,472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4"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6,641</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240455603"/>
        </w:trPr>
        <w:tc>
          <w:tcPr>
            <w:tcW w:w="334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Total capital expenditures</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40,794</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644"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66,252</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
                <w:szCs w:val="2"/>
              </w:rPr>
            </w:pPr>
            <w:r>
              <w:rPr>
                <w:color w:val="000000"/>
                <w:sz w:val="2"/>
                <w:szCs w:val="2"/>
              </w:rPr>
              <w:t> </w:t>
            </w:r>
          </w:p>
        </w:tc>
      </w:tr>
    </w:tbl>
    <w:p w:rsidR="00000000" w:rsidRDefault="00240F6E">
      <w:pPr>
        <w:pStyle w:val="a3"/>
        <w:spacing w:before="0" w:beforeAutospacing="0" w:after="0" w:afterAutospacing="0"/>
        <w:jc w:val="both"/>
        <w:rPr>
          <w:sz w:val="20"/>
          <w:szCs w:val="20"/>
        </w:rPr>
      </w:pPr>
      <w:r>
        <w:rPr>
          <w:sz w:val="20"/>
          <w:szCs w:val="20"/>
        </w:rPr>
        <w:t> </w:t>
      </w:r>
    </w:p>
    <w:p w:rsidR="00000000" w:rsidRDefault="00240F6E">
      <w:pPr>
        <w:pStyle w:val="a3"/>
        <w:spacing w:before="0" w:beforeAutospacing="0" w:after="0" w:afterAutospacing="0"/>
        <w:ind w:left="476"/>
        <w:jc w:val="both"/>
        <w:rPr>
          <w:sz w:val="20"/>
          <w:szCs w:val="20"/>
        </w:rPr>
      </w:pPr>
      <w:r>
        <w:rPr>
          <w:sz w:val="20"/>
          <w:szCs w:val="20"/>
        </w:rPr>
        <w:t>The total assets are as follows (in thousands):</w:t>
      </w:r>
    </w:p>
    <w:p w:rsidR="00000000" w:rsidRDefault="00240F6E">
      <w:pPr>
        <w:pStyle w:val="a3"/>
        <w:spacing w:before="0" w:beforeAutospacing="0" w:after="0" w:afterAutospacing="0"/>
        <w:jc w:val="both"/>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231"/>
        <w:gridCol w:w="65"/>
        <w:gridCol w:w="115"/>
        <w:gridCol w:w="855"/>
        <w:gridCol w:w="65"/>
        <w:gridCol w:w="65"/>
        <w:gridCol w:w="116"/>
        <w:gridCol w:w="1237"/>
        <w:gridCol w:w="65"/>
      </w:tblGrid>
      <w:tr w:rsidR="00000000">
        <w:trPr>
          <w:divId w:val="784621967"/>
        </w:trPr>
        <w:tc>
          <w:tcPr>
            <w:tcW w:w="287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pPr>
            <w: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93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March 31, 2019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93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December 31, 2018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784621967"/>
        </w:trPr>
        <w:tc>
          <w:tcPr>
            <w:tcW w:w="287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Assets:</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8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88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784621967"/>
        </w:trPr>
        <w:tc>
          <w:tcPr>
            <w:tcW w:w="287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Safety</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881"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2,643,099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881"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2,621,880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784621967"/>
        </w:trPr>
        <w:tc>
          <w:tcPr>
            <w:tcW w:w="287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Community</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81"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281,842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881"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281,198</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784621967"/>
        </w:trPr>
        <w:tc>
          <w:tcPr>
            <w:tcW w:w="287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Properties</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81"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630,198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881"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606,770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784621967"/>
        </w:trPr>
        <w:tc>
          <w:tcPr>
            <w:tcW w:w="287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Corporate and other</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8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115,241</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88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145,812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784621967"/>
        </w:trPr>
        <w:tc>
          <w:tcPr>
            <w:tcW w:w="287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Total Assets</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8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3,670,380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8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88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3,655,660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
                <w:szCs w:val="2"/>
              </w:rPr>
            </w:pPr>
            <w:r>
              <w:rPr>
                <w:color w:val="000000"/>
                <w:sz w:val="2"/>
                <w:szCs w:val="2"/>
              </w:rPr>
              <w:t> </w:t>
            </w:r>
          </w:p>
        </w:tc>
      </w:tr>
    </w:tbl>
    <w:p w:rsidR="00000000" w:rsidRDefault="00240F6E">
      <w:pPr>
        <w:pStyle w:val="a3"/>
        <w:spacing w:before="0" w:beforeAutospacing="0" w:after="0" w:afterAutospacing="0"/>
        <w:jc w:val="both"/>
        <w:rPr>
          <w:sz w:val="23"/>
          <w:szCs w:val="23"/>
        </w:rPr>
      </w:pPr>
      <w:r>
        <w:rPr>
          <w:sz w:val="23"/>
          <w:szCs w:val="23"/>
        </w:rPr>
        <w:t> </w:t>
      </w:r>
    </w:p>
    <w:p w:rsidR="00000000" w:rsidRDefault="00240F6E">
      <w:pPr>
        <w:pStyle w:val="a3"/>
        <w:spacing w:before="0" w:beforeAutospacing="0" w:after="0" w:afterAutospacing="0"/>
        <w:rPr>
          <w:sz w:val="23"/>
          <w:szCs w:val="23"/>
        </w:rPr>
      </w:pPr>
    </w:p>
    <w:p w:rsidR="00000000" w:rsidRDefault="00240F6E">
      <w:pPr>
        <w:pStyle w:val="a3"/>
        <w:spacing w:before="240" w:beforeAutospacing="0" w:after="0" w:afterAutospacing="0"/>
        <w:jc w:val="center"/>
        <w:rPr>
          <w:sz w:val="20"/>
          <w:szCs w:val="20"/>
        </w:rPr>
      </w:pPr>
      <w:r>
        <w:rPr>
          <w:sz w:val="20"/>
          <w:szCs w:val="20"/>
        </w:rPr>
        <w:t>18</w:t>
      </w:r>
    </w:p>
    <w:p w:rsidR="00000000" w:rsidRDefault="00240F6E">
      <w:pPr>
        <w:rPr>
          <w:rFonts w:eastAsia="Times New Roman"/>
        </w:rPr>
      </w:pPr>
      <w:r>
        <w:rPr>
          <w:rFonts w:eastAsia="Times New Roman"/>
        </w:rPr>
        <w:pict>
          <v:rect id="_x0000_i1044" style="width:0;height:1.5pt" o:hralign="center" o:hrstd="t" o:hr="t" fillcolor="#a0a0a0" stroked="f"/>
        </w:pict>
      </w:r>
    </w:p>
    <w:p w:rsidR="00000000" w:rsidRDefault="00240F6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249122046"/>
        </w:trPr>
        <w:tc>
          <w:tcPr>
            <w:tcW w:w="227" w:type="pct"/>
            <w:noWrap/>
            <w:hideMark/>
          </w:tcPr>
          <w:p w:rsidR="00000000" w:rsidRDefault="00240F6E">
            <w:pPr>
              <w:pStyle w:val="a3"/>
              <w:spacing w:before="360" w:beforeAutospacing="0" w:after="0" w:afterAutospacing="0"/>
              <w:jc w:val="both"/>
              <w:rPr>
                <w:b/>
                <w:bCs/>
                <w:sz w:val="20"/>
                <w:szCs w:val="20"/>
              </w:rPr>
            </w:pPr>
            <w:r>
              <w:rPr>
                <w:b/>
                <w:bCs/>
                <w:sz w:val="20"/>
                <w:szCs w:val="20"/>
              </w:rPr>
              <w:t>11.</w:t>
            </w:r>
          </w:p>
        </w:tc>
        <w:tc>
          <w:tcPr>
            <w:tcW w:w="0" w:type="auto"/>
            <w:hideMark/>
          </w:tcPr>
          <w:p w:rsidR="00000000" w:rsidRDefault="00240F6E">
            <w:pPr>
              <w:pStyle w:val="a3"/>
              <w:spacing w:before="360" w:beforeAutospacing="0" w:after="0" w:afterAutospacing="0"/>
              <w:jc w:val="both"/>
              <w:rPr>
                <w:b/>
                <w:bCs/>
                <w:sz w:val="20"/>
                <w:szCs w:val="20"/>
              </w:rPr>
            </w:pPr>
            <w:r>
              <w:rPr>
                <w:b/>
                <w:bCs/>
                <w:sz w:val="20"/>
                <w:szCs w:val="20"/>
              </w:rPr>
              <w:t>CONDENSED CONSOLIDATING FINANCIAL STATEMENTS OF THE COMPANY AND SUBSIDIARIES</w:t>
            </w:r>
          </w:p>
        </w:tc>
      </w:tr>
    </w:tbl>
    <w:p w:rsidR="00000000" w:rsidRDefault="00240F6E">
      <w:pPr>
        <w:pStyle w:val="a3"/>
        <w:spacing w:before="0" w:beforeAutospacing="0" w:after="0" w:afterAutospacing="0"/>
        <w:ind w:left="595"/>
        <w:jc w:val="both"/>
        <w:rPr>
          <w:sz w:val="12"/>
          <w:szCs w:val="12"/>
        </w:rPr>
      </w:pPr>
      <w:r>
        <w:rPr>
          <w:sz w:val="12"/>
          <w:szCs w:val="12"/>
        </w:rPr>
        <w:t> </w:t>
      </w:r>
    </w:p>
    <w:p w:rsidR="00000000" w:rsidRDefault="00240F6E">
      <w:pPr>
        <w:pStyle w:val="a3"/>
        <w:spacing w:before="0" w:beforeAutospacing="0" w:after="0" w:afterAutospacing="0"/>
        <w:ind w:left="476"/>
        <w:jc w:val="both"/>
        <w:rPr>
          <w:sz w:val="20"/>
          <w:szCs w:val="20"/>
        </w:rPr>
      </w:pPr>
      <w:r>
        <w:rPr>
          <w:sz w:val="20"/>
          <w:szCs w:val="20"/>
        </w:rPr>
        <w:t>The following condensed consolidating financial statements of CoreCivic and subsidiaries have been prepared pursuant to Rule 3-10 of Regulation S-X.  These condensed consolidating financial statements have been prepared from the Company's financial informa</w:t>
      </w:r>
      <w:r>
        <w:rPr>
          <w:sz w:val="20"/>
          <w:szCs w:val="20"/>
        </w:rPr>
        <w:t xml:space="preserve">tion on the same basis of accounting as the consolidated financial statements. </w:t>
      </w:r>
    </w:p>
    <w:p w:rsidR="00000000" w:rsidRDefault="00240F6E">
      <w:pPr>
        <w:pStyle w:val="a3"/>
        <w:spacing w:before="360" w:beforeAutospacing="0" w:after="0" w:afterAutospacing="0"/>
        <w:jc w:val="center"/>
        <w:rPr>
          <w:b/>
          <w:bCs/>
          <w:sz w:val="20"/>
          <w:szCs w:val="20"/>
        </w:rPr>
      </w:pPr>
      <w:r>
        <w:rPr>
          <w:b/>
          <w:bCs/>
          <w:sz w:val="20"/>
          <w:szCs w:val="20"/>
        </w:rPr>
        <w:t>CONDENSED CONSOLIDATING BALANCE SHEET</w:t>
      </w:r>
    </w:p>
    <w:p w:rsidR="00000000" w:rsidRDefault="00240F6E">
      <w:pPr>
        <w:pStyle w:val="a3"/>
        <w:spacing w:before="0" w:beforeAutospacing="0" w:after="0" w:afterAutospacing="0"/>
        <w:jc w:val="center"/>
        <w:rPr>
          <w:b/>
          <w:bCs/>
          <w:sz w:val="20"/>
          <w:szCs w:val="20"/>
        </w:rPr>
      </w:pPr>
      <w:r>
        <w:rPr>
          <w:b/>
          <w:bCs/>
          <w:sz w:val="20"/>
          <w:szCs w:val="20"/>
        </w:rPr>
        <w:t>As of March 31, 2019</w:t>
      </w:r>
    </w:p>
    <w:p w:rsidR="00000000" w:rsidRDefault="00240F6E">
      <w:pPr>
        <w:pStyle w:val="a3"/>
        <w:spacing w:before="0" w:beforeAutospacing="0" w:after="0" w:afterAutospacing="0"/>
        <w:jc w:val="center"/>
        <w:rPr>
          <w:sz w:val="20"/>
          <w:szCs w:val="20"/>
        </w:rPr>
      </w:pPr>
      <w:r>
        <w:rPr>
          <w:sz w:val="20"/>
          <w:szCs w:val="20"/>
        </w:rPr>
        <w:t>(Unaudited and in thousands)</w:t>
      </w:r>
    </w:p>
    <w:p w:rsidR="00000000" w:rsidRDefault="00240F6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091"/>
        <w:gridCol w:w="65"/>
        <w:gridCol w:w="115"/>
        <w:gridCol w:w="815"/>
        <w:gridCol w:w="65"/>
        <w:gridCol w:w="65"/>
        <w:gridCol w:w="116"/>
        <w:gridCol w:w="725"/>
        <w:gridCol w:w="65"/>
        <w:gridCol w:w="65"/>
        <w:gridCol w:w="116"/>
        <w:gridCol w:w="738"/>
        <w:gridCol w:w="82"/>
        <w:gridCol w:w="65"/>
        <w:gridCol w:w="116"/>
        <w:gridCol w:w="860"/>
        <w:gridCol w:w="82"/>
        <w:gridCol w:w="65"/>
        <w:gridCol w:w="115"/>
        <w:gridCol w:w="815"/>
        <w:gridCol w:w="65"/>
      </w:tblGrid>
      <w:tr w:rsidR="00000000">
        <w:trPr>
          <w:divId w:val="1988507012"/>
        </w:trPr>
        <w:tc>
          <w:tcPr>
            <w:tcW w:w="2274" w:type="pct"/>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ASSETS</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4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Parent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4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Combined Subsidiary Guarantors</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37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Non-Guarantor Subsidiaries</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4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Consolidating Adjustments and Other</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4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Total Consolidated Amounts</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1988507012"/>
        </w:trPr>
        <w:tc>
          <w:tcPr>
            <w:tcW w:w="2274" w:type="pct"/>
            <w:tcBorders>
              <w:top w:val="single" w:sz="6" w:space="0" w:color="000000"/>
            </w:tcBorders>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Cash and cash equivalents</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220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20,049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32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230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20,499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r>
      <w:tr w:rsidR="00000000">
        <w:trPr>
          <w:divId w:val="1988507012"/>
        </w:trPr>
        <w:tc>
          <w:tcPr>
            <w:tcW w:w="2274"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Restricted cash</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32,901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32,901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r>
      <w:tr w:rsidR="00000000">
        <w:trPr>
          <w:divId w:val="1988507012"/>
        </w:trPr>
        <w:tc>
          <w:tcPr>
            <w:tcW w:w="2274"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Accounts receivable, net of allowance</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204,817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495,734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1,830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(428,814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273,567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r>
      <w:tr w:rsidR="00000000">
        <w:trPr>
          <w:divId w:val="1988507012"/>
        </w:trPr>
        <w:tc>
          <w:tcPr>
            <w:tcW w:w="2274"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Prepaid expenses and other current assets</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3,288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28,169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2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1,021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(4,114</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28,364</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r>
      <w:tr w:rsidR="00000000">
        <w:trPr>
          <w:divId w:val="1988507012"/>
        </w:trPr>
        <w:tc>
          <w:tcPr>
            <w:tcW w:w="2274"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Total current assets</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208,325</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543,952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2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35,982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(432,928</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355,331</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r>
      <w:tr w:rsidR="00000000">
        <w:trPr>
          <w:divId w:val="1988507012"/>
        </w:trPr>
        <w:tc>
          <w:tcPr>
            <w:tcW w:w="2274"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Real estate and related assets:</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r>
      <w:tr w:rsidR="00000000">
        <w:trPr>
          <w:divId w:val="1988507012"/>
        </w:trPr>
        <w:tc>
          <w:tcPr>
            <w:tcW w:w="2274"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  Property and equipment, net</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2,252,514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263,499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278,754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2,794,767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r>
      <w:tr w:rsidR="00000000">
        <w:trPr>
          <w:divId w:val="1988507012"/>
        </w:trPr>
        <w:tc>
          <w:tcPr>
            <w:tcW w:w="2274"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  </w:t>
            </w:r>
            <w:r>
              <w:rPr>
                <w:color w:val="000000"/>
                <w:sz w:val="20"/>
                <w:szCs w:val="20"/>
              </w:rPr>
              <w:t>Other real estate assets</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244,479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244,479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r>
      <w:tr w:rsidR="00000000">
        <w:trPr>
          <w:divId w:val="1988507012"/>
        </w:trPr>
        <w:tc>
          <w:tcPr>
            <w:tcW w:w="2274"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Goodwill</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33,057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15,112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48,169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r>
      <w:tr w:rsidR="00000000">
        <w:trPr>
          <w:divId w:val="1988507012"/>
        </w:trPr>
        <w:tc>
          <w:tcPr>
            <w:tcW w:w="2274"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Non-current deferred tax assets</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1,153</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12,654</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1,751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(1,751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13,807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r>
      <w:tr w:rsidR="00000000">
        <w:trPr>
          <w:divId w:val="1988507012"/>
        </w:trPr>
        <w:tc>
          <w:tcPr>
            <w:tcW w:w="2274"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Other assets</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534,288</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131,794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2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37,485</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(489,740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213,827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r>
      <w:tr w:rsidR="00000000">
        <w:trPr>
          <w:divId w:val="1988507012"/>
        </w:trPr>
        <w:tc>
          <w:tcPr>
            <w:tcW w:w="2274"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Total assets</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3,273,816</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967,011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32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353,972</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(924,419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3,670,380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r>
      <w:tr w:rsidR="00000000">
        <w:trPr>
          <w:divId w:val="1988507012"/>
        </w:trPr>
        <w:tc>
          <w:tcPr>
            <w:tcW w:w="2274" w:type="pct"/>
            <w:tcBorders>
              <w:bottom w:val="single" w:sz="6" w:space="0" w:color="000000"/>
            </w:tcBorders>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LIABILITIES AND STOCKHOLDERS' EQUITY</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405"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405"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327"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405"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405"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1988507012"/>
        </w:trPr>
        <w:tc>
          <w:tcPr>
            <w:tcW w:w="2274" w:type="pct"/>
            <w:tcBorders>
              <w:top w:val="single" w:sz="6" w:space="0" w:color="000000"/>
            </w:tcBorders>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Accounts payable and accrued expenses</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405"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271,625</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405"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381,859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32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110,026</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405"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(432,893</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405"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330,617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r>
      <w:tr w:rsidR="00000000">
        <w:trPr>
          <w:divId w:val="1988507012"/>
        </w:trPr>
        <w:tc>
          <w:tcPr>
            <w:tcW w:w="2274"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Current portion of long-term debt</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9,983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2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5,465</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15,448</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r>
      <w:tr w:rsidR="00000000">
        <w:trPr>
          <w:divId w:val="1988507012"/>
        </w:trPr>
        <w:tc>
          <w:tcPr>
            <w:tcW w:w="2274"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Total current liabilities</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281,608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381,859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2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115,491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(432,893</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346,065</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r>
      <w:tr w:rsidR="00000000">
        <w:trPr>
          <w:divId w:val="1988507012"/>
        </w:trPr>
        <w:tc>
          <w:tcPr>
            <w:tcW w:w="2274"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Long-term debt, net</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1,590,001</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114,483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238,630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(115,000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1,828,114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r>
      <w:tr w:rsidR="00000000">
        <w:trPr>
          <w:divId w:val="1988507012"/>
        </w:trPr>
        <w:tc>
          <w:tcPr>
            <w:tcW w:w="2274"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Non-current deferred tax liabilities</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1,751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(1,751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r>
      <w:tr w:rsidR="00000000">
        <w:trPr>
          <w:divId w:val="1988507012"/>
        </w:trPr>
        <w:tc>
          <w:tcPr>
            <w:tcW w:w="2274"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Deferred revenue</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22,694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2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22,694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r>
      <w:tr w:rsidR="00000000">
        <w:trPr>
          <w:divId w:val="1988507012"/>
        </w:trPr>
        <w:tc>
          <w:tcPr>
            <w:tcW w:w="2274"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Other liabilities</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18,042</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73,051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2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91,093</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r>
      <w:tr w:rsidR="00000000">
        <w:trPr>
          <w:divId w:val="1988507012"/>
        </w:trPr>
        <w:tc>
          <w:tcPr>
            <w:tcW w:w="2274"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Total liabilities</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1,891,402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592,087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2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354,121</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(549,644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2,287,966</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r>
      <w:tr w:rsidR="00000000">
        <w:trPr>
          <w:divId w:val="1988507012"/>
        </w:trPr>
        <w:tc>
          <w:tcPr>
            <w:tcW w:w="2274"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2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r>
      <w:tr w:rsidR="00000000">
        <w:trPr>
          <w:divId w:val="1988507012"/>
        </w:trPr>
        <w:tc>
          <w:tcPr>
            <w:tcW w:w="2274"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Total stockholders' equity</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1,382,414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374,924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2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(149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(374,775</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1,382,414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r>
      <w:tr w:rsidR="00000000">
        <w:trPr>
          <w:divId w:val="1988507012"/>
        </w:trPr>
        <w:tc>
          <w:tcPr>
            <w:tcW w:w="2274"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Total liabilities and stockholders' equity</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3,273,816</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967,011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32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353,972</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(924,419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5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3,670,380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
                <w:szCs w:val="2"/>
              </w:rPr>
            </w:pPr>
            <w:r>
              <w:rPr>
                <w:b/>
                <w:bCs/>
                <w:color w:val="000000"/>
                <w:sz w:val="2"/>
                <w:szCs w:val="2"/>
              </w:rPr>
              <w:t> </w:t>
            </w:r>
          </w:p>
        </w:tc>
      </w:tr>
    </w:tbl>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240" w:beforeAutospacing="0" w:after="0" w:afterAutospacing="0"/>
        <w:jc w:val="center"/>
        <w:rPr>
          <w:sz w:val="20"/>
          <w:szCs w:val="20"/>
        </w:rPr>
      </w:pPr>
      <w:r>
        <w:rPr>
          <w:sz w:val="20"/>
          <w:szCs w:val="20"/>
        </w:rPr>
        <w:t>19</w:t>
      </w:r>
    </w:p>
    <w:p w:rsidR="00000000" w:rsidRDefault="00240F6E">
      <w:pPr>
        <w:rPr>
          <w:rFonts w:eastAsia="Times New Roman"/>
        </w:rPr>
      </w:pPr>
      <w:r>
        <w:rPr>
          <w:rFonts w:eastAsia="Times New Roman"/>
        </w:rPr>
        <w:pict>
          <v:rect id="_x0000_i1045" style="width:0;height:1.5pt" o:hralign="center" o:hrstd="t" o:hr="t" fillcolor="#a0a0a0" stroked="f"/>
        </w:pict>
      </w:r>
    </w:p>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0" w:beforeAutospacing="0" w:after="0" w:afterAutospacing="0"/>
        <w:jc w:val="center"/>
        <w:rPr>
          <w:b/>
          <w:bCs/>
          <w:sz w:val="20"/>
          <w:szCs w:val="20"/>
        </w:rPr>
      </w:pPr>
      <w:r>
        <w:rPr>
          <w:b/>
          <w:bCs/>
          <w:sz w:val="20"/>
          <w:szCs w:val="20"/>
        </w:rPr>
        <w:t>CONDENSED CONSOLIDATING BALANCE SHEET</w:t>
      </w:r>
    </w:p>
    <w:p w:rsidR="00000000" w:rsidRDefault="00240F6E">
      <w:pPr>
        <w:pStyle w:val="a3"/>
        <w:spacing w:before="0" w:beforeAutospacing="0" w:after="0" w:afterAutospacing="0"/>
        <w:jc w:val="center"/>
        <w:rPr>
          <w:b/>
          <w:bCs/>
          <w:sz w:val="20"/>
          <w:szCs w:val="20"/>
        </w:rPr>
      </w:pPr>
      <w:r>
        <w:rPr>
          <w:b/>
          <w:bCs/>
          <w:sz w:val="20"/>
          <w:szCs w:val="20"/>
        </w:rPr>
        <w:t>As of December 31, 2018</w:t>
      </w:r>
    </w:p>
    <w:p w:rsidR="00000000" w:rsidRDefault="00240F6E">
      <w:pPr>
        <w:pStyle w:val="a3"/>
        <w:spacing w:before="0" w:beforeAutospacing="0" w:after="0" w:afterAutospacing="0"/>
        <w:jc w:val="center"/>
        <w:rPr>
          <w:sz w:val="20"/>
          <w:szCs w:val="20"/>
        </w:rPr>
      </w:pPr>
      <w:r>
        <w:rPr>
          <w:sz w:val="20"/>
          <w:szCs w:val="20"/>
        </w:rPr>
        <w:t>(in thousands)</w:t>
      </w:r>
    </w:p>
    <w:p w:rsidR="00000000" w:rsidRDefault="00240F6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095"/>
        <w:gridCol w:w="65"/>
        <w:gridCol w:w="115"/>
        <w:gridCol w:w="815"/>
        <w:gridCol w:w="65"/>
        <w:gridCol w:w="65"/>
        <w:gridCol w:w="116"/>
        <w:gridCol w:w="723"/>
        <w:gridCol w:w="65"/>
        <w:gridCol w:w="65"/>
        <w:gridCol w:w="116"/>
        <w:gridCol w:w="755"/>
        <w:gridCol w:w="65"/>
        <w:gridCol w:w="65"/>
        <w:gridCol w:w="116"/>
        <w:gridCol w:w="858"/>
        <w:gridCol w:w="82"/>
        <w:gridCol w:w="65"/>
        <w:gridCol w:w="115"/>
        <w:gridCol w:w="815"/>
        <w:gridCol w:w="65"/>
      </w:tblGrid>
      <w:tr w:rsidR="00000000">
        <w:trPr>
          <w:divId w:val="931815119"/>
        </w:trPr>
        <w:tc>
          <w:tcPr>
            <w:tcW w:w="2239" w:type="pct"/>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ASSETS</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Parent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Combined Subsidiary Guarantors</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447" w:type="pct"/>
            <w:gridSpan w:val="2"/>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Non-</w:t>
            </w:r>
          </w:p>
          <w:p w:rsidR="00000000" w:rsidRDefault="00240F6E">
            <w:pPr>
              <w:pStyle w:val="a3"/>
              <w:spacing w:before="0" w:beforeAutospacing="0" w:after="0" w:afterAutospacing="0"/>
              <w:jc w:val="center"/>
              <w:rPr>
                <w:b/>
                <w:bCs/>
                <w:color w:val="000000"/>
                <w:sz w:val="16"/>
                <w:szCs w:val="16"/>
              </w:rPr>
            </w:pPr>
            <w:r>
              <w:rPr>
                <w:b/>
                <w:bCs/>
                <w:color w:val="000000"/>
                <w:sz w:val="16"/>
                <w:szCs w:val="16"/>
              </w:rPr>
              <w:t>Guarantor</w:t>
            </w:r>
          </w:p>
          <w:p w:rsidR="00000000" w:rsidRDefault="00240F6E">
            <w:pPr>
              <w:pStyle w:val="a3"/>
              <w:spacing w:before="0" w:beforeAutospacing="0" w:after="0" w:afterAutospacing="0"/>
              <w:jc w:val="center"/>
              <w:rPr>
                <w:b/>
                <w:bCs/>
                <w:color w:val="000000"/>
                <w:sz w:val="16"/>
                <w:szCs w:val="16"/>
              </w:rPr>
            </w:pPr>
            <w:r>
              <w:rPr>
                <w:b/>
                <w:bCs/>
                <w:color w:val="000000"/>
                <w:sz w:val="16"/>
                <w:szCs w:val="16"/>
              </w:rPr>
              <w:t>Subsidiaries</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Consolidating Adjustments and Other</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447"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Total Consolidated Amounts</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931815119"/>
        </w:trPr>
        <w:tc>
          <w:tcPr>
            <w:tcW w:w="2239" w:type="pct"/>
            <w:tcBorders>
              <w:top w:val="single" w:sz="6" w:space="0" w:color="000000"/>
            </w:tcBorders>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Cash and cash equivalents</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11,109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40,348</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9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1,345</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52,802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31815119"/>
        </w:trPr>
        <w:tc>
          <w:tcPr>
            <w:tcW w:w="223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Restricted cash</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21,335</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21,335</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31815119"/>
        </w:trPr>
        <w:tc>
          <w:tcPr>
            <w:tcW w:w="223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Accounts receivable, net of allowance</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254,766</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445,105</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1,809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(431,083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270,597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31815119"/>
        </w:trPr>
        <w:tc>
          <w:tcPr>
            <w:tcW w:w="223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Prepaid expenses and other current assets</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4,412</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26,939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1,951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(4,511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28,791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31815119"/>
        </w:trPr>
        <w:tc>
          <w:tcPr>
            <w:tcW w:w="223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Total current assets</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270,287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512,392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26,440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(435,594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373,525</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31815119"/>
        </w:trPr>
        <w:tc>
          <w:tcPr>
            <w:tcW w:w="223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Real estate and related assets:</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31815119"/>
        </w:trPr>
        <w:tc>
          <w:tcPr>
            <w:tcW w:w="223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  Property and equipment, net</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2,255,361</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310,989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264,239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2,830,589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31815119"/>
        </w:trPr>
        <w:tc>
          <w:tcPr>
            <w:tcW w:w="223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  </w:t>
            </w:r>
            <w:r>
              <w:rPr>
                <w:color w:val="000000"/>
                <w:sz w:val="20"/>
                <w:szCs w:val="20"/>
              </w:rPr>
              <w:t>Other real estate assets</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247,223</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247,223</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31815119"/>
        </w:trPr>
        <w:tc>
          <w:tcPr>
            <w:tcW w:w="223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Goodwill</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33,057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15,112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48,169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31815119"/>
        </w:trPr>
        <w:tc>
          <w:tcPr>
            <w:tcW w:w="223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Non-current deferred tax assets</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727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14,220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1,165</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(1,165</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14,947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31815119"/>
        </w:trPr>
        <w:tc>
          <w:tcPr>
            <w:tcW w:w="223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Other assets</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507,161</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61,104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38,112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(465,170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141,207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31815119"/>
        </w:trPr>
        <w:tc>
          <w:tcPr>
            <w:tcW w:w="223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Total assets</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3,313,816</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913,817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329,956</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(901,929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3,655,660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31815119"/>
        </w:trPr>
        <w:tc>
          <w:tcPr>
            <w:tcW w:w="2239" w:type="pct"/>
            <w:tcBorders>
              <w:bottom w:val="single" w:sz="6" w:space="0" w:color="000000"/>
            </w:tcBorders>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LIABILITIES AND STOCKHOLDERS' EQUITY</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397"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397"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397"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397"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0"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397" w:type="pct"/>
            <w:tcBorders>
              <w:top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931815119"/>
        </w:trPr>
        <w:tc>
          <w:tcPr>
            <w:tcW w:w="2239" w:type="pct"/>
            <w:tcBorders>
              <w:top w:val="single" w:sz="6" w:space="0" w:color="000000"/>
            </w:tcBorders>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Accounts payable and accrued expenses</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294,474</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377,699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115,661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(435,559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352,275</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31815119"/>
        </w:trPr>
        <w:tc>
          <w:tcPr>
            <w:tcW w:w="223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Current portion of long-term debt</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8,720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5,401</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14,121</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31815119"/>
        </w:trPr>
        <w:tc>
          <w:tcPr>
            <w:tcW w:w="223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Total current liabilities</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303,194</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377,699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121,062</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(435,559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366,396</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31815119"/>
        </w:trPr>
        <w:tc>
          <w:tcPr>
            <w:tcW w:w="223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Long-term debt, net</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1,579,273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114,428</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208,854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(115,000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1,787,555</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31815119"/>
        </w:trPr>
        <w:tc>
          <w:tcPr>
            <w:tcW w:w="223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Non-current deferred tax liabilities</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1,165</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(1,165</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31815119"/>
        </w:trPr>
        <w:tc>
          <w:tcPr>
            <w:tcW w:w="223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Deferred revenue</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26,102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26,102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31815119"/>
        </w:trPr>
        <w:tc>
          <w:tcPr>
            <w:tcW w:w="223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Other liabilities</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15,125</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45,423</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60,548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31815119"/>
        </w:trPr>
        <w:tc>
          <w:tcPr>
            <w:tcW w:w="223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Total liabilities</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1,898,757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563,652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329,916</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(551,724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2,240,601</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31815119"/>
        </w:trPr>
        <w:tc>
          <w:tcPr>
            <w:tcW w:w="223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31815119"/>
        </w:trPr>
        <w:tc>
          <w:tcPr>
            <w:tcW w:w="2239"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Total stockholders' equity</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1,415,059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350,165</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(350,205</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5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97"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1,415,059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931815119"/>
        </w:trPr>
        <w:tc>
          <w:tcPr>
            <w:tcW w:w="2239"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Total liabilities and stockholders' equity</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3,313,816</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913,817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329,956</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(901,929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5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9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3,655,660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
                <w:szCs w:val="2"/>
              </w:rPr>
            </w:pPr>
            <w:r>
              <w:rPr>
                <w:color w:val="000000"/>
                <w:sz w:val="2"/>
                <w:szCs w:val="2"/>
              </w:rPr>
              <w:t> </w:t>
            </w:r>
          </w:p>
        </w:tc>
      </w:tr>
    </w:tbl>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240" w:beforeAutospacing="0" w:after="0" w:afterAutospacing="0"/>
        <w:jc w:val="center"/>
        <w:rPr>
          <w:sz w:val="20"/>
          <w:szCs w:val="20"/>
        </w:rPr>
      </w:pPr>
      <w:r>
        <w:rPr>
          <w:sz w:val="20"/>
          <w:szCs w:val="20"/>
        </w:rPr>
        <w:t>20</w:t>
      </w:r>
    </w:p>
    <w:p w:rsidR="00000000" w:rsidRDefault="00240F6E">
      <w:pPr>
        <w:rPr>
          <w:rFonts w:eastAsia="Times New Roman"/>
        </w:rPr>
      </w:pPr>
      <w:r>
        <w:rPr>
          <w:rFonts w:eastAsia="Times New Roman"/>
        </w:rPr>
        <w:pict>
          <v:rect id="_x0000_i1046" style="width:0;height:1.5pt" o:hralign="center" o:hrstd="t" o:hr="t" fillcolor="#a0a0a0" stroked="f"/>
        </w:pict>
      </w:r>
    </w:p>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0" w:beforeAutospacing="0" w:after="0" w:afterAutospacing="0"/>
        <w:jc w:val="center"/>
        <w:rPr>
          <w:b/>
          <w:bCs/>
          <w:sz w:val="20"/>
          <w:szCs w:val="20"/>
        </w:rPr>
      </w:pPr>
      <w:r>
        <w:rPr>
          <w:b/>
          <w:bCs/>
          <w:sz w:val="20"/>
          <w:szCs w:val="20"/>
        </w:rPr>
        <w:t>CONDENSED CONSOLIDATING STATEMENT OF OPERATIONS</w:t>
      </w:r>
    </w:p>
    <w:p w:rsidR="00000000" w:rsidRDefault="00240F6E">
      <w:pPr>
        <w:pStyle w:val="a3"/>
        <w:spacing w:before="0" w:beforeAutospacing="0" w:after="0" w:afterAutospacing="0"/>
        <w:jc w:val="center"/>
        <w:rPr>
          <w:b/>
          <w:bCs/>
          <w:sz w:val="20"/>
          <w:szCs w:val="20"/>
        </w:rPr>
      </w:pPr>
      <w:r>
        <w:rPr>
          <w:b/>
          <w:bCs/>
          <w:sz w:val="20"/>
          <w:szCs w:val="20"/>
        </w:rPr>
        <w:t>For the three months ended March 31, 2019</w:t>
      </w:r>
    </w:p>
    <w:p w:rsidR="00000000" w:rsidRDefault="00240F6E">
      <w:pPr>
        <w:pStyle w:val="a3"/>
        <w:spacing w:before="0" w:beforeAutospacing="0" w:after="0" w:afterAutospacing="0"/>
        <w:jc w:val="center"/>
        <w:rPr>
          <w:sz w:val="20"/>
          <w:szCs w:val="20"/>
        </w:rPr>
      </w:pPr>
      <w:r>
        <w:rPr>
          <w:sz w:val="20"/>
          <w:szCs w:val="20"/>
        </w:rPr>
        <w:t>(Unaudited and in thousands)</w:t>
      </w:r>
    </w:p>
    <w:p w:rsidR="00000000" w:rsidRDefault="00240F6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193"/>
        <w:gridCol w:w="65"/>
        <w:gridCol w:w="115"/>
        <w:gridCol w:w="665"/>
        <w:gridCol w:w="82"/>
        <w:gridCol w:w="65"/>
        <w:gridCol w:w="116"/>
        <w:gridCol w:w="725"/>
        <w:gridCol w:w="82"/>
        <w:gridCol w:w="65"/>
        <w:gridCol w:w="116"/>
        <w:gridCol w:w="737"/>
        <w:gridCol w:w="82"/>
        <w:gridCol w:w="65"/>
        <w:gridCol w:w="116"/>
        <w:gridCol w:w="860"/>
        <w:gridCol w:w="82"/>
        <w:gridCol w:w="65"/>
        <w:gridCol w:w="116"/>
        <w:gridCol w:w="812"/>
        <w:gridCol w:w="82"/>
      </w:tblGrid>
      <w:tr w:rsidR="00000000">
        <w:trPr>
          <w:divId w:val="1140801261"/>
        </w:trPr>
        <w:tc>
          <w:tcPr>
            <w:tcW w:w="228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pPr>
            <w: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4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Parent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4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Combined Subsidiary Guarantors</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37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Non-Guarantor Subsidiaries</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4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Consolidating Adjustments and Other</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455"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Total Consolidated Amounts</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1140801261"/>
        </w:trPr>
        <w:tc>
          <w:tcPr>
            <w:tcW w:w="2285"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b/>
                <w:bCs/>
                <w:color w:val="000000"/>
                <w:sz w:val="20"/>
                <w:szCs w:val="20"/>
              </w:rPr>
            </w:pPr>
            <w:r>
              <w:rPr>
                <w:b/>
                <w:bCs/>
                <w:color w:val="000000"/>
                <w:sz w:val="20"/>
                <w:szCs w:val="20"/>
              </w:rPr>
              <w:t>REVENUES</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335,212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392,077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32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5,723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(248,948</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484,064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r>
      <w:tr w:rsidR="00000000">
        <w:trPr>
          <w:divId w:val="1140801261"/>
        </w:trPr>
        <w:tc>
          <w:tcPr>
            <w:tcW w:w="2285"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b/>
                <w:bCs/>
                <w:color w:val="000000"/>
                <w:sz w:val="20"/>
                <w:szCs w:val="20"/>
              </w:rPr>
            </w:pPr>
            <w:r>
              <w:rPr>
                <w:b/>
                <w:bCs/>
                <w:color w:val="000000"/>
                <w:sz w:val="20"/>
                <w:szCs w:val="20"/>
              </w:rPr>
              <w:t>EXPENSES:</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2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r>
      <w:tr w:rsidR="00000000">
        <w:trPr>
          <w:divId w:val="1140801261"/>
        </w:trPr>
        <w:tc>
          <w:tcPr>
            <w:tcW w:w="2285"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Operating</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257,493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334,995</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26"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2,292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(248,948</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345,832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r>
      <w:tr w:rsidR="00000000">
        <w:trPr>
          <w:divId w:val="1140801261"/>
        </w:trPr>
        <w:tc>
          <w:tcPr>
            <w:tcW w:w="2285"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General and administrative</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10,028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19,417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26"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29,445</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r>
      <w:tr w:rsidR="00000000">
        <w:trPr>
          <w:divId w:val="1140801261"/>
        </w:trPr>
        <w:tc>
          <w:tcPr>
            <w:tcW w:w="2285"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Depreciation and amortization</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23,284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10,315</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2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1,924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35,523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r>
      <w:tr w:rsidR="00000000">
        <w:trPr>
          <w:divId w:val="1140801261"/>
        </w:trPr>
        <w:tc>
          <w:tcPr>
            <w:tcW w:w="2285"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290,805</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364,727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26"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4,216</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(248,948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410,800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r>
      <w:tr w:rsidR="00000000">
        <w:trPr>
          <w:divId w:val="1140801261"/>
        </w:trPr>
        <w:tc>
          <w:tcPr>
            <w:tcW w:w="2285"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b/>
                <w:bCs/>
                <w:color w:val="000000"/>
                <w:sz w:val="20"/>
                <w:szCs w:val="20"/>
              </w:rPr>
            </w:pPr>
            <w:r>
              <w:rPr>
                <w:b/>
                <w:bCs/>
                <w:color w:val="000000"/>
                <w:sz w:val="20"/>
                <w:szCs w:val="20"/>
              </w:rPr>
              <w:t>OPERATING INCOME</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44,407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27,350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2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1,507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73,264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r>
      <w:tr w:rsidR="00000000">
        <w:trPr>
          <w:divId w:val="1140801261"/>
        </w:trPr>
        <w:tc>
          <w:tcPr>
            <w:tcW w:w="2285"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b/>
                <w:bCs/>
                <w:color w:val="000000"/>
                <w:sz w:val="20"/>
                <w:szCs w:val="20"/>
              </w:rPr>
            </w:pPr>
            <w:r>
              <w:rPr>
                <w:b/>
                <w:bCs/>
                <w:color w:val="000000"/>
                <w:sz w:val="20"/>
                <w:szCs w:val="20"/>
              </w:rPr>
              <w:t>OTHER (INCOME) EXPENSE:</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2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r>
      <w:tr w:rsidR="00000000">
        <w:trPr>
          <w:divId w:val="1140801261"/>
        </w:trPr>
        <w:tc>
          <w:tcPr>
            <w:tcW w:w="2285"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Interest expense, net</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18,286</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1,453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26"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1,697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21,436</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r>
      <w:tr w:rsidR="00000000">
        <w:trPr>
          <w:divId w:val="1140801261"/>
        </w:trPr>
        <w:tc>
          <w:tcPr>
            <w:tcW w:w="2285"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Other (income) expense</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(68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40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26"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32</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4</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r>
      <w:tr w:rsidR="00000000">
        <w:trPr>
          <w:divId w:val="1140801261"/>
        </w:trPr>
        <w:tc>
          <w:tcPr>
            <w:tcW w:w="2285"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18,218</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1,493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26"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1,729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21,440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r>
      <w:tr w:rsidR="00000000">
        <w:trPr>
          <w:divId w:val="1140801261"/>
        </w:trPr>
        <w:tc>
          <w:tcPr>
            <w:tcW w:w="2285"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b/>
                <w:bCs/>
                <w:color w:val="000000"/>
                <w:sz w:val="20"/>
                <w:szCs w:val="20"/>
              </w:rPr>
            </w:pPr>
            <w:r>
              <w:rPr>
                <w:b/>
                <w:bCs/>
                <w:color w:val="000000"/>
                <w:sz w:val="20"/>
                <w:szCs w:val="20"/>
              </w:rPr>
              <w:t>INCOME BEFORE INCOME TAXES</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26,189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25,857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2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(222</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51,824</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r>
      <w:tr w:rsidR="00000000">
        <w:trPr>
          <w:divId w:val="1140801261"/>
        </w:trPr>
        <w:tc>
          <w:tcPr>
            <w:tcW w:w="2285"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Income tax expense</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(529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(1,955</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2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(2,484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r>
      <w:tr w:rsidR="00000000">
        <w:trPr>
          <w:divId w:val="1140801261"/>
        </w:trPr>
        <w:tc>
          <w:tcPr>
            <w:tcW w:w="2285"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b/>
                <w:bCs/>
                <w:color w:val="000000"/>
                <w:sz w:val="20"/>
                <w:szCs w:val="20"/>
              </w:rPr>
            </w:pPr>
            <w:r>
              <w:rPr>
                <w:b/>
                <w:bCs/>
                <w:color w:val="000000"/>
                <w:sz w:val="20"/>
                <w:szCs w:val="20"/>
              </w:rPr>
              <w:t>INCOME BEFORE EQUITY IN SUBSIDIARIES</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25,660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23,902</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2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(222</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49,340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r>
      <w:tr w:rsidR="00000000">
        <w:trPr>
          <w:divId w:val="1140801261"/>
        </w:trPr>
        <w:tc>
          <w:tcPr>
            <w:tcW w:w="2285"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Income from equity in subsidiaries</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23,680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2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(23,680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5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5"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r>
      <w:tr w:rsidR="00000000">
        <w:trPr>
          <w:divId w:val="1140801261"/>
        </w:trPr>
        <w:tc>
          <w:tcPr>
            <w:tcW w:w="2285"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b/>
                <w:bCs/>
                <w:color w:val="000000"/>
                <w:sz w:val="20"/>
                <w:szCs w:val="20"/>
              </w:rPr>
            </w:pPr>
            <w:r>
              <w:rPr>
                <w:b/>
                <w:bCs/>
                <w:color w:val="000000"/>
                <w:sz w:val="20"/>
                <w:szCs w:val="20"/>
              </w:rPr>
              <w:t>NET INCOME</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49,340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23,902</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32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(222</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(23,680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5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405"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49,340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
                <w:szCs w:val="2"/>
              </w:rPr>
            </w:pPr>
            <w:r>
              <w:rPr>
                <w:b/>
                <w:bCs/>
                <w:color w:val="000000"/>
                <w:sz w:val="2"/>
                <w:szCs w:val="2"/>
              </w:rPr>
              <w:t> </w:t>
            </w:r>
          </w:p>
        </w:tc>
      </w:tr>
    </w:tbl>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240" w:beforeAutospacing="0" w:after="0" w:afterAutospacing="0"/>
        <w:jc w:val="center"/>
        <w:rPr>
          <w:sz w:val="20"/>
          <w:szCs w:val="20"/>
        </w:rPr>
      </w:pPr>
      <w:r>
        <w:rPr>
          <w:sz w:val="20"/>
          <w:szCs w:val="20"/>
        </w:rPr>
        <w:t>21</w:t>
      </w:r>
    </w:p>
    <w:p w:rsidR="00000000" w:rsidRDefault="00240F6E">
      <w:pPr>
        <w:rPr>
          <w:rFonts w:eastAsia="Times New Roman"/>
        </w:rPr>
      </w:pPr>
      <w:r>
        <w:rPr>
          <w:rFonts w:eastAsia="Times New Roman"/>
        </w:rPr>
        <w:pict>
          <v:rect id="_x0000_i1047" style="width:0;height:1.5pt" o:hralign="center" o:hrstd="t" o:hr="t" fillcolor="#a0a0a0" stroked="f"/>
        </w:pict>
      </w:r>
    </w:p>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0" w:beforeAutospacing="0" w:after="0" w:afterAutospacing="0"/>
        <w:jc w:val="center"/>
        <w:rPr>
          <w:b/>
          <w:bCs/>
          <w:sz w:val="20"/>
          <w:szCs w:val="20"/>
        </w:rPr>
      </w:pPr>
      <w:r>
        <w:rPr>
          <w:b/>
          <w:bCs/>
          <w:sz w:val="20"/>
          <w:szCs w:val="20"/>
        </w:rPr>
        <w:t>CONDENSED CONSOLIDATING STATEMENT OF OPERATIONS</w:t>
      </w:r>
    </w:p>
    <w:p w:rsidR="00000000" w:rsidRDefault="00240F6E">
      <w:pPr>
        <w:pStyle w:val="a3"/>
        <w:spacing w:before="0" w:beforeAutospacing="0" w:after="0" w:afterAutospacing="0"/>
        <w:jc w:val="center"/>
        <w:rPr>
          <w:b/>
          <w:bCs/>
          <w:sz w:val="20"/>
          <w:szCs w:val="20"/>
        </w:rPr>
      </w:pPr>
      <w:r>
        <w:rPr>
          <w:b/>
          <w:bCs/>
          <w:sz w:val="20"/>
          <w:szCs w:val="20"/>
        </w:rPr>
        <w:t>For the three months ended March 31, 2018</w:t>
      </w:r>
    </w:p>
    <w:p w:rsidR="00000000" w:rsidRDefault="00240F6E">
      <w:pPr>
        <w:pStyle w:val="a3"/>
        <w:spacing w:before="0" w:beforeAutospacing="0" w:after="0" w:afterAutospacing="0"/>
        <w:jc w:val="center"/>
        <w:rPr>
          <w:sz w:val="20"/>
          <w:szCs w:val="20"/>
        </w:rPr>
      </w:pPr>
      <w:r>
        <w:rPr>
          <w:sz w:val="20"/>
          <w:szCs w:val="20"/>
        </w:rPr>
        <w:t>(Unaudited and in thousands)</w:t>
      </w:r>
    </w:p>
    <w:p w:rsidR="00000000" w:rsidRDefault="00240F6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82"/>
        <w:gridCol w:w="65"/>
        <w:gridCol w:w="115"/>
        <w:gridCol w:w="665"/>
        <w:gridCol w:w="82"/>
        <w:gridCol w:w="65"/>
        <w:gridCol w:w="116"/>
        <w:gridCol w:w="734"/>
        <w:gridCol w:w="82"/>
        <w:gridCol w:w="65"/>
        <w:gridCol w:w="116"/>
        <w:gridCol w:w="872"/>
        <w:gridCol w:w="82"/>
        <w:gridCol w:w="65"/>
        <w:gridCol w:w="130"/>
        <w:gridCol w:w="1188"/>
        <w:gridCol w:w="82"/>
      </w:tblGrid>
      <w:tr w:rsidR="00000000">
        <w:trPr>
          <w:divId w:val="1495418484"/>
        </w:trPr>
        <w:tc>
          <w:tcPr>
            <w:tcW w:w="252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pPr>
            <w:r>
              <w:t> </w:t>
            </w:r>
          </w:p>
        </w:tc>
        <w:tc>
          <w:tcPr>
            <w:tcW w:w="58"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Parent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Combined</w:t>
            </w:r>
          </w:p>
          <w:p w:rsidR="00000000" w:rsidRDefault="00240F6E">
            <w:pPr>
              <w:pStyle w:val="a3"/>
              <w:spacing w:before="0" w:beforeAutospacing="0" w:after="0" w:afterAutospacing="0"/>
              <w:jc w:val="center"/>
              <w:rPr>
                <w:b/>
                <w:bCs/>
                <w:color w:val="000000"/>
                <w:sz w:val="16"/>
                <w:szCs w:val="16"/>
              </w:rPr>
            </w:pPr>
            <w:r>
              <w:rPr>
                <w:b/>
                <w:bCs/>
                <w:color w:val="000000"/>
                <w:sz w:val="16"/>
                <w:szCs w:val="16"/>
              </w:rPr>
              <w:t>Subsidiary</w:t>
            </w:r>
          </w:p>
          <w:p w:rsidR="00000000" w:rsidRDefault="00240F6E">
            <w:pPr>
              <w:pStyle w:val="a3"/>
              <w:spacing w:before="0" w:beforeAutospacing="0" w:after="0" w:afterAutospacing="0"/>
              <w:jc w:val="center"/>
              <w:rPr>
                <w:b/>
                <w:bCs/>
                <w:color w:val="000000"/>
                <w:sz w:val="16"/>
                <w:szCs w:val="16"/>
              </w:rPr>
            </w:pPr>
            <w:r>
              <w:rPr>
                <w:b/>
                <w:bCs/>
                <w:color w:val="000000"/>
                <w:sz w:val="16"/>
                <w:szCs w:val="16"/>
              </w:rPr>
              <w:t>Guarantors</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Consolidating</w:t>
            </w:r>
          </w:p>
          <w:p w:rsidR="00000000" w:rsidRDefault="00240F6E">
            <w:pPr>
              <w:pStyle w:val="a3"/>
              <w:spacing w:before="0" w:beforeAutospacing="0" w:after="0" w:afterAutospacing="0"/>
              <w:jc w:val="center"/>
              <w:rPr>
                <w:b/>
                <w:bCs/>
                <w:color w:val="000000"/>
                <w:sz w:val="16"/>
                <w:szCs w:val="16"/>
              </w:rPr>
            </w:pPr>
            <w:r>
              <w:rPr>
                <w:b/>
                <w:bCs/>
                <w:color w:val="000000"/>
                <w:sz w:val="16"/>
                <w:szCs w:val="16"/>
              </w:rPr>
              <w:t>Adjustments</w:t>
            </w:r>
          </w:p>
          <w:p w:rsidR="00000000" w:rsidRDefault="00240F6E">
            <w:pPr>
              <w:pStyle w:val="a3"/>
              <w:spacing w:before="0" w:beforeAutospacing="0" w:after="0" w:afterAutospacing="0"/>
              <w:jc w:val="center"/>
              <w:rPr>
                <w:b/>
                <w:bCs/>
                <w:color w:val="000000"/>
                <w:sz w:val="16"/>
                <w:szCs w:val="16"/>
              </w:rPr>
            </w:pPr>
            <w:r>
              <w:rPr>
                <w:b/>
                <w:bCs/>
                <w:color w:val="000000"/>
                <w:sz w:val="16"/>
                <w:szCs w:val="16"/>
              </w:rPr>
              <w:t>and Other</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8"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Total Consolidated</w:t>
            </w:r>
          </w:p>
          <w:p w:rsidR="00000000" w:rsidRDefault="00240F6E">
            <w:pPr>
              <w:pStyle w:val="a3"/>
              <w:spacing w:before="0" w:beforeAutospacing="0" w:after="0" w:afterAutospacing="0"/>
              <w:jc w:val="center"/>
              <w:rPr>
                <w:b/>
                <w:bCs/>
                <w:color w:val="000000"/>
                <w:sz w:val="16"/>
                <w:szCs w:val="16"/>
              </w:rPr>
            </w:pPr>
            <w:r>
              <w:rPr>
                <w:b/>
                <w:bCs/>
                <w:color w:val="000000"/>
                <w:sz w:val="16"/>
                <w:szCs w:val="16"/>
              </w:rPr>
              <w:t>Amounts</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1495418484"/>
        </w:trPr>
        <w:tc>
          <w:tcPr>
            <w:tcW w:w="2527"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b/>
                <w:bCs/>
                <w:color w:val="000000"/>
                <w:sz w:val="20"/>
                <w:szCs w:val="20"/>
              </w:rPr>
            </w:pPr>
            <w:r>
              <w:rPr>
                <w:b/>
                <w:bCs/>
                <w:color w:val="000000"/>
                <w:sz w:val="20"/>
                <w:szCs w:val="20"/>
              </w:rPr>
              <w:t>REVENUES</w:t>
            </w:r>
          </w:p>
        </w:tc>
        <w:tc>
          <w:tcPr>
            <w:tcW w:w="58"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307,529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366,685</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(233,298</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58"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440,916</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495418484"/>
        </w:trPr>
        <w:tc>
          <w:tcPr>
            <w:tcW w:w="252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b/>
                <w:bCs/>
                <w:color w:val="000000"/>
                <w:sz w:val="20"/>
                <w:szCs w:val="20"/>
              </w:rPr>
            </w:pPr>
            <w:r>
              <w:rPr>
                <w:b/>
                <w:bCs/>
                <w:color w:val="000000"/>
                <w:sz w:val="20"/>
                <w:szCs w:val="20"/>
              </w:rPr>
              <w:t>EXPENSES:</w:t>
            </w:r>
          </w:p>
        </w:tc>
        <w:tc>
          <w:tcPr>
            <w:tcW w:w="58"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495418484"/>
        </w:trPr>
        <w:tc>
          <w:tcPr>
            <w:tcW w:w="2527"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Operating</w:t>
            </w:r>
          </w:p>
        </w:tc>
        <w:tc>
          <w:tcPr>
            <w:tcW w:w="58"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242,185</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310,264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(233,298</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58"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319,151</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495418484"/>
        </w:trPr>
        <w:tc>
          <w:tcPr>
            <w:tcW w:w="252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General and administrative</w:t>
            </w:r>
          </w:p>
        </w:tc>
        <w:tc>
          <w:tcPr>
            <w:tcW w:w="58"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8,235</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16,736</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24,971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495418484"/>
        </w:trPr>
        <w:tc>
          <w:tcPr>
            <w:tcW w:w="2527"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Depreciation and amortization</w:t>
            </w:r>
          </w:p>
        </w:tc>
        <w:tc>
          <w:tcPr>
            <w:tcW w:w="58"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22,533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15,556</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38,089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495418484"/>
        </w:trPr>
        <w:tc>
          <w:tcPr>
            <w:tcW w:w="252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272,953</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342,556</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(233,298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382,211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495418484"/>
        </w:trPr>
        <w:tc>
          <w:tcPr>
            <w:tcW w:w="2527"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b/>
                <w:bCs/>
                <w:color w:val="000000"/>
                <w:sz w:val="20"/>
                <w:szCs w:val="20"/>
              </w:rPr>
            </w:pPr>
            <w:r>
              <w:rPr>
                <w:b/>
                <w:bCs/>
                <w:color w:val="000000"/>
                <w:sz w:val="20"/>
                <w:szCs w:val="20"/>
              </w:rPr>
              <w:t>OPERATING INCOME</w:t>
            </w:r>
          </w:p>
        </w:tc>
        <w:tc>
          <w:tcPr>
            <w:tcW w:w="58"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34,576</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24,129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58,705</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495418484"/>
        </w:trPr>
        <w:tc>
          <w:tcPr>
            <w:tcW w:w="252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b/>
                <w:bCs/>
                <w:color w:val="000000"/>
                <w:sz w:val="20"/>
                <w:szCs w:val="20"/>
              </w:rPr>
            </w:pPr>
            <w:r>
              <w:rPr>
                <w:b/>
                <w:bCs/>
                <w:color w:val="000000"/>
                <w:sz w:val="20"/>
                <w:szCs w:val="20"/>
              </w:rPr>
              <w:t>OTHER (INCOME) EXPENSE:</w:t>
            </w:r>
          </w:p>
        </w:tc>
        <w:tc>
          <w:tcPr>
            <w:tcW w:w="58"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495418484"/>
        </w:trPr>
        <w:tc>
          <w:tcPr>
            <w:tcW w:w="2527"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Interest expense, net</w:t>
            </w:r>
          </w:p>
        </w:tc>
        <w:tc>
          <w:tcPr>
            <w:tcW w:w="58"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16,177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2,859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19,036</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495418484"/>
        </w:trPr>
        <w:tc>
          <w:tcPr>
            <w:tcW w:w="252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Other (income) expense</w:t>
            </w:r>
          </w:p>
        </w:tc>
        <w:tc>
          <w:tcPr>
            <w:tcW w:w="58"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(118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(43</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r>
      <w:tr w:rsidR="00000000">
        <w:trPr>
          <w:divId w:val="1495418484"/>
        </w:trPr>
        <w:tc>
          <w:tcPr>
            <w:tcW w:w="2527"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16,059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2,917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18,993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495418484"/>
        </w:trPr>
        <w:tc>
          <w:tcPr>
            <w:tcW w:w="252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b/>
                <w:bCs/>
                <w:color w:val="000000"/>
                <w:sz w:val="20"/>
                <w:szCs w:val="20"/>
              </w:rPr>
            </w:pPr>
            <w:r>
              <w:rPr>
                <w:b/>
                <w:bCs/>
                <w:color w:val="000000"/>
                <w:sz w:val="20"/>
                <w:szCs w:val="20"/>
              </w:rPr>
              <w:t>INCOME BEFORE INCOME TAXES</w:t>
            </w:r>
          </w:p>
        </w:tc>
        <w:tc>
          <w:tcPr>
            <w:tcW w:w="58"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18,517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21,212</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39,712</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495418484"/>
        </w:trPr>
        <w:tc>
          <w:tcPr>
            <w:tcW w:w="2527"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Income tax expense</w:t>
            </w:r>
          </w:p>
        </w:tc>
        <w:tc>
          <w:tcPr>
            <w:tcW w:w="58"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(423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58"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(1,512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58"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(1,935</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r>
      <w:tr w:rsidR="00000000">
        <w:trPr>
          <w:divId w:val="1495418484"/>
        </w:trPr>
        <w:tc>
          <w:tcPr>
            <w:tcW w:w="252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b/>
                <w:bCs/>
                <w:color w:val="000000"/>
                <w:sz w:val="20"/>
                <w:szCs w:val="20"/>
              </w:rPr>
            </w:pPr>
            <w:r>
              <w:rPr>
                <w:b/>
                <w:bCs/>
                <w:color w:val="000000"/>
                <w:sz w:val="20"/>
                <w:szCs w:val="20"/>
              </w:rPr>
              <w:t>INCOME BEFORE EQUITY IN SUBSIDIARIES</w:t>
            </w:r>
          </w:p>
        </w:tc>
        <w:tc>
          <w:tcPr>
            <w:tcW w:w="58"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18,094</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19,700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37,777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495418484"/>
        </w:trPr>
        <w:tc>
          <w:tcPr>
            <w:tcW w:w="2527"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Income from equity in subsidiaries</w:t>
            </w:r>
          </w:p>
        </w:tc>
        <w:tc>
          <w:tcPr>
            <w:tcW w:w="58"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19,683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8"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(19,683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58"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495418484"/>
        </w:trPr>
        <w:tc>
          <w:tcPr>
            <w:tcW w:w="252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b/>
                <w:bCs/>
                <w:color w:val="000000"/>
                <w:sz w:val="20"/>
                <w:szCs w:val="20"/>
              </w:rPr>
            </w:pPr>
            <w:r>
              <w:rPr>
                <w:b/>
                <w:bCs/>
                <w:color w:val="000000"/>
                <w:sz w:val="20"/>
                <w:szCs w:val="20"/>
              </w:rPr>
              <w:t>NET INCOME</w:t>
            </w:r>
          </w:p>
        </w:tc>
        <w:tc>
          <w:tcPr>
            <w:tcW w:w="58"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37,777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19,700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8"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(19,700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58"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37,777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
                <w:szCs w:val="2"/>
              </w:rPr>
            </w:pPr>
            <w:r>
              <w:rPr>
                <w:color w:val="000000"/>
                <w:sz w:val="2"/>
                <w:szCs w:val="2"/>
              </w:rPr>
              <w:t> </w:t>
            </w:r>
          </w:p>
        </w:tc>
      </w:tr>
    </w:tbl>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240" w:beforeAutospacing="0" w:after="0" w:afterAutospacing="0"/>
        <w:jc w:val="center"/>
        <w:rPr>
          <w:sz w:val="20"/>
          <w:szCs w:val="20"/>
        </w:rPr>
      </w:pPr>
      <w:r>
        <w:rPr>
          <w:sz w:val="20"/>
          <w:szCs w:val="20"/>
        </w:rPr>
        <w:t>22</w:t>
      </w:r>
    </w:p>
    <w:p w:rsidR="00000000" w:rsidRDefault="00240F6E">
      <w:pPr>
        <w:rPr>
          <w:rFonts w:eastAsia="Times New Roman"/>
        </w:rPr>
      </w:pPr>
      <w:r>
        <w:rPr>
          <w:rFonts w:eastAsia="Times New Roman"/>
        </w:rPr>
        <w:pict>
          <v:rect id="_x0000_i1048" style="width:0;height:1.5pt" o:hralign="center" o:hrstd="t" o:hr="t" fillcolor="#a0a0a0" stroked="f"/>
        </w:pict>
      </w:r>
    </w:p>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0" w:beforeAutospacing="0" w:after="0" w:afterAutospacing="0"/>
        <w:jc w:val="center"/>
        <w:rPr>
          <w:b/>
          <w:bCs/>
          <w:sz w:val="20"/>
          <w:szCs w:val="20"/>
        </w:rPr>
      </w:pPr>
      <w:r>
        <w:rPr>
          <w:b/>
          <w:bCs/>
          <w:sz w:val="20"/>
          <w:szCs w:val="20"/>
        </w:rPr>
        <w:t>CONDENSED CONSOLIDATING STATEMENT OF CASH FLOWS</w:t>
      </w:r>
    </w:p>
    <w:p w:rsidR="00000000" w:rsidRDefault="00240F6E">
      <w:pPr>
        <w:pStyle w:val="a3"/>
        <w:spacing w:before="0" w:beforeAutospacing="0" w:after="0" w:afterAutospacing="0"/>
        <w:jc w:val="center"/>
        <w:rPr>
          <w:b/>
          <w:bCs/>
          <w:sz w:val="20"/>
          <w:szCs w:val="20"/>
        </w:rPr>
      </w:pPr>
      <w:r>
        <w:rPr>
          <w:b/>
          <w:bCs/>
          <w:sz w:val="20"/>
          <w:szCs w:val="20"/>
        </w:rPr>
        <w:t>For the three months ended March 31, 2019</w:t>
      </w:r>
    </w:p>
    <w:p w:rsidR="00000000" w:rsidRDefault="00240F6E">
      <w:pPr>
        <w:pStyle w:val="a3"/>
        <w:spacing w:before="0" w:beforeAutospacing="0" w:after="0" w:afterAutospacing="0"/>
        <w:jc w:val="center"/>
        <w:rPr>
          <w:sz w:val="20"/>
          <w:szCs w:val="20"/>
        </w:rPr>
      </w:pPr>
      <w:r>
        <w:rPr>
          <w:sz w:val="20"/>
          <w:szCs w:val="20"/>
        </w:rPr>
        <w:t>(Unaudited and in thousands)</w:t>
      </w:r>
    </w:p>
    <w:p w:rsidR="00000000" w:rsidRDefault="00240F6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837"/>
        <w:gridCol w:w="65"/>
        <w:gridCol w:w="115"/>
        <w:gridCol w:w="632"/>
        <w:gridCol w:w="82"/>
        <w:gridCol w:w="65"/>
        <w:gridCol w:w="116"/>
        <w:gridCol w:w="725"/>
        <w:gridCol w:w="82"/>
        <w:gridCol w:w="65"/>
        <w:gridCol w:w="116"/>
        <w:gridCol w:w="736"/>
        <w:gridCol w:w="82"/>
        <w:gridCol w:w="65"/>
        <w:gridCol w:w="116"/>
        <w:gridCol w:w="860"/>
        <w:gridCol w:w="82"/>
        <w:gridCol w:w="65"/>
        <w:gridCol w:w="145"/>
        <w:gridCol w:w="1173"/>
        <w:gridCol w:w="82"/>
      </w:tblGrid>
      <w:tr w:rsidR="00000000">
        <w:trPr>
          <w:divId w:val="517546070"/>
        </w:trPr>
        <w:tc>
          <w:tcPr>
            <w:tcW w:w="228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pPr>
            <w:r>
              <w:t> </w:t>
            </w:r>
          </w:p>
        </w:tc>
        <w:tc>
          <w:tcPr>
            <w:tcW w:w="53"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45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Parent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45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Combined</w:t>
            </w:r>
          </w:p>
          <w:p w:rsidR="00000000" w:rsidRDefault="00240F6E">
            <w:pPr>
              <w:pStyle w:val="a3"/>
              <w:spacing w:before="0" w:beforeAutospacing="0" w:after="0" w:afterAutospacing="0"/>
              <w:jc w:val="center"/>
              <w:rPr>
                <w:b/>
                <w:bCs/>
                <w:color w:val="000000"/>
                <w:sz w:val="16"/>
                <w:szCs w:val="16"/>
              </w:rPr>
            </w:pPr>
            <w:r>
              <w:rPr>
                <w:b/>
                <w:bCs/>
                <w:color w:val="000000"/>
                <w:sz w:val="16"/>
                <w:szCs w:val="16"/>
              </w:rPr>
              <w:t>Subsidiary</w:t>
            </w:r>
          </w:p>
          <w:p w:rsidR="00000000" w:rsidRDefault="00240F6E">
            <w:pPr>
              <w:pStyle w:val="a3"/>
              <w:spacing w:before="0" w:beforeAutospacing="0" w:after="0" w:afterAutospacing="0"/>
              <w:jc w:val="center"/>
              <w:rPr>
                <w:b/>
                <w:bCs/>
                <w:color w:val="000000"/>
                <w:sz w:val="16"/>
                <w:szCs w:val="16"/>
              </w:rPr>
            </w:pPr>
            <w:r>
              <w:rPr>
                <w:b/>
                <w:bCs/>
                <w:color w:val="000000"/>
                <w:sz w:val="16"/>
                <w:szCs w:val="16"/>
              </w:rPr>
              <w:t>Guarantors</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371"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Non-Guarantor Subsidiaries</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45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Consolidating</w:t>
            </w:r>
          </w:p>
          <w:p w:rsidR="00000000" w:rsidRDefault="00240F6E">
            <w:pPr>
              <w:pStyle w:val="a3"/>
              <w:spacing w:before="0" w:beforeAutospacing="0" w:after="0" w:afterAutospacing="0"/>
              <w:jc w:val="center"/>
              <w:rPr>
                <w:b/>
                <w:bCs/>
                <w:color w:val="000000"/>
                <w:sz w:val="16"/>
                <w:szCs w:val="16"/>
              </w:rPr>
            </w:pPr>
            <w:r>
              <w:rPr>
                <w:b/>
                <w:bCs/>
                <w:color w:val="000000"/>
                <w:sz w:val="16"/>
                <w:szCs w:val="16"/>
              </w:rPr>
              <w:t>Adjustments</w:t>
            </w:r>
          </w:p>
          <w:p w:rsidR="00000000" w:rsidRDefault="00240F6E">
            <w:pPr>
              <w:pStyle w:val="a3"/>
              <w:spacing w:before="0" w:beforeAutospacing="0" w:after="0" w:afterAutospacing="0"/>
              <w:jc w:val="center"/>
              <w:rPr>
                <w:b/>
                <w:bCs/>
                <w:color w:val="000000"/>
                <w:sz w:val="16"/>
                <w:szCs w:val="16"/>
              </w:rPr>
            </w:pPr>
            <w:r>
              <w:rPr>
                <w:b/>
                <w:bCs/>
                <w:color w:val="000000"/>
                <w:sz w:val="16"/>
                <w:szCs w:val="16"/>
              </w:rPr>
              <w:t>And Other</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3"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456"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Total Consolidated</w:t>
            </w:r>
          </w:p>
          <w:p w:rsidR="00000000" w:rsidRDefault="00240F6E">
            <w:pPr>
              <w:pStyle w:val="a3"/>
              <w:spacing w:before="0" w:beforeAutospacing="0" w:after="0" w:afterAutospacing="0"/>
              <w:jc w:val="center"/>
              <w:rPr>
                <w:b/>
                <w:bCs/>
                <w:color w:val="000000"/>
                <w:sz w:val="16"/>
                <w:szCs w:val="16"/>
              </w:rPr>
            </w:pPr>
            <w:r>
              <w:rPr>
                <w:b/>
                <w:bCs/>
                <w:color w:val="000000"/>
                <w:sz w:val="16"/>
                <w:szCs w:val="16"/>
              </w:rPr>
              <w:t>Amounts</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517546070"/>
        </w:trPr>
        <w:tc>
          <w:tcPr>
            <w:tcW w:w="2287"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Net cash provided by operating activities</w:t>
            </w:r>
          </w:p>
        </w:tc>
        <w:tc>
          <w:tcPr>
            <w:tcW w:w="53"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40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54,278</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40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20,642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321"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2,903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40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406"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77,823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r>
      <w:tr w:rsidR="00000000">
        <w:trPr>
          <w:divId w:val="517546070"/>
        </w:trPr>
        <w:tc>
          <w:tcPr>
            <w:tcW w:w="228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Net cash provided by (used in) investing activities</w:t>
            </w:r>
          </w:p>
        </w:tc>
        <w:tc>
          <w:tcPr>
            <w:tcW w:w="53"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6"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16,075</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6"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(71,605</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53"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21"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(22,280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53"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6"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(190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53"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6"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(78,000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r>
      <w:tr w:rsidR="00000000">
        <w:trPr>
          <w:divId w:val="517546070"/>
        </w:trPr>
        <w:tc>
          <w:tcPr>
            <w:tcW w:w="2287"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Net cash provided by (used in) financing activities</w:t>
            </w:r>
          </w:p>
        </w:tc>
        <w:tc>
          <w:tcPr>
            <w:tcW w:w="53"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(81,242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53"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30,664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2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29,828</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190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(20,560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r>
      <w:tr w:rsidR="00000000">
        <w:trPr>
          <w:divId w:val="517546070"/>
        </w:trPr>
        <w:tc>
          <w:tcPr>
            <w:tcW w:w="228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Net increase (decrease) in cash, cash equivalents and</w:t>
            </w:r>
          </w:p>
          <w:p w:rsidR="00000000" w:rsidRDefault="00240F6E">
            <w:pPr>
              <w:pStyle w:val="a3"/>
              <w:spacing w:before="0" w:beforeAutospacing="0" w:after="0" w:afterAutospacing="0"/>
              <w:rPr>
                <w:color w:val="000000"/>
                <w:sz w:val="20"/>
                <w:szCs w:val="20"/>
              </w:rPr>
            </w:pPr>
            <w:r>
              <w:rPr>
                <w:color w:val="000000"/>
                <w:sz w:val="20"/>
                <w:szCs w:val="20"/>
              </w:rPr>
              <w:t>   restricted cash</w:t>
            </w:r>
          </w:p>
        </w:tc>
        <w:tc>
          <w:tcPr>
            <w:tcW w:w="53"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(10,889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53"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(20,299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53"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21"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10,451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6"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(20,737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r>
      <w:tr w:rsidR="00000000">
        <w:trPr>
          <w:divId w:val="517546070"/>
        </w:trPr>
        <w:tc>
          <w:tcPr>
            <w:tcW w:w="2287"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CASH, CASH EQUIVALENTS AND RESTRICTED</w:t>
            </w:r>
          </w:p>
          <w:p w:rsidR="00000000" w:rsidRDefault="00240F6E">
            <w:pPr>
              <w:pStyle w:val="a3"/>
              <w:spacing w:before="0" w:beforeAutospacing="0" w:after="0" w:afterAutospacing="0"/>
              <w:rPr>
                <w:color w:val="000000"/>
                <w:sz w:val="20"/>
                <w:szCs w:val="20"/>
              </w:rPr>
            </w:pPr>
            <w:r>
              <w:rPr>
                <w:color w:val="000000"/>
                <w:sz w:val="20"/>
                <w:szCs w:val="20"/>
              </w:rPr>
              <w:t>   CASH, beginning of period</w:t>
            </w:r>
          </w:p>
        </w:tc>
        <w:tc>
          <w:tcPr>
            <w:tcW w:w="53"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11,109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40,348</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21"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22,680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06"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74,137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r>
      <w:tr w:rsidR="00000000">
        <w:trPr>
          <w:divId w:val="517546070"/>
        </w:trPr>
        <w:tc>
          <w:tcPr>
            <w:tcW w:w="228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CASH, CASH EQUIVALENTS AND RESTRICTED</w:t>
            </w:r>
          </w:p>
          <w:p w:rsidR="00000000" w:rsidRDefault="00240F6E">
            <w:pPr>
              <w:pStyle w:val="a3"/>
              <w:spacing w:before="0" w:beforeAutospacing="0" w:after="0" w:afterAutospacing="0"/>
              <w:rPr>
                <w:color w:val="000000"/>
                <w:sz w:val="20"/>
                <w:szCs w:val="20"/>
              </w:rPr>
            </w:pPr>
            <w:r>
              <w:rPr>
                <w:color w:val="000000"/>
                <w:sz w:val="20"/>
                <w:szCs w:val="20"/>
              </w:rPr>
              <w:t>   CASH, end of period</w:t>
            </w:r>
          </w:p>
        </w:tc>
        <w:tc>
          <w:tcPr>
            <w:tcW w:w="53"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40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220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40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20,049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321"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33,131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40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3"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406"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53,400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
                <w:szCs w:val="2"/>
              </w:rPr>
            </w:pPr>
            <w:r>
              <w:rPr>
                <w:b/>
                <w:bCs/>
                <w:color w:val="000000"/>
                <w:sz w:val="2"/>
                <w:szCs w:val="2"/>
              </w:rPr>
              <w:t> </w:t>
            </w:r>
          </w:p>
        </w:tc>
      </w:tr>
    </w:tbl>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0" w:beforeAutospacing="0" w:after="0" w:afterAutospacing="0"/>
        <w:jc w:val="center"/>
        <w:rPr>
          <w:sz w:val="20"/>
          <w:szCs w:val="20"/>
        </w:rPr>
      </w:pPr>
      <w:r>
        <w:rPr>
          <w:sz w:val="20"/>
          <w:szCs w:val="20"/>
        </w:rPr>
        <w:t> </w:t>
      </w:r>
    </w:p>
    <w:p w:rsidR="00000000" w:rsidRDefault="00240F6E">
      <w:pPr>
        <w:pStyle w:val="a3"/>
        <w:spacing w:before="0" w:beforeAutospacing="0" w:after="0" w:afterAutospacing="0"/>
        <w:jc w:val="center"/>
        <w:rPr>
          <w:b/>
          <w:bCs/>
          <w:sz w:val="20"/>
          <w:szCs w:val="20"/>
        </w:rPr>
      </w:pPr>
      <w:r>
        <w:rPr>
          <w:b/>
          <w:bCs/>
          <w:sz w:val="20"/>
          <w:szCs w:val="20"/>
        </w:rPr>
        <w:t>CONDENSED CONSOLIDATING STATEMENT OF CASH FLOWS</w:t>
      </w:r>
    </w:p>
    <w:p w:rsidR="00000000" w:rsidRDefault="00240F6E">
      <w:pPr>
        <w:pStyle w:val="a3"/>
        <w:spacing w:before="0" w:beforeAutospacing="0" w:after="0" w:afterAutospacing="0"/>
        <w:jc w:val="center"/>
        <w:rPr>
          <w:b/>
          <w:bCs/>
          <w:sz w:val="20"/>
          <w:szCs w:val="20"/>
        </w:rPr>
      </w:pPr>
      <w:r>
        <w:rPr>
          <w:b/>
          <w:bCs/>
          <w:sz w:val="20"/>
          <w:szCs w:val="20"/>
        </w:rPr>
        <w:t>For the three months ended March 31, 2018</w:t>
      </w:r>
    </w:p>
    <w:p w:rsidR="00000000" w:rsidRDefault="00240F6E">
      <w:pPr>
        <w:pStyle w:val="a3"/>
        <w:spacing w:before="0" w:beforeAutospacing="0" w:after="0" w:afterAutospacing="0"/>
        <w:jc w:val="center"/>
        <w:rPr>
          <w:sz w:val="20"/>
          <w:szCs w:val="20"/>
        </w:rPr>
      </w:pPr>
      <w:r>
        <w:rPr>
          <w:sz w:val="20"/>
          <w:szCs w:val="20"/>
        </w:rPr>
        <w:t>(Unaudited and in thousands)</w:t>
      </w:r>
    </w:p>
    <w:p w:rsidR="00000000" w:rsidRDefault="00240F6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99"/>
        <w:gridCol w:w="65"/>
        <w:gridCol w:w="115"/>
        <w:gridCol w:w="665"/>
        <w:gridCol w:w="82"/>
        <w:gridCol w:w="65"/>
        <w:gridCol w:w="116"/>
        <w:gridCol w:w="734"/>
        <w:gridCol w:w="82"/>
        <w:gridCol w:w="65"/>
        <w:gridCol w:w="116"/>
        <w:gridCol w:w="872"/>
        <w:gridCol w:w="65"/>
        <w:gridCol w:w="65"/>
        <w:gridCol w:w="130"/>
        <w:gridCol w:w="1188"/>
        <w:gridCol w:w="82"/>
      </w:tblGrid>
      <w:tr w:rsidR="00000000">
        <w:trPr>
          <w:divId w:val="268512072"/>
        </w:trPr>
        <w:tc>
          <w:tcPr>
            <w:tcW w:w="251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pPr>
            <w:r>
              <w:t> </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Parent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Combined</w:t>
            </w:r>
          </w:p>
          <w:p w:rsidR="00000000" w:rsidRDefault="00240F6E">
            <w:pPr>
              <w:pStyle w:val="a3"/>
              <w:spacing w:before="0" w:beforeAutospacing="0" w:after="0" w:afterAutospacing="0"/>
              <w:jc w:val="center"/>
              <w:rPr>
                <w:b/>
                <w:bCs/>
                <w:color w:val="000000"/>
                <w:sz w:val="16"/>
                <w:szCs w:val="16"/>
              </w:rPr>
            </w:pPr>
            <w:r>
              <w:rPr>
                <w:b/>
                <w:bCs/>
                <w:color w:val="000000"/>
                <w:sz w:val="16"/>
                <w:szCs w:val="16"/>
              </w:rPr>
              <w:t>Subsidiary</w:t>
            </w:r>
          </w:p>
          <w:p w:rsidR="00000000" w:rsidRDefault="00240F6E">
            <w:pPr>
              <w:pStyle w:val="a3"/>
              <w:spacing w:before="0" w:beforeAutospacing="0" w:after="0" w:afterAutospacing="0"/>
              <w:jc w:val="center"/>
              <w:rPr>
                <w:b/>
                <w:bCs/>
                <w:color w:val="000000"/>
                <w:sz w:val="16"/>
                <w:szCs w:val="16"/>
              </w:rPr>
            </w:pPr>
            <w:r>
              <w:rPr>
                <w:b/>
                <w:bCs/>
                <w:color w:val="000000"/>
                <w:sz w:val="16"/>
                <w:szCs w:val="16"/>
              </w:rPr>
              <w:t>Guarantors</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Consolidating Adjustments</w:t>
            </w:r>
          </w:p>
          <w:p w:rsidR="00000000" w:rsidRDefault="00240F6E">
            <w:pPr>
              <w:pStyle w:val="a3"/>
              <w:spacing w:before="0" w:beforeAutospacing="0" w:after="0" w:afterAutospacing="0"/>
              <w:jc w:val="center"/>
              <w:rPr>
                <w:b/>
                <w:bCs/>
                <w:color w:val="000000"/>
                <w:sz w:val="16"/>
                <w:szCs w:val="16"/>
              </w:rPr>
            </w:pPr>
            <w:r>
              <w:rPr>
                <w:b/>
                <w:bCs/>
                <w:color w:val="000000"/>
                <w:sz w:val="16"/>
                <w:szCs w:val="16"/>
              </w:rPr>
              <w:t>And Other</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Total </w:t>
            </w:r>
            <w:r>
              <w:rPr>
                <w:b/>
                <w:bCs/>
                <w:color w:val="000000"/>
                <w:sz w:val="16"/>
                <w:szCs w:val="16"/>
              </w:rPr>
              <w:t>Consolidated</w:t>
            </w:r>
          </w:p>
          <w:p w:rsidR="00000000" w:rsidRDefault="00240F6E">
            <w:pPr>
              <w:pStyle w:val="a3"/>
              <w:spacing w:before="0" w:beforeAutospacing="0" w:after="0" w:afterAutospacing="0"/>
              <w:jc w:val="center"/>
              <w:rPr>
                <w:b/>
                <w:bCs/>
                <w:color w:val="000000"/>
                <w:sz w:val="16"/>
                <w:szCs w:val="16"/>
              </w:rPr>
            </w:pPr>
            <w:r>
              <w:rPr>
                <w:b/>
                <w:bCs/>
                <w:color w:val="000000"/>
                <w:sz w:val="16"/>
                <w:szCs w:val="16"/>
              </w:rPr>
              <w:t>Amounts</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268512072"/>
        </w:trPr>
        <w:tc>
          <w:tcPr>
            <w:tcW w:w="2517"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Net cash provided by operating activities</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120,543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(12,064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108,479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268512072"/>
        </w:trPr>
        <w:tc>
          <w:tcPr>
            <w:tcW w:w="251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Net cash provided by (used in) investing activities</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(80,955</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11,105</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(69,850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r>
      <w:tr w:rsidR="00000000">
        <w:trPr>
          <w:divId w:val="268512072"/>
        </w:trPr>
        <w:tc>
          <w:tcPr>
            <w:tcW w:w="2517"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Net cash used in financing activities</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(29,913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(4,499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(34,412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r>
      <w:tr w:rsidR="00000000">
        <w:trPr>
          <w:divId w:val="268512072"/>
        </w:trPr>
        <w:tc>
          <w:tcPr>
            <w:tcW w:w="251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Net increase (decrease) in cash, cash equivalents and</w:t>
            </w:r>
          </w:p>
          <w:p w:rsidR="00000000" w:rsidRDefault="00240F6E">
            <w:pPr>
              <w:pStyle w:val="a3"/>
              <w:spacing w:before="0" w:beforeAutospacing="0" w:after="0" w:afterAutospacing="0"/>
              <w:rPr>
                <w:color w:val="000000"/>
                <w:sz w:val="20"/>
                <w:szCs w:val="20"/>
              </w:rPr>
            </w:pPr>
            <w:r>
              <w:rPr>
                <w:color w:val="000000"/>
                <w:sz w:val="20"/>
                <w:szCs w:val="20"/>
              </w:rPr>
              <w:t>   restricted cash</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9,675</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(5,458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4,217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268512072"/>
        </w:trPr>
        <w:tc>
          <w:tcPr>
            <w:tcW w:w="2517"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CASH, CASH EQUIVALENTS AND RESTRICTED</w:t>
            </w:r>
          </w:p>
          <w:p w:rsidR="00000000" w:rsidRDefault="00240F6E">
            <w:pPr>
              <w:pStyle w:val="a3"/>
              <w:spacing w:before="0" w:beforeAutospacing="0" w:after="0" w:afterAutospacing="0"/>
              <w:rPr>
                <w:color w:val="000000"/>
                <w:sz w:val="20"/>
                <w:szCs w:val="20"/>
              </w:rPr>
            </w:pPr>
            <w:r>
              <w:rPr>
                <w:color w:val="000000"/>
                <w:sz w:val="20"/>
                <w:szCs w:val="20"/>
              </w:rPr>
              <w:t>   CASH, beginning of period</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25,745</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26,438</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52,183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268512072"/>
        </w:trPr>
        <w:tc>
          <w:tcPr>
            <w:tcW w:w="251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CASH, CASH EQUIVALENTS AND RESTRICTED</w:t>
            </w:r>
          </w:p>
          <w:p w:rsidR="00000000" w:rsidRDefault="00240F6E">
            <w:pPr>
              <w:pStyle w:val="a3"/>
              <w:spacing w:before="0" w:beforeAutospacing="0" w:after="0" w:afterAutospacing="0"/>
              <w:rPr>
                <w:color w:val="000000"/>
                <w:sz w:val="20"/>
                <w:szCs w:val="20"/>
              </w:rPr>
            </w:pPr>
            <w:r>
              <w:rPr>
                <w:color w:val="000000"/>
                <w:sz w:val="20"/>
                <w:szCs w:val="20"/>
              </w:rPr>
              <w:t>   CASH, end of period</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35,420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20,980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56,400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
                <w:szCs w:val="2"/>
              </w:rPr>
            </w:pPr>
            <w:r>
              <w:rPr>
                <w:color w:val="000000"/>
                <w:sz w:val="2"/>
                <w:szCs w:val="2"/>
              </w:rPr>
              <w:t> </w:t>
            </w:r>
          </w:p>
        </w:tc>
      </w:tr>
    </w:tbl>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240" w:beforeAutospacing="0" w:after="0" w:afterAutospacing="0"/>
        <w:jc w:val="center"/>
        <w:rPr>
          <w:sz w:val="20"/>
          <w:szCs w:val="20"/>
        </w:rPr>
      </w:pPr>
      <w:r>
        <w:rPr>
          <w:sz w:val="20"/>
          <w:szCs w:val="20"/>
        </w:rPr>
        <w:t>23</w:t>
      </w:r>
    </w:p>
    <w:p w:rsidR="00000000" w:rsidRDefault="00240F6E">
      <w:pPr>
        <w:rPr>
          <w:rFonts w:eastAsia="Times New Roman"/>
        </w:rPr>
      </w:pPr>
      <w:r>
        <w:rPr>
          <w:rFonts w:eastAsia="Times New Roman"/>
        </w:rPr>
        <w:pict>
          <v:rect id="_x0000_i1049" style="width:0;height:1.5pt" o:hralign="center" o:hrstd="t" o:hr="t" fillcolor="#a0a0a0" stroked="f"/>
        </w:pict>
      </w:r>
    </w:p>
    <w:p w:rsidR="00000000" w:rsidRDefault="00240F6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158929607"/>
        </w:trPr>
        <w:tc>
          <w:tcPr>
            <w:tcW w:w="453" w:type="pct"/>
            <w:noWrap/>
            <w:hideMark/>
          </w:tcPr>
          <w:p w:rsidR="00000000" w:rsidRDefault="00240F6E">
            <w:pPr>
              <w:pStyle w:val="a3"/>
              <w:spacing w:before="0" w:beforeAutospacing="0" w:after="0" w:afterAutospacing="0"/>
              <w:jc w:val="both"/>
              <w:rPr>
                <w:b/>
                <w:bCs/>
                <w:sz w:val="20"/>
                <w:szCs w:val="20"/>
              </w:rPr>
            </w:pPr>
            <w:r>
              <w:rPr>
                <w:b/>
                <w:bCs/>
                <w:sz w:val="20"/>
                <w:szCs w:val="20"/>
              </w:rPr>
              <w:t>ITEM 2.</w:t>
            </w:r>
          </w:p>
        </w:tc>
        <w:tc>
          <w:tcPr>
            <w:tcW w:w="0" w:type="auto"/>
            <w:hideMark/>
          </w:tcPr>
          <w:p w:rsidR="00000000" w:rsidRDefault="00240F6E">
            <w:pPr>
              <w:pStyle w:val="a3"/>
              <w:spacing w:before="0" w:beforeAutospacing="0" w:after="0" w:afterAutospacing="0"/>
              <w:jc w:val="both"/>
              <w:rPr>
                <w:b/>
                <w:bCs/>
                <w:sz w:val="20"/>
                <w:szCs w:val="20"/>
              </w:rPr>
            </w:pPr>
            <w:r>
              <w:rPr>
                <w:b/>
                <w:bCs/>
                <w:sz w:val="20"/>
                <w:szCs w:val="20"/>
              </w:rPr>
              <w:t>MANAGEMENT'S DISCUSSION AND ANALYSIS OF FINANCIAL CONDITION AND RESULTS OF OPERATIONS.</w:t>
            </w:r>
          </w:p>
        </w:tc>
      </w:tr>
    </w:tbl>
    <w:p w:rsidR="00000000" w:rsidRDefault="00240F6E">
      <w:pPr>
        <w:pStyle w:val="a3"/>
        <w:spacing w:before="120" w:beforeAutospacing="0" w:after="0" w:afterAutospacing="0"/>
        <w:jc w:val="both"/>
        <w:rPr>
          <w:spacing w:val="-2"/>
          <w:sz w:val="20"/>
          <w:szCs w:val="20"/>
        </w:rPr>
      </w:pPr>
      <w:r>
        <w:rPr>
          <w:spacing w:val="-2"/>
          <w:sz w:val="20"/>
          <w:szCs w:val="20"/>
        </w:rPr>
        <w:t>The following discussion should be read in conjunction with the financial statements and notes thereto appearing elsewhere in this quarterly report on Form 10-Q.  In this quarterly report on Form 10-Q, we use the terms, the "Company," "CoreCivic," "we," "u</w:t>
      </w:r>
      <w:r>
        <w:rPr>
          <w:spacing w:val="-2"/>
          <w:sz w:val="20"/>
          <w:szCs w:val="20"/>
        </w:rPr>
        <w:t xml:space="preserve">s," and "our" to refer to CoreCivic, Inc. and its subsidiaries unless context indicates otherwise. </w:t>
      </w:r>
    </w:p>
    <w:p w:rsidR="00000000" w:rsidRDefault="00240F6E">
      <w:pPr>
        <w:pStyle w:val="a3"/>
        <w:spacing w:before="240" w:beforeAutospacing="0" w:after="0" w:afterAutospacing="0"/>
        <w:jc w:val="both"/>
        <w:rPr>
          <w:sz w:val="20"/>
          <w:szCs w:val="20"/>
        </w:rPr>
      </w:pPr>
      <w:r>
        <w:rPr>
          <w:sz w:val="20"/>
          <w:szCs w:val="20"/>
        </w:rPr>
        <w:t>This quarterly report on Form 10-Q contains statements as to our beliefs and expectations of the outcome of future events that are forward-looking statement</w:t>
      </w:r>
      <w:r>
        <w:rPr>
          <w:sz w:val="20"/>
          <w:szCs w:val="20"/>
        </w:rPr>
        <w:t>s as defined within the meaning of the Private Securities Litigation Reform Act of 1995, as amended.  All statements other than statements of current or historical fact contained herein, including statements regarding our future financial position, busines</w:t>
      </w:r>
      <w:r>
        <w:rPr>
          <w:sz w:val="20"/>
          <w:szCs w:val="20"/>
        </w:rPr>
        <w:t xml:space="preserve">s strategy, budgets, projected costs and plans, and objectives of management for future operations, are forward-looking statements.  The words "anticipate," "believe," "continue," "could," "estimate," "expect," "intend," "may," "plan," "projects," "will," </w:t>
      </w:r>
      <w:r>
        <w:rPr>
          <w:sz w:val="20"/>
          <w:szCs w:val="20"/>
        </w:rPr>
        <w:t>and similar expressions, as they relate to us, are intended to identify forward-looking statements.  These forward-looking statements are subject to risks and uncertainties that could cause actual results to differ materially from the statements made.  The</w:t>
      </w:r>
      <w:r>
        <w:rPr>
          <w:sz w:val="20"/>
          <w:szCs w:val="20"/>
        </w:rPr>
        <w:t>se include, but are not limited to, the risks and uncertainties associated with:</w:t>
      </w: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158613972"/>
        </w:trPr>
        <w:tc>
          <w:tcPr>
            <w:tcW w:w="227" w:type="pct"/>
            <w:noWrap/>
            <w:hideMark/>
          </w:tcPr>
          <w:p w:rsidR="00000000" w:rsidRDefault="00240F6E">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240F6E">
            <w:pPr>
              <w:pStyle w:val="a3"/>
              <w:spacing w:before="120" w:beforeAutospacing="0" w:after="0" w:afterAutospacing="0"/>
              <w:jc w:val="both"/>
              <w:rPr>
                <w:sz w:val="20"/>
                <w:szCs w:val="20"/>
              </w:rPr>
            </w:pPr>
            <w:r>
              <w:rPr>
                <w:sz w:val="20"/>
                <w:szCs w:val="20"/>
              </w:rPr>
              <w:t>•</w:t>
            </w:r>
          </w:p>
        </w:tc>
        <w:tc>
          <w:tcPr>
            <w:tcW w:w="0" w:type="auto"/>
            <w:hideMark/>
          </w:tcPr>
          <w:p w:rsidR="00000000" w:rsidRDefault="00240F6E">
            <w:pPr>
              <w:pStyle w:val="a3"/>
              <w:spacing w:before="120" w:beforeAutospacing="0" w:after="0" w:afterAutospacing="0"/>
              <w:jc w:val="both"/>
              <w:rPr>
                <w:sz w:val="20"/>
                <w:szCs w:val="20"/>
              </w:rPr>
            </w:pPr>
            <w:r>
              <w:rPr>
                <w:sz w:val="20"/>
                <w:szCs w:val="20"/>
              </w:rPr>
              <w:t>general economic and market conditions, including, but not limited to, the impact governmental budgets can have on our contract renewals and renegotiations, per diem rates</w:t>
            </w:r>
            <w:r>
              <w:rPr>
                <w:sz w:val="20"/>
                <w:szCs w:val="20"/>
              </w:rPr>
              <w:t>, and occupancy;</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240F6E">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240F6E">
            <w:pPr>
              <w:pStyle w:val="a3"/>
              <w:spacing w:before="120" w:beforeAutospacing="0" w:after="0" w:afterAutospacing="0"/>
              <w:jc w:val="both"/>
              <w:rPr>
                <w:sz w:val="20"/>
                <w:szCs w:val="20"/>
              </w:rPr>
            </w:pPr>
            <w:r>
              <w:rPr>
                <w:sz w:val="20"/>
                <w:szCs w:val="20"/>
              </w:rPr>
              <w:t>•</w:t>
            </w:r>
          </w:p>
        </w:tc>
        <w:tc>
          <w:tcPr>
            <w:tcW w:w="0" w:type="auto"/>
            <w:hideMark/>
          </w:tcPr>
          <w:p w:rsidR="00000000" w:rsidRDefault="00240F6E">
            <w:pPr>
              <w:pStyle w:val="a3"/>
              <w:spacing w:before="120" w:beforeAutospacing="0" w:after="0" w:afterAutospacing="0"/>
              <w:jc w:val="both"/>
              <w:rPr>
                <w:sz w:val="20"/>
                <w:szCs w:val="20"/>
              </w:rPr>
            </w:pPr>
            <w:r>
              <w:rPr>
                <w:sz w:val="20"/>
                <w:szCs w:val="20"/>
              </w:rPr>
              <w:t>fluctuations in our operating results because of, among other things, changes in occupancy levels, competition, contract renegotiations or terminations, increases in costs of operations, fluctuations in interest rates, and risks of o</w:t>
            </w:r>
            <w:r>
              <w:rPr>
                <w:sz w:val="20"/>
                <w:szCs w:val="20"/>
              </w:rPr>
              <w:t>perations;</w:t>
            </w:r>
          </w:p>
        </w:tc>
      </w:tr>
    </w:tbl>
    <w:p w:rsidR="00000000" w:rsidRDefault="00240F6E">
      <w:pPr>
        <w:divId w:val="239292538"/>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239292538"/>
        </w:trPr>
        <w:tc>
          <w:tcPr>
            <w:tcW w:w="227" w:type="pct"/>
            <w:noWrap/>
            <w:hideMark/>
          </w:tcPr>
          <w:p w:rsidR="00000000" w:rsidRDefault="00240F6E">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240F6E">
            <w:pPr>
              <w:pStyle w:val="a3"/>
              <w:spacing w:before="120" w:beforeAutospacing="0" w:after="0" w:afterAutospacing="0"/>
              <w:jc w:val="both"/>
              <w:rPr>
                <w:sz w:val="20"/>
                <w:szCs w:val="20"/>
              </w:rPr>
            </w:pPr>
            <w:r>
              <w:rPr>
                <w:sz w:val="20"/>
                <w:szCs w:val="20"/>
              </w:rPr>
              <w:t>•</w:t>
            </w:r>
          </w:p>
        </w:tc>
        <w:tc>
          <w:tcPr>
            <w:tcW w:w="0" w:type="auto"/>
            <w:hideMark/>
          </w:tcPr>
          <w:p w:rsidR="00000000" w:rsidRDefault="00240F6E">
            <w:pPr>
              <w:pStyle w:val="a3"/>
              <w:spacing w:before="120" w:beforeAutospacing="0" w:after="0" w:afterAutospacing="0"/>
              <w:jc w:val="both"/>
              <w:rPr>
                <w:sz w:val="20"/>
                <w:szCs w:val="20"/>
              </w:rPr>
            </w:pPr>
            <w:r>
              <w:rPr>
                <w:sz w:val="20"/>
                <w:szCs w:val="20"/>
              </w:rPr>
              <w:t>changes in the privatization of the corrections and detention industry, the public acceptance of our services, the timing of the opening of new facilities, and the commencement of new management contracts, as well as our ability to utilize current availabl</w:t>
            </w:r>
            <w:r>
              <w:rPr>
                <w:sz w:val="20"/>
                <w:szCs w:val="20"/>
              </w:rPr>
              <w:t>e beds;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240F6E">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240F6E">
            <w:pPr>
              <w:pStyle w:val="a3"/>
              <w:spacing w:before="120" w:beforeAutospacing="0" w:after="0" w:afterAutospacing="0"/>
              <w:jc w:val="both"/>
              <w:rPr>
                <w:sz w:val="20"/>
                <w:szCs w:val="20"/>
              </w:rPr>
            </w:pPr>
            <w:r>
              <w:rPr>
                <w:sz w:val="20"/>
                <w:szCs w:val="20"/>
              </w:rPr>
              <w:t>•</w:t>
            </w:r>
          </w:p>
        </w:tc>
        <w:tc>
          <w:tcPr>
            <w:tcW w:w="0" w:type="auto"/>
            <w:hideMark/>
          </w:tcPr>
          <w:p w:rsidR="00000000" w:rsidRDefault="00240F6E">
            <w:pPr>
              <w:pStyle w:val="a3"/>
              <w:spacing w:before="120" w:beforeAutospacing="0" w:after="0" w:afterAutospacing="0"/>
              <w:jc w:val="both"/>
              <w:rPr>
                <w:sz w:val="20"/>
                <w:szCs w:val="20"/>
              </w:rPr>
            </w:pPr>
            <w:r>
              <w:rPr>
                <w:sz w:val="20"/>
                <w:szCs w:val="20"/>
              </w:rPr>
              <w:t>our ability to obtain and maintain correctional, detention, and residential reentry facility management contracts because of reasons including, but not limited to, sufficient governmental appropriations, contract compliance, negative publicit</w:t>
            </w:r>
            <w:r>
              <w:rPr>
                <w:sz w:val="20"/>
                <w:szCs w:val="20"/>
              </w:rPr>
              <w:t>y and effects of inmate disturbances;</w:t>
            </w:r>
          </w:p>
        </w:tc>
      </w:tr>
    </w:tbl>
    <w:p w:rsidR="00000000" w:rsidRDefault="00240F6E">
      <w:pPr>
        <w:divId w:val="1577788955"/>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577788955"/>
        </w:trPr>
        <w:tc>
          <w:tcPr>
            <w:tcW w:w="227" w:type="pct"/>
            <w:noWrap/>
            <w:hideMark/>
          </w:tcPr>
          <w:p w:rsidR="00000000" w:rsidRDefault="00240F6E">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240F6E">
            <w:pPr>
              <w:pStyle w:val="a3"/>
              <w:spacing w:before="120" w:beforeAutospacing="0" w:after="0" w:afterAutospacing="0"/>
              <w:jc w:val="both"/>
              <w:rPr>
                <w:sz w:val="20"/>
                <w:szCs w:val="20"/>
              </w:rPr>
            </w:pPr>
            <w:r>
              <w:rPr>
                <w:sz w:val="20"/>
                <w:szCs w:val="20"/>
              </w:rPr>
              <w:t>•</w:t>
            </w:r>
          </w:p>
        </w:tc>
        <w:tc>
          <w:tcPr>
            <w:tcW w:w="0" w:type="auto"/>
            <w:hideMark/>
          </w:tcPr>
          <w:p w:rsidR="00000000" w:rsidRDefault="00240F6E">
            <w:pPr>
              <w:pStyle w:val="a3"/>
              <w:spacing w:before="120" w:beforeAutospacing="0" w:after="0" w:afterAutospacing="0"/>
              <w:jc w:val="both"/>
              <w:rPr>
                <w:sz w:val="20"/>
                <w:szCs w:val="20"/>
              </w:rPr>
            </w:pPr>
            <w:r>
              <w:rPr>
                <w:sz w:val="20"/>
                <w:szCs w:val="20"/>
              </w:rPr>
              <w:t>increases in costs to develop or expand real estate properties that exceed original estimates, or the inability to complete such projects on schedule as a result of various factors, many of which are beyond our c</w:t>
            </w:r>
            <w:r>
              <w:rPr>
                <w:sz w:val="20"/>
                <w:szCs w:val="20"/>
              </w:rPr>
              <w:t>ontrol, such as weather, labor conditions, cost inflation, and material shortages, resulting in increased construction costs;</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240F6E">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240F6E">
            <w:pPr>
              <w:pStyle w:val="a3"/>
              <w:spacing w:before="120" w:beforeAutospacing="0" w:after="0" w:afterAutospacing="0"/>
              <w:jc w:val="both"/>
              <w:rPr>
                <w:sz w:val="20"/>
                <w:szCs w:val="20"/>
              </w:rPr>
            </w:pPr>
            <w:r>
              <w:rPr>
                <w:sz w:val="20"/>
                <w:szCs w:val="20"/>
              </w:rPr>
              <w:t>•</w:t>
            </w:r>
          </w:p>
        </w:tc>
        <w:tc>
          <w:tcPr>
            <w:tcW w:w="0" w:type="auto"/>
            <w:hideMark/>
          </w:tcPr>
          <w:p w:rsidR="00000000" w:rsidRDefault="00240F6E">
            <w:pPr>
              <w:pStyle w:val="a3"/>
              <w:spacing w:before="120" w:beforeAutospacing="0" w:after="0" w:afterAutospacing="0"/>
              <w:jc w:val="both"/>
              <w:rPr>
                <w:sz w:val="20"/>
                <w:szCs w:val="20"/>
              </w:rPr>
            </w:pPr>
            <w:r>
              <w:rPr>
                <w:sz w:val="20"/>
                <w:szCs w:val="20"/>
              </w:rPr>
              <w:t>changes in government policy, legislation and regulations that affect utilization of the private sector for corrections, det</w:t>
            </w:r>
            <w:r>
              <w:rPr>
                <w:sz w:val="20"/>
                <w:szCs w:val="20"/>
              </w:rPr>
              <w:t xml:space="preserve">ention, and residential reentry services, in general, or our business, in particular, including, but not limited to, the continued utilization of the South Texas Family Residential Center by U.S. Immigration and Customs Enforcement, or ICE, under terms of </w:t>
            </w:r>
            <w:r>
              <w:rPr>
                <w:sz w:val="20"/>
                <w:szCs w:val="20"/>
              </w:rPr>
              <w:t>the current contract, and the impact of any changes to immigration reform and sentencing laws. (Our company does not, under longstanding policy, lobby for or against policies or legislation that would determine the basis for, or duration of, an individual'</w:t>
            </w:r>
            <w:r>
              <w:rPr>
                <w:sz w:val="20"/>
                <w:szCs w:val="20"/>
              </w:rPr>
              <w:t>s incarceration or detention.);</w:t>
            </w:r>
          </w:p>
        </w:tc>
      </w:tr>
    </w:tbl>
    <w:p w:rsidR="00000000" w:rsidRDefault="00240F6E">
      <w:pPr>
        <w:divId w:val="85464583"/>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85464583"/>
        </w:trPr>
        <w:tc>
          <w:tcPr>
            <w:tcW w:w="227" w:type="pct"/>
            <w:noWrap/>
            <w:hideMark/>
          </w:tcPr>
          <w:p w:rsidR="00000000" w:rsidRDefault="00240F6E">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240F6E">
            <w:pPr>
              <w:pStyle w:val="a3"/>
              <w:spacing w:before="120" w:beforeAutospacing="0" w:after="0" w:afterAutospacing="0"/>
              <w:jc w:val="both"/>
              <w:rPr>
                <w:sz w:val="20"/>
                <w:szCs w:val="20"/>
              </w:rPr>
            </w:pPr>
            <w:r>
              <w:rPr>
                <w:sz w:val="20"/>
                <w:szCs w:val="20"/>
              </w:rPr>
              <w:t>•</w:t>
            </w:r>
          </w:p>
        </w:tc>
        <w:tc>
          <w:tcPr>
            <w:tcW w:w="0" w:type="auto"/>
            <w:hideMark/>
          </w:tcPr>
          <w:p w:rsidR="00000000" w:rsidRDefault="00240F6E">
            <w:pPr>
              <w:pStyle w:val="a3"/>
              <w:spacing w:before="120" w:beforeAutospacing="0" w:after="0" w:afterAutospacing="0"/>
              <w:jc w:val="both"/>
              <w:rPr>
                <w:sz w:val="20"/>
                <w:szCs w:val="20"/>
              </w:rPr>
            </w:pPr>
            <w:r>
              <w:rPr>
                <w:sz w:val="20"/>
                <w:szCs w:val="20"/>
              </w:rPr>
              <w:t>our ability to successfully integrate operations of our acquisitions and realize projected returns resulting therefrom;</w:t>
            </w:r>
          </w:p>
        </w:tc>
      </w:tr>
    </w:tbl>
    <w:tbl>
      <w:tblPr>
        <w:tblW w:w="5000" w:type="pct"/>
        <w:tblCellMar>
          <w:left w:w="0" w:type="dxa"/>
          <w:right w:w="0" w:type="dxa"/>
        </w:tblCellMar>
        <w:tblLook w:val="04A0" w:firstRow="1" w:lastRow="0" w:firstColumn="1" w:lastColumn="0" w:noHBand="0" w:noVBand="1"/>
      </w:tblPr>
      <w:tblGrid>
        <w:gridCol w:w="377"/>
        <w:gridCol w:w="377"/>
        <w:gridCol w:w="480"/>
      </w:tblGrid>
      <w:tr w:rsidR="00000000">
        <w:tc>
          <w:tcPr>
            <w:tcW w:w="227" w:type="pct"/>
            <w:noWrap/>
            <w:hideMark/>
          </w:tcPr>
          <w:p w:rsidR="00000000" w:rsidRDefault="00240F6E">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240F6E">
            <w:pPr>
              <w:pStyle w:val="a3"/>
              <w:spacing w:before="120" w:beforeAutospacing="0" w:after="0" w:afterAutospacing="0"/>
              <w:jc w:val="both"/>
              <w:rPr>
                <w:sz w:val="20"/>
                <w:szCs w:val="20"/>
              </w:rPr>
            </w:pPr>
            <w:r>
              <w:rPr>
                <w:sz w:val="20"/>
                <w:szCs w:val="20"/>
              </w:rPr>
              <w:t>•</w:t>
            </w:r>
          </w:p>
        </w:tc>
        <w:tc>
          <w:tcPr>
            <w:tcW w:w="0" w:type="auto"/>
            <w:hideMark/>
          </w:tcPr>
          <w:p w:rsidR="00000000" w:rsidRDefault="00240F6E">
            <w:pPr>
              <w:pStyle w:val="a3"/>
              <w:spacing w:before="120" w:beforeAutospacing="0" w:after="0" w:afterAutospacing="0"/>
              <w:jc w:val="both"/>
              <w:rPr>
                <w:sz w:val="20"/>
                <w:szCs w:val="20"/>
              </w:rPr>
            </w:pPr>
            <w:r>
              <w:rPr>
                <w:sz w:val="20"/>
                <w:szCs w:val="20"/>
              </w:rPr>
              <w:t>our ability to meet and maintain qualification for taxation as a real estate investment trust, or REIT; and</w:t>
            </w:r>
          </w:p>
        </w:tc>
      </w:tr>
    </w:tbl>
    <w:p w:rsidR="00000000" w:rsidRDefault="00240F6E">
      <w:pPr>
        <w:divId w:val="1159615508"/>
        <w:rPr>
          <w:rFonts w:eastAsia="Times New Roman"/>
          <w:vanish/>
        </w:rPr>
      </w:pPr>
    </w:p>
    <w:tbl>
      <w:tblPr>
        <w:tblW w:w="5000" w:type="pct"/>
        <w:tblCellMar>
          <w:left w:w="0" w:type="dxa"/>
          <w:right w:w="0" w:type="dxa"/>
        </w:tblCellMar>
        <w:tblLook w:val="04A0" w:firstRow="1" w:lastRow="0" w:firstColumn="1" w:lastColumn="0" w:noHBand="0" w:noVBand="1"/>
      </w:tblPr>
      <w:tblGrid>
        <w:gridCol w:w="377"/>
        <w:gridCol w:w="377"/>
        <w:gridCol w:w="7552"/>
      </w:tblGrid>
      <w:tr w:rsidR="00000000">
        <w:trPr>
          <w:divId w:val="1159615508"/>
        </w:trPr>
        <w:tc>
          <w:tcPr>
            <w:tcW w:w="227" w:type="pct"/>
            <w:noWrap/>
            <w:hideMark/>
          </w:tcPr>
          <w:p w:rsidR="00000000" w:rsidRDefault="00240F6E">
            <w:pPr>
              <w:pStyle w:val="a3"/>
              <w:spacing w:before="120" w:beforeAutospacing="0" w:after="0" w:afterAutospacing="0"/>
              <w:jc w:val="both"/>
              <w:rPr>
                <w:sz w:val="20"/>
                <w:szCs w:val="20"/>
              </w:rPr>
            </w:pPr>
            <w:r>
              <w:rPr>
                <w:sz w:val="20"/>
                <w:szCs w:val="20"/>
              </w:rPr>
              <w:t> </w:t>
            </w:r>
          </w:p>
        </w:tc>
        <w:tc>
          <w:tcPr>
            <w:tcW w:w="227" w:type="pct"/>
            <w:noWrap/>
            <w:hideMark/>
          </w:tcPr>
          <w:p w:rsidR="00000000" w:rsidRDefault="00240F6E">
            <w:pPr>
              <w:pStyle w:val="a3"/>
              <w:spacing w:before="120" w:beforeAutospacing="0" w:after="0" w:afterAutospacing="0"/>
              <w:jc w:val="both"/>
              <w:rPr>
                <w:sz w:val="20"/>
                <w:szCs w:val="20"/>
              </w:rPr>
            </w:pPr>
            <w:r>
              <w:rPr>
                <w:sz w:val="20"/>
                <w:szCs w:val="20"/>
              </w:rPr>
              <w:t>•</w:t>
            </w:r>
          </w:p>
        </w:tc>
        <w:tc>
          <w:tcPr>
            <w:tcW w:w="0" w:type="auto"/>
            <w:hideMark/>
          </w:tcPr>
          <w:p w:rsidR="00000000" w:rsidRDefault="00240F6E">
            <w:pPr>
              <w:pStyle w:val="a3"/>
              <w:spacing w:before="120" w:beforeAutospacing="0" w:after="0" w:afterAutospacing="0"/>
              <w:jc w:val="both"/>
              <w:rPr>
                <w:sz w:val="20"/>
                <w:szCs w:val="20"/>
              </w:rPr>
            </w:pPr>
            <w:r>
              <w:rPr>
                <w:sz w:val="20"/>
                <w:szCs w:val="20"/>
              </w:rPr>
              <w:t>the availability</w:t>
            </w:r>
            <w:r>
              <w:rPr>
                <w:sz w:val="20"/>
                <w:szCs w:val="20"/>
              </w:rPr>
              <w:t xml:space="preserve"> of debt and equity financing on terms that are favorable to us, or at all.</w:t>
            </w:r>
          </w:p>
        </w:tc>
      </w:tr>
    </w:tbl>
    <w:p w:rsidR="00000000" w:rsidRDefault="00240F6E">
      <w:pPr>
        <w:pStyle w:val="a3"/>
        <w:spacing w:before="240" w:beforeAutospacing="0" w:after="0" w:afterAutospacing="0"/>
        <w:jc w:val="both"/>
        <w:rPr>
          <w:sz w:val="20"/>
          <w:szCs w:val="20"/>
        </w:rPr>
      </w:pPr>
      <w:r>
        <w:rPr>
          <w:sz w:val="20"/>
          <w:szCs w:val="20"/>
        </w:rPr>
        <w:t>Any or all of our forward-looking statements in this quarterly report may turn out to be inaccurate. We have based these forward-looking statements largely on our current expectat</w:t>
      </w:r>
      <w:r>
        <w:rPr>
          <w:sz w:val="20"/>
          <w:szCs w:val="20"/>
        </w:rPr>
        <w:t>ions and projections about future events and financial trends that we believe may affect our financial condition, results of operations, business strategy, and financial needs.  Our statements can be affected by inaccurate assumptions we might make or by k</w:t>
      </w:r>
      <w:r>
        <w:rPr>
          <w:sz w:val="20"/>
          <w:szCs w:val="20"/>
        </w:rPr>
        <w:t>nown or unknown risks, uncertainties and assumptions, including the risks, uncertainties, and assumptions described in "Item 1A Risk Factors" in our Annual Report on Form 10-K as of and for the year ended December 31, 2018 filed with the Securities and Exc</w:t>
      </w:r>
      <w:r>
        <w:rPr>
          <w:sz w:val="20"/>
          <w:szCs w:val="20"/>
        </w:rPr>
        <w:t>hange Commission, or the SEC, on February 25, 2019 (the "2018 Form 10-K") and in other reports, documents, and other information we file with the SEC from time to time.  Readers are cautioned not to place undue reliance on these forward-looking statements,</w:t>
      </w:r>
      <w:r>
        <w:rPr>
          <w:sz w:val="20"/>
          <w:szCs w:val="20"/>
        </w:rPr>
        <w:t xml:space="preserve"> which speak only as of the date hereof.  We undertake no obligation to publicly update or revise any forward-looking statements, whether as a result of new information, future events or circumstances or otherwise, except as required by law. All subsequent</w:t>
      </w:r>
      <w:r>
        <w:rPr>
          <w:sz w:val="20"/>
          <w:szCs w:val="20"/>
        </w:rPr>
        <w:t xml:space="preserve"> written and oral forward-looking statements attributable to us or persons acting on our behalf are expressly qualified in their entirety by the cautionary statements contained in this Quarterly Report on Form 10-Q and in the 2018 Form 10-K.</w:t>
      </w:r>
    </w:p>
    <w:p w:rsidR="00000000" w:rsidRDefault="00240F6E">
      <w:pPr>
        <w:pStyle w:val="a3"/>
        <w:spacing w:before="240" w:beforeAutospacing="0" w:after="0" w:afterAutospacing="0"/>
        <w:jc w:val="center"/>
        <w:rPr>
          <w:sz w:val="20"/>
          <w:szCs w:val="20"/>
        </w:rPr>
      </w:pPr>
      <w:r>
        <w:rPr>
          <w:sz w:val="20"/>
          <w:szCs w:val="20"/>
        </w:rPr>
        <w:t>24</w:t>
      </w:r>
    </w:p>
    <w:p w:rsidR="00000000" w:rsidRDefault="00240F6E">
      <w:pPr>
        <w:rPr>
          <w:rFonts w:eastAsia="Times New Roman"/>
        </w:rPr>
      </w:pPr>
      <w:r>
        <w:rPr>
          <w:rFonts w:eastAsia="Times New Roman"/>
        </w:rPr>
        <w:pict>
          <v:rect id="_x0000_i1050" style="width:0;height:1.5pt" o:hralign="center" o:hrstd="t" o:hr="t" fillcolor="#a0a0a0" stroked="f"/>
        </w:pict>
      </w:r>
    </w:p>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360" w:beforeAutospacing="0" w:after="0" w:afterAutospacing="0"/>
        <w:jc w:val="both"/>
        <w:rPr>
          <w:b/>
          <w:bCs/>
          <w:sz w:val="20"/>
          <w:szCs w:val="20"/>
        </w:rPr>
      </w:pPr>
      <w:r>
        <w:rPr>
          <w:b/>
          <w:bCs/>
          <w:sz w:val="20"/>
          <w:szCs w:val="20"/>
        </w:rPr>
        <w:t>OVERVIEW</w:t>
      </w:r>
    </w:p>
    <w:p w:rsidR="00000000" w:rsidRDefault="00240F6E">
      <w:pPr>
        <w:pStyle w:val="a3"/>
        <w:spacing w:before="120" w:beforeAutospacing="0" w:after="0" w:afterAutospacing="0"/>
        <w:jc w:val="both"/>
        <w:rPr>
          <w:b/>
          <w:bCs/>
          <w:sz w:val="20"/>
          <w:szCs w:val="20"/>
        </w:rPr>
      </w:pPr>
      <w:r>
        <w:rPr>
          <w:b/>
          <w:bCs/>
          <w:sz w:val="20"/>
          <w:szCs w:val="20"/>
        </w:rPr>
        <w:t>The Company</w:t>
      </w:r>
    </w:p>
    <w:p w:rsidR="00000000" w:rsidRDefault="00240F6E">
      <w:pPr>
        <w:pStyle w:val="a3"/>
        <w:spacing w:before="120" w:beforeAutospacing="0" w:after="0" w:afterAutospacing="0"/>
        <w:jc w:val="both"/>
        <w:rPr>
          <w:sz w:val="20"/>
          <w:szCs w:val="20"/>
        </w:rPr>
      </w:pPr>
      <w:r>
        <w:rPr>
          <w:sz w:val="20"/>
          <w:szCs w:val="20"/>
        </w:rPr>
        <w:t>We are a diversified government solutions company with the scale and experience needed to solve tough government challenges in flexible, cost-effective ways.  Through three segments, CoreCivic Safety, CoreCivic Community, and CoreCivic Properties, we provi</w:t>
      </w:r>
      <w:r>
        <w:rPr>
          <w:sz w:val="20"/>
          <w:szCs w:val="20"/>
        </w:rPr>
        <w:t>de a broad range of solutions to government partners that serve the public good through corrections and detention management, a growing network of residential reentry centers to help address America's recidivism crisis, and government real estate solutions</w:t>
      </w:r>
      <w:r>
        <w:rPr>
          <w:sz w:val="20"/>
          <w:szCs w:val="20"/>
        </w:rPr>
        <w:t>.  We have been a flexible and dependable partner for government for more than 35 years.  Our employees are driven by a deep sense of service, high standards of professionalism and a responsibility to help government better the public good.</w:t>
      </w:r>
    </w:p>
    <w:p w:rsidR="00000000" w:rsidRDefault="00240F6E">
      <w:pPr>
        <w:pStyle w:val="a3"/>
        <w:spacing w:before="240" w:beforeAutospacing="0" w:after="0" w:afterAutospacing="0"/>
        <w:jc w:val="both"/>
        <w:rPr>
          <w:sz w:val="20"/>
          <w:szCs w:val="20"/>
        </w:rPr>
      </w:pPr>
      <w:r>
        <w:rPr>
          <w:sz w:val="20"/>
          <w:szCs w:val="20"/>
        </w:rPr>
        <w:t>Structured as a</w:t>
      </w:r>
      <w:r>
        <w:rPr>
          <w:sz w:val="20"/>
          <w:szCs w:val="20"/>
        </w:rPr>
        <w:t xml:space="preserve"> REIT, we are the nation's largest owner of partnership correctional, detention, and residential reentry facilities and one of the largest prison operators in the United States.  We also believe we are the largest private owner of real estate used by U.S. </w:t>
      </w:r>
      <w:r>
        <w:rPr>
          <w:sz w:val="20"/>
          <w:szCs w:val="20"/>
        </w:rPr>
        <w:t>government agencies.  As of March 31, 2019, through our CoreCivic Safety segment, we operated 51 correctional and detention facilities, 44 of which we owned, with a total design capacity of approximately 73,000 beds. Through our CoreCivic Community segment</w:t>
      </w:r>
      <w:r>
        <w:rPr>
          <w:sz w:val="20"/>
          <w:szCs w:val="20"/>
        </w:rPr>
        <w:t>, we owned and operated 27 residential reentry centers with a total design capacity of approximately 5,000 beds.  In addition, through our CoreCivic Properties segment, we owned 27 properties leased to third parties and used by government agencies, totalin</w:t>
      </w:r>
      <w:r>
        <w:rPr>
          <w:sz w:val="20"/>
          <w:szCs w:val="20"/>
        </w:rPr>
        <w:t>g 2.3 million square feet.  </w:t>
      </w:r>
    </w:p>
    <w:p w:rsidR="00000000" w:rsidRDefault="00240F6E">
      <w:pPr>
        <w:pStyle w:val="a3"/>
        <w:spacing w:before="240" w:beforeAutospacing="0" w:after="0" w:afterAutospacing="0"/>
        <w:jc w:val="both"/>
        <w:rPr>
          <w:sz w:val="20"/>
          <w:szCs w:val="20"/>
        </w:rPr>
      </w:pPr>
      <w:r>
        <w:rPr>
          <w:sz w:val="20"/>
          <w:szCs w:val="20"/>
        </w:rPr>
        <w:t>In addition to providing fundamental residential services, our correctional, detention, and residential reentry facilities offer a variety of rehabilitation and educational programs, including basic education, faith-based servi</w:t>
      </w:r>
      <w:r>
        <w:rPr>
          <w:sz w:val="20"/>
          <w:szCs w:val="20"/>
        </w:rPr>
        <w:t>ces, life skills and employment training, and substance abuse treatment.  These services are intended to help reduce recidivism and to prepare offenders for their successful reentry into society upon their release.  We also provide or make available to off</w:t>
      </w:r>
      <w:r>
        <w:rPr>
          <w:sz w:val="20"/>
          <w:szCs w:val="20"/>
        </w:rPr>
        <w:t xml:space="preserve">enders certain health care (including medical, dental, and mental health services), food services, and work and recreational programs. </w:t>
      </w:r>
    </w:p>
    <w:p w:rsidR="00000000" w:rsidRDefault="00240F6E">
      <w:pPr>
        <w:pStyle w:val="a3"/>
        <w:spacing w:before="240" w:beforeAutospacing="0" w:after="0" w:afterAutospacing="0"/>
        <w:jc w:val="both"/>
        <w:rPr>
          <w:sz w:val="20"/>
          <w:szCs w:val="20"/>
        </w:rPr>
      </w:pPr>
      <w:r>
        <w:rPr>
          <w:sz w:val="20"/>
          <w:szCs w:val="20"/>
        </w:rPr>
        <w:t>We are a Maryland corporation formed in 1983.  Our principal executive offices are located at 10 Burton Hills Boulevard,</w:t>
      </w:r>
      <w:r>
        <w:rPr>
          <w:sz w:val="20"/>
          <w:szCs w:val="20"/>
        </w:rPr>
        <w:t xml:space="preserve"> Nashville, Tennessee, 37215, and our telephone number at that location is (615) 263-3000.  Our website address is www.corecivic.com</w:t>
      </w:r>
      <w:r>
        <w:rPr>
          <w:color w:val="000000"/>
          <w:sz w:val="20"/>
          <w:szCs w:val="20"/>
        </w:rPr>
        <w:t xml:space="preserve">.  We make </w:t>
      </w:r>
      <w:r>
        <w:rPr>
          <w:sz w:val="20"/>
          <w:szCs w:val="20"/>
        </w:rPr>
        <w:t>our Annual Reports on Form 10-K, Quarterly Reports on Form 10-Q, Current Reports on Form 8-K, definitive proxy st</w:t>
      </w:r>
      <w:r>
        <w:rPr>
          <w:sz w:val="20"/>
          <w:szCs w:val="20"/>
        </w:rPr>
        <w:t>atements, and amendments to those reports under the Securities Exchange Act of 1934, as amended, or the Exchange Act, available on our website, free of charge, as soon as reasonably practicable after these reports are filed with or furnished to the SEC.  I</w:t>
      </w:r>
      <w:r>
        <w:rPr>
          <w:sz w:val="20"/>
          <w:szCs w:val="20"/>
        </w:rPr>
        <w:t>nformation contained on our website is not part of this report.  </w:t>
      </w:r>
    </w:p>
    <w:p w:rsidR="00000000" w:rsidRDefault="00240F6E">
      <w:pPr>
        <w:pStyle w:val="a3"/>
        <w:spacing w:before="240" w:beforeAutospacing="0" w:after="0" w:afterAutospacing="0"/>
        <w:jc w:val="both"/>
        <w:rPr>
          <w:sz w:val="20"/>
          <w:szCs w:val="20"/>
        </w:rPr>
      </w:pPr>
      <w:r>
        <w:rPr>
          <w:sz w:val="20"/>
          <w:szCs w:val="20"/>
        </w:rPr>
        <w:t>We began operating as a REIT effective January 1, 2013.  We provide services and conduct other business activities through taxable REIT subsidiaries, or TRSs.  A TRS is a subsidiary of a REI</w:t>
      </w:r>
      <w:r>
        <w:rPr>
          <w:sz w:val="20"/>
          <w:szCs w:val="20"/>
        </w:rPr>
        <w:t>T that is subject to applicable corporate income tax and certain qualification requirements.  Our use of TRSs enables us to comply with REIT qualification requirements while providing correctional services at facilities we own and at facilities owned by ou</w:t>
      </w:r>
      <w:r>
        <w:rPr>
          <w:sz w:val="20"/>
          <w:szCs w:val="20"/>
        </w:rPr>
        <w:t xml:space="preserve">r government partners and to engage in certain other business operations.  A TRS is not subject to the distribution requirements applicable to REITs so it may retain income generated by its operations for reinvestment. </w:t>
      </w:r>
    </w:p>
    <w:p w:rsidR="00000000" w:rsidRDefault="00240F6E">
      <w:pPr>
        <w:pStyle w:val="a3"/>
        <w:spacing w:before="240" w:beforeAutospacing="0" w:after="0" w:afterAutospacing="0"/>
        <w:jc w:val="both"/>
        <w:rPr>
          <w:sz w:val="20"/>
          <w:szCs w:val="20"/>
        </w:rPr>
      </w:pPr>
      <w:r>
        <w:rPr>
          <w:sz w:val="20"/>
          <w:szCs w:val="20"/>
        </w:rPr>
        <w:t>As a REIT, we generally are not subj</w:t>
      </w:r>
      <w:r>
        <w:rPr>
          <w:sz w:val="20"/>
          <w:szCs w:val="20"/>
        </w:rPr>
        <w:t xml:space="preserve">ect to federal income taxes on our REIT taxable income and gains that we distribute to our stockholders, including the income derived from our real estate and dividends we earn from our TRSs. However, our TRSs will be required to pay income taxes on their </w:t>
      </w:r>
      <w:r>
        <w:rPr>
          <w:sz w:val="20"/>
          <w:szCs w:val="20"/>
        </w:rPr>
        <w:t xml:space="preserve">earnings at regular corporate income tax rates. </w:t>
      </w:r>
    </w:p>
    <w:p w:rsidR="00000000" w:rsidRDefault="00240F6E">
      <w:pPr>
        <w:pStyle w:val="a3"/>
        <w:spacing w:before="240" w:beforeAutospacing="0" w:after="0" w:afterAutospacing="0"/>
        <w:jc w:val="both"/>
        <w:rPr>
          <w:sz w:val="20"/>
          <w:szCs w:val="20"/>
        </w:rPr>
      </w:pPr>
      <w:r>
        <w:rPr>
          <w:sz w:val="20"/>
          <w:szCs w:val="20"/>
        </w:rPr>
        <w:t>As a REIT, we generally are required to distribute annually to our stockholders at least 90% of our REIT taxable income (determined without regard to the dividends paid deduction and excluding net capital ga</w:t>
      </w:r>
      <w:r>
        <w:rPr>
          <w:sz w:val="20"/>
          <w:szCs w:val="20"/>
        </w:rPr>
        <w:t>ins). Our REIT taxable income will not typically include income earned by our TRSs except to the extent our TRSs pay dividends to the REIT.</w:t>
      </w:r>
    </w:p>
    <w:p w:rsidR="00000000" w:rsidRDefault="00240F6E">
      <w:pPr>
        <w:pStyle w:val="a3"/>
        <w:spacing w:before="0" w:beforeAutospacing="0" w:after="0" w:afterAutospacing="0"/>
        <w:rPr>
          <w:b/>
          <w:bCs/>
          <w:sz w:val="20"/>
          <w:szCs w:val="20"/>
        </w:rPr>
      </w:pPr>
    </w:p>
    <w:p w:rsidR="00000000" w:rsidRDefault="00240F6E">
      <w:pPr>
        <w:pStyle w:val="a3"/>
        <w:spacing w:before="240" w:beforeAutospacing="0" w:after="0" w:afterAutospacing="0"/>
        <w:jc w:val="center"/>
        <w:rPr>
          <w:sz w:val="20"/>
          <w:szCs w:val="20"/>
        </w:rPr>
      </w:pPr>
      <w:r>
        <w:rPr>
          <w:sz w:val="20"/>
          <w:szCs w:val="20"/>
        </w:rPr>
        <w:t>25</w:t>
      </w:r>
    </w:p>
    <w:p w:rsidR="00000000" w:rsidRDefault="00240F6E">
      <w:pPr>
        <w:rPr>
          <w:rFonts w:eastAsia="Times New Roman"/>
        </w:rPr>
      </w:pPr>
      <w:r>
        <w:rPr>
          <w:rFonts w:eastAsia="Times New Roman"/>
        </w:rPr>
        <w:pict>
          <v:rect id="_x0000_i1051" style="width:0;height:1.5pt" o:hralign="center" o:hrstd="t" o:hr="t" fillcolor="#a0a0a0" stroked="f"/>
        </w:pict>
      </w:r>
    </w:p>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360" w:beforeAutospacing="0" w:after="0" w:afterAutospacing="0"/>
        <w:jc w:val="both"/>
        <w:rPr>
          <w:b/>
          <w:bCs/>
          <w:sz w:val="20"/>
          <w:szCs w:val="20"/>
        </w:rPr>
      </w:pPr>
      <w:r>
        <w:rPr>
          <w:b/>
          <w:bCs/>
          <w:sz w:val="20"/>
          <w:szCs w:val="20"/>
        </w:rPr>
        <w:t>CRITICAL ACCOUNTING POLICIES</w:t>
      </w:r>
    </w:p>
    <w:p w:rsidR="00000000" w:rsidRDefault="00240F6E">
      <w:pPr>
        <w:pStyle w:val="a3"/>
        <w:spacing w:before="120" w:beforeAutospacing="0" w:after="0" w:afterAutospacing="0"/>
        <w:jc w:val="both"/>
        <w:rPr>
          <w:sz w:val="20"/>
          <w:szCs w:val="20"/>
        </w:rPr>
      </w:pPr>
      <w:r>
        <w:rPr>
          <w:sz w:val="20"/>
          <w:szCs w:val="20"/>
        </w:rPr>
        <w:t>The consolidated financial statements in th</w:t>
      </w:r>
      <w:r>
        <w:rPr>
          <w:sz w:val="20"/>
          <w:szCs w:val="20"/>
        </w:rPr>
        <w:t>is report are prepared in conformity with U.S. generally accepted accounting principles.  As such, we are required to make certain estimates, judgments, and assumptions that we believe are reasonable based upon the information available.  These estimates a</w:t>
      </w:r>
      <w:r>
        <w:rPr>
          <w:sz w:val="20"/>
          <w:szCs w:val="20"/>
        </w:rPr>
        <w:t>nd assumptions affect the reported amounts of assets and liabilities at the date of the consolidated financial statements and the reported amounts of revenue and expenses during the reporting period.  A summary of our significant accounting policies is des</w:t>
      </w:r>
      <w:r>
        <w:rPr>
          <w:sz w:val="20"/>
          <w:szCs w:val="20"/>
        </w:rPr>
        <w:t>cribed in our 2018 Form 10-K.  The significant accounting policies and estimates which we believe are the most critical to aid in fully understanding and evaluating our reported financial results include the following:</w:t>
      </w:r>
    </w:p>
    <w:p w:rsidR="00000000" w:rsidRDefault="00240F6E">
      <w:pPr>
        <w:pStyle w:val="a3"/>
        <w:spacing w:before="240" w:beforeAutospacing="0" w:after="0" w:afterAutospacing="0"/>
        <w:jc w:val="both"/>
        <w:rPr>
          <w:i/>
          <w:iCs/>
          <w:sz w:val="20"/>
          <w:szCs w:val="20"/>
        </w:rPr>
      </w:pPr>
      <w:r>
        <w:rPr>
          <w:i/>
          <w:iCs/>
          <w:sz w:val="20"/>
          <w:szCs w:val="20"/>
        </w:rPr>
        <w:t>Asset impairments.</w:t>
      </w:r>
      <w:r>
        <w:rPr>
          <w:b/>
          <w:bCs/>
          <w:i/>
          <w:iCs/>
          <w:sz w:val="20"/>
          <w:szCs w:val="20"/>
        </w:rPr>
        <w:t>  </w:t>
      </w:r>
      <w:r>
        <w:rPr>
          <w:sz w:val="20"/>
          <w:szCs w:val="20"/>
        </w:rPr>
        <w:t xml:space="preserve">The primary risk </w:t>
      </w:r>
      <w:r>
        <w:rPr>
          <w:sz w:val="20"/>
          <w:szCs w:val="20"/>
        </w:rPr>
        <w:t xml:space="preserve">we face for asset impairment charges, excluding goodwill, is associated with correctional facilities we own.  As of March 31, 2019, we had $2.8 billion in property and equipment, including $232.9 million in long-lived assets, excluding equipment, at eight </w:t>
      </w:r>
      <w:r>
        <w:rPr>
          <w:sz w:val="20"/>
          <w:szCs w:val="20"/>
        </w:rPr>
        <w:t>idled correctional facilities.  The impairment analyses we performed for each of these facilities excluded the net book value of equipment, as a substantial portion of the equipment is easily transferrable to other company-owned facilities without signific</w:t>
      </w:r>
      <w:r>
        <w:rPr>
          <w:sz w:val="20"/>
          <w:szCs w:val="20"/>
        </w:rPr>
        <w:t>ant cost.  The carrying values of the eight idled facilities as of March 31, 2019 were as follows (in thousands):</w:t>
      </w:r>
    </w:p>
    <w:p w:rsidR="00000000" w:rsidRDefault="00240F6E">
      <w:pPr>
        <w:pStyle w:val="a3"/>
        <w:spacing w:before="0" w:beforeAutospacing="0" w:after="0" w:afterAutospacing="0"/>
        <w:rPr>
          <w:sz w:val="20"/>
          <w:szCs w:val="20"/>
        </w:rPr>
      </w:pPr>
      <w:r>
        <w:rPr>
          <w:sz w:val="20"/>
          <w:szCs w:val="20"/>
        </w:rPr>
        <w:t> </w:t>
      </w:r>
    </w:p>
    <w:tbl>
      <w:tblPr>
        <w:tblW w:w="3000" w:type="pct"/>
        <w:tblCellMar>
          <w:left w:w="0" w:type="dxa"/>
          <w:right w:w="0" w:type="dxa"/>
        </w:tblCellMar>
        <w:tblLook w:val="04A0" w:firstRow="1" w:lastRow="0" w:firstColumn="1" w:lastColumn="0" w:noHBand="0" w:noVBand="1"/>
      </w:tblPr>
      <w:tblGrid>
        <w:gridCol w:w="3972"/>
        <w:gridCol w:w="70"/>
        <w:gridCol w:w="115"/>
        <w:gridCol w:w="762"/>
        <w:gridCol w:w="65"/>
      </w:tblGrid>
      <w:tr w:rsidR="00000000">
        <w:trPr>
          <w:divId w:val="477961646"/>
        </w:trPr>
        <w:tc>
          <w:tcPr>
            <w:tcW w:w="4011"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Prairie Correctional Facility</w:t>
            </w:r>
          </w:p>
        </w:tc>
        <w:tc>
          <w:tcPr>
            <w:tcW w:w="9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791"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15,086</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477961646"/>
        </w:trPr>
        <w:tc>
          <w:tcPr>
            <w:tcW w:w="4011"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Huerfano County Correctional Center</w:t>
            </w:r>
          </w:p>
        </w:tc>
        <w:tc>
          <w:tcPr>
            <w:tcW w:w="9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16,497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477961646"/>
        </w:trPr>
        <w:tc>
          <w:tcPr>
            <w:tcW w:w="4011"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Diamondback Correctional Facility</w:t>
            </w:r>
          </w:p>
        </w:tc>
        <w:tc>
          <w:tcPr>
            <w:tcW w:w="9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1"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40,800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477961646"/>
        </w:trPr>
        <w:tc>
          <w:tcPr>
            <w:tcW w:w="4011"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Southeast Kentucky Correctional Facility</w:t>
            </w:r>
          </w:p>
        </w:tc>
        <w:tc>
          <w:tcPr>
            <w:tcW w:w="9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20,889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477961646"/>
        </w:trPr>
        <w:tc>
          <w:tcPr>
            <w:tcW w:w="4011"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Marion Adjustment Center</w:t>
            </w:r>
          </w:p>
        </w:tc>
        <w:tc>
          <w:tcPr>
            <w:tcW w:w="9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1"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11,666</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477961646"/>
        </w:trPr>
        <w:tc>
          <w:tcPr>
            <w:tcW w:w="4011"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Kit Carson Correctional Center</w:t>
            </w:r>
          </w:p>
        </w:tc>
        <w:tc>
          <w:tcPr>
            <w:tcW w:w="9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1"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55,069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477961646"/>
        </w:trPr>
        <w:tc>
          <w:tcPr>
            <w:tcW w:w="4011"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Eden Detention Center</w:t>
            </w:r>
          </w:p>
        </w:tc>
        <w:tc>
          <w:tcPr>
            <w:tcW w:w="9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1"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37,966</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477961646"/>
        </w:trPr>
        <w:tc>
          <w:tcPr>
            <w:tcW w:w="4011"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Torrance County Detention Facility</w:t>
            </w:r>
          </w:p>
        </w:tc>
        <w:tc>
          <w:tcPr>
            <w:tcW w:w="9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1"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34,968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477961646"/>
        </w:trPr>
        <w:tc>
          <w:tcPr>
            <w:tcW w:w="401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9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791"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232,941</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
                <w:szCs w:val="2"/>
              </w:rPr>
            </w:pPr>
            <w:r>
              <w:rPr>
                <w:color w:val="000000"/>
                <w:sz w:val="2"/>
                <w:szCs w:val="2"/>
              </w:rPr>
              <w:t> </w:t>
            </w:r>
          </w:p>
        </w:tc>
      </w:tr>
    </w:tbl>
    <w:p w:rsidR="00000000" w:rsidRDefault="00240F6E">
      <w:pPr>
        <w:pStyle w:val="a3"/>
        <w:spacing w:before="0" w:beforeAutospacing="0" w:after="0" w:afterAutospacing="0"/>
        <w:jc w:val="both"/>
        <w:rPr>
          <w:sz w:val="20"/>
          <w:szCs w:val="20"/>
        </w:rPr>
      </w:pPr>
      <w:r>
        <w:rPr>
          <w:sz w:val="20"/>
          <w:szCs w:val="20"/>
        </w:rPr>
        <w:t> </w:t>
      </w:r>
    </w:p>
    <w:p w:rsidR="00000000" w:rsidRDefault="00240F6E">
      <w:pPr>
        <w:pStyle w:val="a3"/>
        <w:spacing w:before="0" w:beforeAutospacing="0" w:after="0" w:afterAutospacing="0"/>
        <w:jc w:val="both"/>
        <w:rPr>
          <w:sz w:val="20"/>
          <w:szCs w:val="20"/>
        </w:rPr>
      </w:pPr>
      <w:r>
        <w:rPr>
          <w:sz w:val="20"/>
          <w:szCs w:val="20"/>
        </w:rPr>
        <w:t>We also have two idled non-core facilities containing an aggregate of 440 beds with an aggregate net book value of $3.7 million.  We incurred operating expenses at the idled facilities of approximately $3.1 million and $3.5 million for the three months end</w:t>
      </w:r>
      <w:r>
        <w:rPr>
          <w:sz w:val="20"/>
          <w:szCs w:val="20"/>
        </w:rPr>
        <w:t>ed March 31, 2019 and 2018, respectively.  </w:t>
      </w:r>
    </w:p>
    <w:p w:rsidR="00000000" w:rsidRDefault="00240F6E">
      <w:pPr>
        <w:pStyle w:val="a3"/>
        <w:spacing w:before="240" w:beforeAutospacing="0" w:after="0" w:afterAutospacing="0"/>
        <w:jc w:val="both"/>
        <w:rPr>
          <w:sz w:val="20"/>
          <w:szCs w:val="20"/>
        </w:rPr>
      </w:pPr>
      <w:r>
        <w:rPr>
          <w:sz w:val="20"/>
          <w:szCs w:val="20"/>
        </w:rPr>
        <w:t>We evaluate the recoverability of the carrying values of our long-lived assets, other than goodwill, when events suggest that an impairment may have occurred.  Such events primarily include, but are not limited t</w:t>
      </w:r>
      <w:r>
        <w:rPr>
          <w:sz w:val="20"/>
          <w:szCs w:val="20"/>
        </w:rPr>
        <w:t>o, the termination of a management contract or a significant decrease in offender populations within a facility we own.  Accordingly, we tested each of the idled facilities for impairment when we were notified by the respective customers that they would no</w:t>
      </w:r>
      <w:r>
        <w:rPr>
          <w:sz w:val="20"/>
          <w:szCs w:val="20"/>
        </w:rPr>
        <w:t xml:space="preserve"> longer be utilizing such facility.    </w:t>
      </w:r>
    </w:p>
    <w:p w:rsidR="00000000" w:rsidRDefault="00240F6E">
      <w:pPr>
        <w:pStyle w:val="a3"/>
        <w:spacing w:before="240" w:beforeAutospacing="0" w:after="0" w:afterAutospacing="0"/>
        <w:jc w:val="both"/>
        <w:rPr>
          <w:sz w:val="20"/>
          <w:szCs w:val="20"/>
        </w:rPr>
      </w:pPr>
      <w:r>
        <w:rPr>
          <w:sz w:val="20"/>
          <w:szCs w:val="20"/>
        </w:rPr>
        <w:t>We re-perform the impairment analyses on an annual basis for each of the idle facilities and evaluate on a quarterly basis market developments for the potential utilization of each of these facilities in order to ide</w:t>
      </w:r>
      <w:r>
        <w:rPr>
          <w:sz w:val="20"/>
          <w:szCs w:val="20"/>
        </w:rPr>
        <w:t>ntify events that may cause us to reconsider our most recent assumptions.  Such events could include negotiations with a prospective customer for the utilization of an idle facility at terms significantly less favorable than those used in our most recent i</w:t>
      </w:r>
      <w:r>
        <w:rPr>
          <w:sz w:val="20"/>
          <w:szCs w:val="20"/>
        </w:rPr>
        <w:t>mpairment analysis, or changes in legislation surrounding a particular facility that could impact our ability to care for certain types of offenders at such facility, or a demolition or substantial renovation of a facility.  Further, a substantial increase</w:t>
      </w:r>
      <w:r>
        <w:rPr>
          <w:sz w:val="20"/>
          <w:szCs w:val="20"/>
        </w:rPr>
        <w:t xml:space="preserve"> in the number of available beds at other facilities we own could lead to a deterioration in market conditions and cash flows that we might be able to obtain under a new management contract at our idle facilities. Although they are not frequently received,</w:t>
      </w:r>
      <w:r>
        <w:rPr>
          <w:sz w:val="20"/>
          <w:szCs w:val="20"/>
        </w:rPr>
        <w:t xml:space="preserve"> an unsolicited offer to purchase any of our idle facilities at amounts that are less than the carrying value could also cause us to reconsider the assumptions used in our most recent impairment analysis.  </w:t>
      </w:r>
    </w:p>
    <w:p w:rsidR="00000000" w:rsidRDefault="00240F6E">
      <w:pPr>
        <w:pStyle w:val="a3"/>
        <w:spacing w:before="240" w:beforeAutospacing="0" w:after="0" w:afterAutospacing="0"/>
        <w:jc w:val="both"/>
        <w:rPr>
          <w:sz w:val="20"/>
          <w:szCs w:val="20"/>
        </w:rPr>
      </w:pPr>
      <w:r>
        <w:rPr>
          <w:sz w:val="20"/>
          <w:szCs w:val="20"/>
        </w:rPr>
        <w:t>Our impairment evaluations also take into conside</w:t>
      </w:r>
      <w:r>
        <w:rPr>
          <w:sz w:val="20"/>
          <w:szCs w:val="20"/>
        </w:rPr>
        <w:t>ration our historical experience in securing new management contracts to utilize facilities that had been previously idled for substantial periods of time.  Such previously idled facilities are currently being operated under contracts that continue to gene</w:t>
      </w:r>
      <w:r>
        <w:rPr>
          <w:sz w:val="20"/>
          <w:szCs w:val="20"/>
        </w:rPr>
        <w:t>rate cash flows resulting in the recoverability of the net book value of the previously idled facilities by material amounts.  Due to a variety of factors, the lead time to negotiate contracts with our federal and state partners to utilize idle bed capacit</w:t>
      </w:r>
      <w:r>
        <w:rPr>
          <w:sz w:val="20"/>
          <w:szCs w:val="20"/>
        </w:rPr>
        <w:t>y is generally lengthy.  As a result of our analyses, we determined each of the idled facilities to have recoverable values in excess of the corresponding carrying values.  However, we can provide no assurance that we will be able to secure agreements to u</w:t>
      </w:r>
      <w:r>
        <w:rPr>
          <w:sz w:val="20"/>
          <w:szCs w:val="20"/>
        </w:rPr>
        <w:t>tilize our idle facilities, or that we will not incur impairment charges in the future.</w:t>
      </w:r>
    </w:p>
    <w:p w:rsidR="00000000" w:rsidRDefault="00240F6E">
      <w:pPr>
        <w:pStyle w:val="a3"/>
        <w:spacing w:before="0" w:beforeAutospacing="0" w:after="0" w:afterAutospacing="0"/>
        <w:rPr>
          <w:sz w:val="20"/>
          <w:szCs w:val="20"/>
        </w:rPr>
      </w:pPr>
    </w:p>
    <w:p w:rsidR="00000000" w:rsidRDefault="00240F6E">
      <w:pPr>
        <w:pStyle w:val="a3"/>
        <w:spacing w:before="240" w:beforeAutospacing="0" w:after="0" w:afterAutospacing="0"/>
        <w:jc w:val="center"/>
        <w:rPr>
          <w:sz w:val="20"/>
          <w:szCs w:val="20"/>
        </w:rPr>
      </w:pPr>
      <w:r>
        <w:rPr>
          <w:sz w:val="20"/>
          <w:szCs w:val="20"/>
        </w:rPr>
        <w:t>26</w:t>
      </w:r>
    </w:p>
    <w:p w:rsidR="00000000" w:rsidRDefault="00240F6E">
      <w:pPr>
        <w:rPr>
          <w:rFonts w:eastAsia="Times New Roman"/>
        </w:rPr>
      </w:pPr>
      <w:r>
        <w:rPr>
          <w:rFonts w:eastAsia="Times New Roman"/>
        </w:rPr>
        <w:pict>
          <v:rect id="_x0000_i1052" style="width:0;height:1.5pt" o:hralign="center" o:hrstd="t" o:hr="t" fillcolor="#a0a0a0" stroked="f"/>
        </w:pict>
      </w:r>
    </w:p>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240" w:beforeAutospacing="0" w:after="0" w:afterAutospacing="0"/>
        <w:jc w:val="both"/>
        <w:rPr>
          <w:sz w:val="20"/>
          <w:szCs w:val="20"/>
        </w:rPr>
      </w:pPr>
      <w:r>
        <w:rPr>
          <w:sz w:val="20"/>
          <w:szCs w:val="20"/>
        </w:rPr>
        <w:t>By their nature, these estimates contain uncertainties with respect to the extent and timing of the respective cash flows du</w:t>
      </w:r>
      <w:r>
        <w:rPr>
          <w:sz w:val="20"/>
          <w:szCs w:val="20"/>
        </w:rPr>
        <w:t>e to potential delays or material changes to historical terms and conditions in contracts with prospective customers that could impact the estimate of cash flows.  Notwithstanding our customers' fluctuating demand for bed capacity which led to our decision</w:t>
      </w:r>
      <w:r>
        <w:rPr>
          <w:sz w:val="20"/>
          <w:szCs w:val="20"/>
        </w:rPr>
        <w:t xml:space="preserve"> to idle certain facilities, we believe the long-term trends favor an increase in the utilization of our correctional facilities and management services.  This belief is based on our experience in working with governmental agencies faced with significant b</w:t>
      </w:r>
      <w:r>
        <w:rPr>
          <w:sz w:val="20"/>
          <w:szCs w:val="20"/>
        </w:rPr>
        <w:t>udgetary challenges, which is a primary contributing factor to the lack of appropriated funding since 2009 to build new bed capacity by the federal and state governments with which we partner.</w:t>
      </w:r>
    </w:p>
    <w:p w:rsidR="00000000" w:rsidRDefault="00240F6E">
      <w:pPr>
        <w:pStyle w:val="a3"/>
        <w:spacing w:before="240" w:beforeAutospacing="0" w:after="0" w:afterAutospacing="0"/>
        <w:jc w:val="both"/>
        <w:rPr>
          <w:i/>
          <w:iCs/>
          <w:sz w:val="20"/>
          <w:szCs w:val="20"/>
        </w:rPr>
      </w:pPr>
      <w:r>
        <w:rPr>
          <w:i/>
          <w:iCs/>
          <w:sz w:val="20"/>
          <w:szCs w:val="20"/>
        </w:rPr>
        <w:t xml:space="preserve">Goodwill Impairments – </w:t>
      </w:r>
      <w:r>
        <w:rPr>
          <w:sz w:val="20"/>
          <w:szCs w:val="20"/>
        </w:rPr>
        <w:t>As of March 31, 2019, we had $48.2 milli</w:t>
      </w:r>
      <w:r>
        <w:rPr>
          <w:sz w:val="20"/>
          <w:szCs w:val="20"/>
        </w:rPr>
        <w:t xml:space="preserve">on of goodwill, established in connection with multiple business combination transactions.  We evaluate the recoverability of the carrying value of goodwill annually, in connection with our annual budgeting process, and whenever circumstances indicate the </w:t>
      </w:r>
      <w:r>
        <w:rPr>
          <w:sz w:val="20"/>
          <w:szCs w:val="20"/>
        </w:rPr>
        <w:t>carrying value of goodwill may not be recoverable.  Under the provisions of Accounting Standards Update, or ASU, 2017-04, "Intangibles–Goodwill and Other (Topic 350): Simplifying the Test of Goodwill Impairment", we perform a qualitative assessment to dete</w:t>
      </w:r>
      <w:r>
        <w:rPr>
          <w:sz w:val="20"/>
          <w:szCs w:val="20"/>
        </w:rPr>
        <w:t>rmine whether the existence of events or circumstances leads to a determination that it is more likely than not that the fair value of a reporting unit is less than its carrying amount.  If, after assessing the totality of events or circumstances, we deter</w:t>
      </w:r>
      <w:r>
        <w:rPr>
          <w:sz w:val="20"/>
          <w:szCs w:val="20"/>
        </w:rPr>
        <w:t>mine it is not more likely than not that the fair value of a reporting unit is less than its carrying amount, then performing a quantitative impairment test is not necessary.  If a quantitative test is required, we perform an assessment to identify the exi</w:t>
      </w:r>
      <w:r>
        <w:rPr>
          <w:sz w:val="20"/>
          <w:szCs w:val="20"/>
        </w:rPr>
        <w:t>stence of impairment and to measure the excess of a reporting unit's carrying amount over its fair value by using a combination of various common valuation techniques, including market multiples and discounted cash flows.  By their nature, valuation techni</w:t>
      </w:r>
      <w:r>
        <w:rPr>
          <w:sz w:val="20"/>
          <w:szCs w:val="20"/>
        </w:rPr>
        <w:t>ques are subject to considerable judgment and require estimates of future cash flows as well as other factors, which are often difficult to predict.  Estimated fair values could change if there are changes in our capital structure, cost of debt, interest r</w:t>
      </w:r>
      <w:r>
        <w:rPr>
          <w:sz w:val="20"/>
          <w:szCs w:val="20"/>
        </w:rPr>
        <w:t>ates, capital expenditure levels, operating cash flows, or market capitalization. Accordingly, we may incur goodwill impairment charges in the future.  </w:t>
      </w:r>
    </w:p>
    <w:p w:rsidR="00000000" w:rsidRDefault="00240F6E">
      <w:pPr>
        <w:pStyle w:val="a3"/>
        <w:spacing w:before="240" w:beforeAutospacing="0" w:after="0" w:afterAutospacing="0"/>
        <w:jc w:val="both"/>
        <w:rPr>
          <w:i/>
          <w:iCs/>
          <w:sz w:val="20"/>
          <w:szCs w:val="20"/>
        </w:rPr>
      </w:pPr>
      <w:r>
        <w:rPr>
          <w:i/>
          <w:iCs/>
          <w:sz w:val="20"/>
          <w:szCs w:val="20"/>
        </w:rPr>
        <w:t>Self-funded insurance reserves</w:t>
      </w:r>
      <w:r>
        <w:rPr>
          <w:sz w:val="20"/>
          <w:szCs w:val="20"/>
        </w:rPr>
        <w:t>.  As of March </w:t>
      </w:r>
      <w:r>
        <w:rPr>
          <w:sz w:val="20"/>
          <w:szCs w:val="20"/>
        </w:rPr>
        <w:t>31, 2019, we had $34.9 million in accrued liabilities for employee health, workers' compensation, and automobile insurance claims.  We are significantly self-insured for employee health, workers' compensation, and automobile liability insurance claims.  As</w:t>
      </w:r>
      <w:r>
        <w:rPr>
          <w:sz w:val="20"/>
          <w:szCs w:val="20"/>
        </w:rPr>
        <w:t xml:space="preserve"> such, our insurance expense is largely dependent on claims experience and our ability to control our claims.  We have consistently accrued the estimated liability for employee health insurance claims based on our history of claims experience and the estim</w:t>
      </w:r>
      <w:r>
        <w:rPr>
          <w:sz w:val="20"/>
          <w:szCs w:val="20"/>
        </w:rPr>
        <w:t>ated time lag between the incident date and the date we pay the claims.  We have accrued the estimated liability for workers' compensation claims based on an actuarial valuation of the outstanding liabilities, discounted to the net present value of the out</w:t>
      </w:r>
      <w:r>
        <w:rPr>
          <w:sz w:val="20"/>
          <w:szCs w:val="20"/>
        </w:rPr>
        <w:t>standing liabilities, using a combination of actuarial methods used to project ultimate losses, and our automobile insurance claims based on estimated development factors on claims incurred. The liability for employee health, workers' compensation, and aut</w:t>
      </w:r>
      <w:r>
        <w:rPr>
          <w:sz w:val="20"/>
          <w:szCs w:val="20"/>
        </w:rPr>
        <w:t>omobile insurance includes estimates for both claims incurred and for claims incurred but not reported.  These estimates could change in the future.  It is possible that future cash flows and results of operations could be materially affected by changes in</w:t>
      </w:r>
      <w:r>
        <w:rPr>
          <w:sz w:val="20"/>
          <w:szCs w:val="20"/>
        </w:rPr>
        <w:t xml:space="preserve"> our assumptions, new developments, or by the effectiveness of our strategies.</w:t>
      </w:r>
    </w:p>
    <w:p w:rsidR="00000000" w:rsidRDefault="00240F6E">
      <w:pPr>
        <w:pStyle w:val="a3"/>
        <w:spacing w:before="240" w:beforeAutospacing="0" w:after="0" w:afterAutospacing="0"/>
        <w:jc w:val="both"/>
        <w:rPr>
          <w:i/>
          <w:iCs/>
          <w:sz w:val="20"/>
          <w:szCs w:val="20"/>
        </w:rPr>
      </w:pPr>
      <w:r>
        <w:rPr>
          <w:i/>
          <w:iCs/>
          <w:sz w:val="20"/>
          <w:szCs w:val="20"/>
        </w:rPr>
        <w:t>Legal reserves.</w:t>
      </w:r>
      <w:r>
        <w:rPr>
          <w:sz w:val="20"/>
          <w:szCs w:val="20"/>
        </w:rPr>
        <w:t>  As of March 31, 2019, we had $13.7 million in accrued liabilities under the provisions of Accounting Standards Codification Subtopic 450-20, "Loss Contingencies</w:t>
      </w:r>
      <w:r>
        <w:rPr>
          <w:sz w:val="20"/>
          <w:szCs w:val="20"/>
        </w:rPr>
        <w:t>," or ASC 450, related to certain claims and legal proceedings in which we are involved.  We have accrued our best estimate of the probable costs for the resolution of these claims and legal proceedings.  In addition, we are subject to current and potentia</w:t>
      </w:r>
      <w:r>
        <w:rPr>
          <w:sz w:val="20"/>
          <w:szCs w:val="20"/>
        </w:rPr>
        <w:t>l future claims and legal proceedings for which little or no accrual has been reflected because our current assessment of the potential exposure is nominal.  These estimates have been developed in consultation with our General Counsel's office and, as appr</w:t>
      </w:r>
      <w:r>
        <w:rPr>
          <w:sz w:val="20"/>
          <w:szCs w:val="20"/>
        </w:rPr>
        <w:t>opriate, outside counsel handling these matters, and are based upon an analysis of potential results, assuming a combination of litigation and settlement strategies.  It is possible that future cash flows and results of operations could be materially affec</w:t>
      </w:r>
      <w:r>
        <w:rPr>
          <w:sz w:val="20"/>
          <w:szCs w:val="20"/>
        </w:rPr>
        <w:t>ted by changes in our assumptions, new developments, or by the effectiveness of our litigation and settlement strategies.</w:t>
      </w:r>
    </w:p>
    <w:p w:rsidR="00000000" w:rsidRDefault="00240F6E">
      <w:pPr>
        <w:pStyle w:val="a3"/>
        <w:spacing w:before="0" w:beforeAutospacing="0" w:after="0" w:afterAutospacing="0"/>
        <w:rPr>
          <w:b/>
          <w:bCs/>
          <w:sz w:val="20"/>
          <w:szCs w:val="20"/>
        </w:rPr>
      </w:pPr>
    </w:p>
    <w:p w:rsidR="00000000" w:rsidRDefault="00240F6E">
      <w:pPr>
        <w:pStyle w:val="a3"/>
        <w:spacing w:before="240" w:beforeAutospacing="0" w:after="0" w:afterAutospacing="0"/>
        <w:jc w:val="center"/>
        <w:rPr>
          <w:sz w:val="20"/>
          <w:szCs w:val="20"/>
        </w:rPr>
      </w:pPr>
      <w:r>
        <w:rPr>
          <w:sz w:val="20"/>
          <w:szCs w:val="20"/>
        </w:rPr>
        <w:t>27</w:t>
      </w:r>
    </w:p>
    <w:p w:rsidR="00000000" w:rsidRDefault="00240F6E">
      <w:pPr>
        <w:rPr>
          <w:rFonts w:eastAsia="Times New Roman"/>
        </w:rPr>
      </w:pPr>
      <w:r>
        <w:rPr>
          <w:rFonts w:eastAsia="Times New Roman"/>
        </w:rPr>
        <w:pict>
          <v:rect id="_x0000_i1053" style="width:0;height:1.5pt" o:hralign="center" o:hrstd="t" o:hr="t" fillcolor="#a0a0a0" stroked="f"/>
        </w:pict>
      </w:r>
    </w:p>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360" w:beforeAutospacing="0" w:after="0" w:afterAutospacing="0"/>
        <w:jc w:val="both"/>
        <w:rPr>
          <w:b/>
          <w:bCs/>
          <w:sz w:val="20"/>
          <w:szCs w:val="20"/>
        </w:rPr>
      </w:pPr>
      <w:r>
        <w:rPr>
          <w:b/>
          <w:bCs/>
          <w:sz w:val="20"/>
          <w:szCs w:val="20"/>
        </w:rPr>
        <w:t>RESULTS OF OPERATIONS</w:t>
      </w:r>
    </w:p>
    <w:p w:rsidR="00000000" w:rsidRDefault="00240F6E">
      <w:pPr>
        <w:pStyle w:val="a3"/>
        <w:spacing w:before="120" w:beforeAutospacing="0" w:after="0" w:afterAutospacing="0"/>
        <w:jc w:val="both"/>
        <w:rPr>
          <w:sz w:val="20"/>
          <w:szCs w:val="20"/>
        </w:rPr>
      </w:pPr>
      <w:r>
        <w:rPr>
          <w:sz w:val="20"/>
          <w:szCs w:val="20"/>
        </w:rPr>
        <w:t>Our results of operations are impacted by the number of correctional</w:t>
      </w:r>
      <w:r>
        <w:rPr>
          <w:sz w:val="20"/>
          <w:szCs w:val="20"/>
        </w:rPr>
        <w:t xml:space="preserve"> and detention facilities we operated, including 44 we owned and seven owned by our government partners (CoreCivic Safety), the number of residential reentry centers we owned and operated (CoreCivic Community), the number of facilities we leased to other o</w:t>
      </w:r>
      <w:r>
        <w:rPr>
          <w:sz w:val="20"/>
          <w:szCs w:val="20"/>
        </w:rPr>
        <w:t xml:space="preserve">perators (CoreCivic Properties), and the facilities we owned that were not in operation.  The following table sets forth the changes in the number of facilities operated for the periods presented: </w:t>
      </w:r>
    </w:p>
    <w:p w:rsidR="00000000" w:rsidRDefault="00240F6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580"/>
        <w:gridCol w:w="65"/>
        <w:gridCol w:w="1087"/>
        <w:gridCol w:w="65"/>
        <w:gridCol w:w="66"/>
        <w:gridCol w:w="530"/>
        <w:gridCol w:w="65"/>
        <w:gridCol w:w="65"/>
        <w:gridCol w:w="121"/>
        <w:gridCol w:w="917"/>
        <w:gridCol w:w="65"/>
        <w:gridCol w:w="65"/>
        <w:gridCol w:w="105"/>
        <w:gridCol w:w="799"/>
        <w:gridCol w:w="65"/>
        <w:gridCol w:w="65"/>
        <w:gridCol w:w="66"/>
        <w:gridCol w:w="450"/>
        <w:gridCol w:w="65"/>
      </w:tblGrid>
      <w:tr w:rsidR="00000000">
        <w:trPr>
          <w:divId w:val="1032653576"/>
        </w:trPr>
        <w:tc>
          <w:tcPr>
            <w:tcW w:w="218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sz w:val="20"/>
                <w:szCs w:val="20"/>
              </w:rPr>
            </w:pPr>
            <w:r>
              <w:rPr>
                <w:sz w:val="20"/>
                <w:szCs w:val="20"/>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636"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20"/>
                <w:szCs w:val="20"/>
              </w:rPr>
            </w:pPr>
            <w:r>
              <w:rPr>
                <w:b/>
                <w:bCs/>
                <w:color w:val="000000"/>
                <w:sz w:val="20"/>
                <w:szCs w:val="20"/>
              </w:rPr>
              <w:t>Effective</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1498" w:type="pct"/>
            <w:gridSpan w:val="10"/>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20"/>
                <w:szCs w:val="20"/>
              </w:rPr>
            </w:pPr>
            <w:r>
              <w:rPr>
                <w:b/>
                <w:bCs/>
                <w:color w:val="000000"/>
                <w:sz w:val="20"/>
                <w:szCs w:val="20"/>
              </w:rPr>
              <w:t>CoreCivic</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r>
      <w:tr w:rsidR="00000000">
        <w:trPr>
          <w:divId w:val="1032653576"/>
        </w:trPr>
        <w:tc>
          <w:tcPr>
            <w:tcW w:w="218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636" w:type="pct"/>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20"/>
                <w:szCs w:val="20"/>
              </w:rPr>
            </w:pPr>
            <w:r>
              <w:rPr>
                <w:b/>
                <w:bCs/>
                <w:color w:val="000000"/>
                <w:sz w:val="20"/>
                <w:szCs w:val="20"/>
              </w:rPr>
              <w:t>Date</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20"/>
                <w:szCs w:val="20"/>
              </w:rPr>
            </w:pPr>
            <w:r>
              <w:rPr>
                <w:b/>
                <w:bCs/>
                <w:color w:val="000000"/>
                <w:sz w:val="20"/>
                <w:szCs w:val="20"/>
              </w:rPr>
              <w:t>Safety</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20"/>
                <w:szCs w:val="20"/>
              </w:rPr>
            </w:pPr>
            <w:r>
              <w:rPr>
                <w:b/>
                <w:bCs/>
                <w:color w:val="000000"/>
                <w:sz w:val="20"/>
                <w:szCs w:val="20"/>
              </w:rPr>
              <w:t>Community</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3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20"/>
                <w:szCs w:val="20"/>
              </w:rPr>
            </w:pPr>
            <w:r>
              <w:rPr>
                <w:b/>
                <w:bCs/>
                <w:color w:val="000000"/>
                <w:sz w:val="20"/>
                <w:szCs w:val="20"/>
              </w:rPr>
              <w:t>Properties</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32"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20"/>
                <w:szCs w:val="20"/>
              </w:rPr>
            </w:pPr>
            <w:r>
              <w:rPr>
                <w:b/>
                <w:bCs/>
                <w:color w:val="000000"/>
                <w:sz w:val="20"/>
                <w:szCs w:val="20"/>
              </w:rPr>
              <w:t>Total</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r>
      <w:tr w:rsidR="00000000">
        <w:trPr>
          <w:divId w:val="1032653576"/>
        </w:trPr>
        <w:tc>
          <w:tcPr>
            <w:tcW w:w="2180"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Facilities as of December 31, 2017</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6" w:type="pct"/>
            <w:tcBorders>
              <w:top w:val="single" w:sz="6" w:space="0" w:color="000000"/>
            </w:tcBorders>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51</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26</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89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032653576"/>
        </w:trPr>
        <w:tc>
          <w:tcPr>
            <w:tcW w:w="2180"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Acquisition of a leased property</w:t>
            </w:r>
          </w:p>
          <w:p w:rsidR="00000000" w:rsidRDefault="00240F6E">
            <w:pPr>
              <w:pStyle w:val="a3"/>
              <w:spacing w:before="0" w:beforeAutospacing="0" w:after="0" w:afterAutospacing="0"/>
              <w:rPr>
                <w:color w:val="000000"/>
                <w:sz w:val="20"/>
                <w:szCs w:val="20"/>
              </w:rPr>
            </w:pPr>
            <w:r>
              <w:rPr>
                <w:color w:val="000000"/>
                <w:sz w:val="20"/>
                <w:szCs w:val="20"/>
              </w:rPr>
              <w:t>   in Florida</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color w:val="000000"/>
                <w:sz w:val="20"/>
                <w:szCs w:val="20"/>
              </w:rPr>
            </w:pPr>
            <w:r>
              <w:rPr>
                <w:color w:val="000000"/>
                <w:sz w:val="20"/>
                <w:szCs w:val="20"/>
              </w:rPr>
              <w:t>January 2018</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032653576"/>
        </w:trPr>
        <w:tc>
          <w:tcPr>
            <w:tcW w:w="2180"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Acquisition of a portfolio of leased</w:t>
            </w:r>
          </w:p>
          <w:p w:rsidR="00000000" w:rsidRDefault="00240F6E">
            <w:pPr>
              <w:pStyle w:val="a3"/>
              <w:spacing w:before="0" w:beforeAutospacing="0" w:after="0" w:afterAutospacing="0"/>
              <w:rPr>
                <w:color w:val="000000"/>
                <w:sz w:val="20"/>
                <w:szCs w:val="20"/>
              </w:rPr>
            </w:pPr>
            <w:r>
              <w:rPr>
                <w:color w:val="000000"/>
                <w:sz w:val="20"/>
                <w:szCs w:val="20"/>
              </w:rPr>
              <w:t>   properties in Arkansas, Missouri,</w:t>
            </w:r>
          </w:p>
          <w:p w:rsidR="00000000" w:rsidRDefault="00240F6E">
            <w:pPr>
              <w:pStyle w:val="a3"/>
              <w:spacing w:before="0" w:beforeAutospacing="0" w:after="0" w:afterAutospacing="0"/>
              <w:rPr>
                <w:color w:val="000000"/>
                <w:sz w:val="20"/>
                <w:szCs w:val="20"/>
              </w:rPr>
            </w:pPr>
            <w:r>
              <w:rPr>
                <w:color w:val="000000"/>
                <w:sz w:val="20"/>
                <w:szCs w:val="20"/>
              </w:rPr>
              <w:t>   Oklahoma, Tennessee and Texas</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center"/>
              <w:rPr>
                <w:color w:val="000000"/>
                <w:sz w:val="20"/>
                <w:szCs w:val="20"/>
              </w:rPr>
            </w:pPr>
            <w:r>
              <w:rPr>
                <w:color w:val="000000"/>
                <w:sz w:val="20"/>
                <w:szCs w:val="20"/>
              </w:rPr>
              <w:t>July 2018</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82"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032653576"/>
        </w:trPr>
        <w:tc>
          <w:tcPr>
            <w:tcW w:w="2180"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Acquisition of a leased property in</w:t>
            </w:r>
          </w:p>
          <w:p w:rsidR="00000000" w:rsidRDefault="00240F6E">
            <w:pPr>
              <w:pStyle w:val="a3"/>
              <w:spacing w:before="0" w:beforeAutospacing="0" w:after="0" w:afterAutospacing="0"/>
              <w:rPr>
                <w:color w:val="000000"/>
                <w:sz w:val="20"/>
                <w:szCs w:val="20"/>
              </w:rPr>
            </w:pPr>
            <w:r>
              <w:rPr>
                <w:color w:val="000000"/>
                <w:sz w:val="20"/>
                <w:szCs w:val="20"/>
              </w:rPr>
              <w:t>   Maryland</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color w:val="000000"/>
                <w:sz w:val="20"/>
                <w:szCs w:val="20"/>
              </w:rPr>
            </w:pPr>
            <w:r>
              <w:rPr>
                <w:color w:val="000000"/>
                <w:sz w:val="20"/>
                <w:szCs w:val="20"/>
              </w:rPr>
              <w:t>August 2018</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82"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032653576"/>
        </w:trPr>
        <w:tc>
          <w:tcPr>
            <w:tcW w:w="2180"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Acquisition of a leased property in Ohio</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center"/>
              <w:rPr>
                <w:color w:val="000000"/>
                <w:sz w:val="20"/>
                <w:szCs w:val="20"/>
              </w:rPr>
            </w:pPr>
            <w:r>
              <w:rPr>
                <w:color w:val="000000"/>
                <w:sz w:val="20"/>
                <w:szCs w:val="20"/>
              </w:rPr>
              <w:t>September 2018</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8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032653576"/>
        </w:trPr>
        <w:tc>
          <w:tcPr>
            <w:tcW w:w="218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Facilities as of December 31, 2018</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26</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104</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032653576"/>
        </w:trPr>
        <w:tc>
          <w:tcPr>
            <w:tcW w:w="2180"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Acquisition of the South Raleigh Reentry</w:t>
            </w:r>
          </w:p>
          <w:p w:rsidR="00000000" w:rsidRDefault="00240F6E">
            <w:pPr>
              <w:pStyle w:val="a3"/>
              <w:spacing w:before="0" w:beforeAutospacing="0" w:after="0" w:afterAutospacing="0"/>
              <w:rPr>
                <w:color w:val="000000"/>
                <w:sz w:val="20"/>
                <w:szCs w:val="20"/>
              </w:rPr>
            </w:pPr>
            <w:r>
              <w:rPr>
                <w:color w:val="000000"/>
                <w:sz w:val="20"/>
                <w:szCs w:val="20"/>
              </w:rPr>
              <w:t xml:space="preserve">   </w:t>
            </w:r>
            <w:r>
              <w:rPr>
                <w:color w:val="000000"/>
                <w:sz w:val="20"/>
                <w:szCs w:val="20"/>
              </w:rPr>
              <w:t>Center in North Carolina</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6"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center"/>
              <w:rPr>
                <w:color w:val="000000"/>
                <w:sz w:val="20"/>
                <w:szCs w:val="20"/>
              </w:rPr>
            </w:pPr>
            <w:r>
              <w:rPr>
                <w:color w:val="000000"/>
                <w:sz w:val="20"/>
                <w:szCs w:val="20"/>
              </w:rPr>
              <w:t>February 2019</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82" w:type="pct"/>
            <w:tcBorders>
              <w:top w:val="doub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032653576"/>
        </w:trPr>
        <w:tc>
          <w:tcPr>
            <w:tcW w:w="218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Facilities as of March 31, 2019</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36"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20"/>
                <w:szCs w:val="20"/>
              </w:rPr>
            </w:pPr>
            <w:r>
              <w:rPr>
                <w:b/>
                <w:bCs/>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51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8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105</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
                <w:szCs w:val="2"/>
              </w:rPr>
            </w:pPr>
            <w:r>
              <w:rPr>
                <w:b/>
                <w:bCs/>
                <w:color w:val="000000"/>
                <w:sz w:val="2"/>
                <w:szCs w:val="2"/>
              </w:rPr>
              <w:t> </w:t>
            </w:r>
          </w:p>
        </w:tc>
      </w:tr>
    </w:tbl>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160" w:beforeAutospacing="0" w:after="0" w:afterAutospacing="0"/>
        <w:jc w:val="both"/>
        <w:rPr>
          <w:b/>
          <w:bCs/>
          <w:sz w:val="20"/>
          <w:szCs w:val="20"/>
        </w:rPr>
      </w:pPr>
      <w:r>
        <w:rPr>
          <w:b/>
          <w:bCs/>
          <w:sz w:val="20"/>
          <w:szCs w:val="20"/>
        </w:rPr>
        <w:t>Three Months Ended March 31, 2019 Compared to the Three Months Ended March 31, 2018</w:t>
      </w:r>
    </w:p>
    <w:p w:rsidR="00000000" w:rsidRDefault="00240F6E">
      <w:pPr>
        <w:pStyle w:val="a3"/>
        <w:spacing w:before="120" w:beforeAutospacing="0" w:after="0" w:afterAutospacing="0"/>
        <w:jc w:val="both"/>
        <w:rPr>
          <w:sz w:val="20"/>
          <w:szCs w:val="20"/>
        </w:rPr>
      </w:pPr>
      <w:r>
        <w:rPr>
          <w:sz w:val="20"/>
          <w:szCs w:val="20"/>
        </w:rPr>
        <w:t xml:space="preserve">Net income was $49.3 million, or $0.41 per diluted share, for the three months ended March 31, 2019, compared with net income of $37.8 million, or $0.32 per diluted share, for the three months ended March 31, 2018. </w:t>
      </w:r>
    </w:p>
    <w:p w:rsidR="00000000" w:rsidRDefault="00240F6E">
      <w:pPr>
        <w:pStyle w:val="a3"/>
        <w:spacing w:before="240" w:beforeAutospacing="0" w:after="0" w:afterAutospacing="0"/>
        <w:jc w:val="both"/>
        <w:rPr>
          <w:b/>
          <w:bCs/>
          <w:sz w:val="20"/>
          <w:szCs w:val="20"/>
        </w:rPr>
      </w:pPr>
      <w:r>
        <w:rPr>
          <w:b/>
          <w:bCs/>
          <w:sz w:val="20"/>
          <w:szCs w:val="20"/>
        </w:rPr>
        <w:t>Our Current Operations</w:t>
      </w:r>
    </w:p>
    <w:p w:rsidR="00000000" w:rsidRDefault="00240F6E">
      <w:pPr>
        <w:pStyle w:val="a3"/>
        <w:spacing w:before="120" w:beforeAutospacing="0" w:after="0" w:afterAutospacing="0"/>
        <w:jc w:val="both"/>
        <w:rPr>
          <w:sz w:val="20"/>
          <w:szCs w:val="20"/>
        </w:rPr>
      </w:pPr>
      <w:r>
        <w:rPr>
          <w:sz w:val="20"/>
          <w:szCs w:val="20"/>
        </w:rPr>
        <w:t>Our ongoing operations are organized into three principal business segments:</w:t>
      </w:r>
    </w:p>
    <w:tbl>
      <w:tblPr>
        <w:tblW w:w="5000" w:type="pct"/>
        <w:tblCellMar>
          <w:left w:w="0" w:type="dxa"/>
          <w:right w:w="0" w:type="dxa"/>
        </w:tblCellMar>
        <w:tblLook w:val="04A0" w:firstRow="1" w:lastRow="0" w:firstColumn="1" w:lastColumn="0" w:noHBand="0" w:noVBand="1"/>
      </w:tblPr>
      <w:tblGrid>
        <w:gridCol w:w="334"/>
        <w:gridCol w:w="276"/>
        <w:gridCol w:w="7696"/>
      </w:tblGrid>
      <w:tr w:rsidR="00000000">
        <w:trPr>
          <w:divId w:val="1978729025"/>
        </w:trPr>
        <w:tc>
          <w:tcPr>
            <w:tcW w:w="201" w:type="pct"/>
            <w:noWrap/>
            <w:hideMark/>
          </w:tcPr>
          <w:p w:rsidR="00000000" w:rsidRDefault="00240F6E">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240F6E">
            <w:pPr>
              <w:pStyle w:val="a3"/>
              <w:spacing w:before="120" w:beforeAutospacing="0" w:after="0" w:afterAutospacing="0"/>
              <w:jc w:val="both"/>
              <w:rPr>
                <w:sz w:val="20"/>
                <w:szCs w:val="20"/>
              </w:rPr>
            </w:pPr>
            <w:r>
              <w:rPr>
                <w:sz w:val="20"/>
                <w:szCs w:val="20"/>
              </w:rPr>
              <w:t>•</w:t>
            </w:r>
          </w:p>
        </w:tc>
        <w:tc>
          <w:tcPr>
            <w:tcW w:w="0" w:type="auto"/>
            <w:hideMark/>
          </w:tcPr>
          <w:p w:rsidR="00000000" w:rsidRDefault="00240F6E">
            <w:pPr>
              <w:pStyle w:val="a3"/>
              <w:spacing w:before="120" w:beforeAutospacing="0" w:after="0" w:afterAutospacing="0"/>
              <w:jc w:val="both"/>
              <w:rPr>
                <w:sz w:val="20"/>
                <w:szCs w:val="20"/>
              </w:rPr>
            </w:pPr>
            <w:r>
              <w:rPr>
                <w:sz w:val="20"/>
                <w:szCs w:val="20"/>
              </w:rPr>
              <w:t xml:space="preserve">CoreCivic Safety segment, consisting of the 51 correctional and detention facilities that are owned, or controlled via a long-term lease, and managed by CoreCivic, as well as </w:t>
            </w:r>
            <w:r>
              <w:rPr>
                <w:sz w:val="20"/>
                <w:szCs w:val="20"/>
              </w:rPr>
              <w:t>those correctional and detention facilities owned by third parties but managed by CoreCivic. CoreCivic Safety also includes the operating results of our subsidiary that provides transportation services to governmental agencies, TransCor America, LLC, or Tr</w:t>
            </w:r>
            <w:r>
              <w:rPr>
                <w:sz w:val="20"/>
                <w:szCs w:val="20"/>
              </w:rPr>
              <w:t>ansCor.</w:t>
            </w:r>
          </w:p>
        </w:tc>
      </w:tr>
    </w:tbl>
    <w:tbl>
      <w:tblPr>
        <w:tblW w:w="5000" w:type="pct"/>
        <w:tblCellMar>
          <w:left w:w="0" w:type="dxa"/>
          <w:right w:w="0" w:type="dxa"/>
        </w:tblCellMar>
        <w:tblLook w:val="04A0" w:firstRow="1" w:lastRow="0" w:firstColumn="1" w:lastColumn="0" w:noHBand="0" w:noVBand="1"/>
      </w:tblPr>
      <w:tblGrid>
        <w:gridCol w:w="333"/>
        <w:gridCol w:w="275"/>
        <w:gridCol w:w="480"/>
      </w:tblGrid>
      <w:tr w:rsidR="00000000">
        <w:tc>
          <w:tcPr>
            <w:tcW w:w="201" w:type="pct"/>
            <w:noWrap/>
            <w:hideMark/>
          </w:tcPr>
          <w:p w:rsidR="00000000" w:rsidRDefault="00240F6E">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240F6E">
            <w:pPr>
              <w:pStyle w:val="a3"/>
              <w:spacing w:before="120" w:beforeAutospacing="0" w:after="0" w:afterAutospacing="0"/>
              <w:jc w:val="both"/>
              <w:rPr>
                <w:sz w:val="20"/>
                <w:szCs w:val="20"/>
              </w:rPr>
            </w:pPr>
            <w:r>
              <w:rPr>
                <w:sz w:val="20"/>
                <w:szCs w:val="20"/>
              </w:rPr>
              <w:t>•</w:t>
            </w:r>
          </w:p>
        </w:tc>
        <w:tc>
          <w:tcPr>
            <w:tcW w:w="0" w:type="auto"/>
            <w:hideMark/>
          </w:tcPr>
          <w:p w:rsidR="00000000" w:rsidRDefault="00240F6E">
            <w:pPr>
              <w:pStyle w:val="a3"/>
              <w:spacing w:before="120" w:beforeAutospacing="0" w:after="0" w:afterAutospacing="0"/>
              <w:jc w:val="both"/>
              <w:rPr>
                <w:sz w:val="20"/>
                <w:szCs w:val="20"/>
              </w:rPr>
            </w:pPr>
            <w:r>
              <w:rPr>
                <w:sz w:val="20"/>
                <w:szCs w:val="20"/>
              </w:rPr>
              <w:t>CoreCivic Community segment, consisting of the 27 residential reentry centers that are owned, or controlled via a long-term lease, and managed by CoreCivic.  CoreCivic Community also includes the operating results of our electronic monitoring</w:t>
            </w:r>
            <w:r>
              <w:rPr>
                <w:sz w:val="20"/>
                <w:szCs w:val="20"/>
              </w:rPr>
              <w:t xml:space="preserve"> and case management subsidiaries, Rocky Mountain Offender Management Systems, LLC, or RMOMS, and Recovery Monitoring Solutions Corporation, or RMSC.</w:t>
            </w:r>
          </w:p>
        </w:tc>
      </w:tr>
    </w:tbl>
    <w:p w:rsidR="00000000" w:rsidRDefault="00240F6E">
      <w:pPr>
        <w:divId w:val="333999968"/>
        <w:rPr>
          <w:rFonts w:eastAsia="Times New Roman"/>
          <w:vanish/>
        </w:rPr>
      </w:pPr>
    </w:p>
    <w:tbl>
      <w:tblPr>
        <w:tblW w:w="5000" w:type="pct"/>
        <w:tblCellMar>
          <w:left w:w="0" w:type="dxa"/>
          <w:right w:w="0" w:type="dxa"/>
        </w:tblCellMar>
        <w:tblLook w:val="04A0" w:firstRow="1" w:lastRow="0" w:firstColumn="1" w:lastColumn="0" w:noHBand="0" w:noVBand="1"/>
      </w:tblPr>
      <w:tblGrid>
        <w:gridCol w:w="334"/>
        <w:gridCol w:w="276"/>
        <w:gridCol w:w="7696"/>
      </w:tblGrid>
      <w:tr w:rsidR="00000000">
        <w:trPr>
          <w:divId w:val="333999968"/>
        </w:trPr>
        <w:tc>
          <w:tcPr>
            <w:tcW w:w="201" w:type="pct"/>
            <w:noWrap/>
            <w:hideMark/>
          </w:tcPr>
          <w:p w:rsidR="00000000" w:rsidRDefault="00240F6E">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240F6E">
            <w:pPr>
              <w:pStyle w:val="a3"/>
              <w:spacing w:before="120" w:beforeAutospacing="0" w:after="0" w:afterAutospacing="0"/>
              <w:jc w:val="both"/>
              <w:rPr>
                <w:sz w:val="20"/>
                <w:szCs w:val="20"/>
              </w:rPr>
            </w:pPr>
            <w:r>
              <w:rPr>
                <w:sz w:val="20"/>
                <w:szCs w:val="20"/>
              </w:rPr>
              <w:t>•</w:t>
            </w:r>
          </w:p>
        </w:tc>
        <w:tc>
          <w:tcPr>
            <w:tcW w:w="0" w:type="auto"/>
            <w:hideMark/>
          </w:tcPr>
          <w:p w:rsidR="00000000" w:rsidRDefault="00240F6E">
            <w:pPr>
              <w:pStyle w:val="a3"/>
              <w:spacing w:before="120" w:beforeAutospacing="0" w:after="0" w:afterAutospacing="0"/>
              <w:jc w:val="both"/>
              <w:rPr>
                <w:sz w:val="20"/>
                <w:szCs w:val="20"/>
              </w:rPr>
            </w:pPr>
            <w:r>
              <w:rPr>
                <w:sz w:val="20"/>
                <w:szCs w:val="20"/>
              </w:rPr>
              <w:t>CoreCivic Properties segment, consisting of the 27 real estate properties owned by CoreCivic and lea</w:t>
            </w:r>
            <w:r>
              <w:rPr>
                <w:sz w:val="20"/>
                <w:szCs w:val="20"/>
              </w:rPr>
              <w:t>sed to, and operated by, third parties.</w:t>
            </w:r>
          </w:p>
        </w:tc>
      </w:tr>
    </w:tbl>
    <w:p w:rsidR="00000000" w:rsidRDefault="00240F6E">
      <w:pPr>
        <w:pStyle w:val="a3"/>
        <w:shd w:val="clear" w:color="auto" w:fill="FFFFFF"/>
        <w:spacing w:before="0" w:beforeAutospacing="0" w:after="0" w:afterAutospacing="0"/>
        <w:rPr>
          <w:sz w:val="20"/>
          <w:szCs w:val="20"/>
        </w:rPr>
      </w:pPr>
      <w:r>
        <w:rPr>
          <w:sz w:val="20"/>
          <w:szCs w:val="20"/>
        </w:rPr>
        <w:t> </w:t>
      </w:r>
    </w:p>
    <w:p w:rsidR="00000000" w:rsidRDefault="00240F6E">
      <w:pPr>
        <w:pStyle w:val="a3"/>
        <w:shd w:val="clear" w:color="auto" w:fill="FFFFFF"/>
        <w:spacing w:before="0" w:beforeAutospacing="0" w:after="0" w:afterAutospacing="0"/>
        <w:jc w:val="both"/>
        <w:rPr>
          <w:color w:val="000000"/>
          <w:sz w:val="20"/>
          <w:szCs w:val="20"/>
        </w:rPr>
      </w:pPr>
      <w:r>
        <w:rPr>
          <w:color w:val="000000"/>
          <w:sz w:val="20"/>
          <w:szCs w:val="20"/>
        </w:rPr>
        <w:t>For the three months ended March 31, 2019 and 2018, our total facility net operating income was divided among these business segments as follows:</w:t>
      </w:r>
    </w:p>
    <w:p w:rsidR="00000000" w:rsidRDefault="00240F6E">
      <w:pPr>
        <w:pStyle w:val="a3"/>
        <w:shd w:val="clear" w:color="auto" w:fill="FFFFFF"/>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786"/>
        <w:gridCol w:w="65"/>
        <w:gridCol w:w="65"/>
        <w:gridCol w:w="652"/>
        <w:gridCol w:w="215"/>
        <w:gridCol w:w="65"/>
        <w:gridCol w:w="65"/>
        <w:gridCol w:w="654"/>
        <w:gridCol w:w="182"/>
        <w:gridCol w:w="65"/>
      </w:tblGrid>
      <w:tr w:rsidR="00000000">
        <w:trPr>
          <w:divId w:val="2133938810"/>
        </w:trPr>
        <w:tc>
          <w:tcPr>
            <w:tcW w:w="330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pPr>
            <w:r>
              <w:t> </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1493"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240F6E">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r>
      <w:tr w:rsidR="00000000">
        <w:trPr>
          <w:divId w:val="2133938810"/>
        </w:trPr>
        <w:tc>
          <w:tcPr>
            <w:tcW w:w="330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68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77" w:type="pct"/>
            <w:tcBorders>
              <w:top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68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7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r>
      <w:tr w:rsidR="00000000">
        <w:trPr>
          <w:divId w:val="2133938810"/>
        </w:trPr>
        <w:tc>
          <w:tcPr>
            <w:tcW w:w="3305"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b/>
                <w:bCs/>
                <w:color w:val="000000"/>
                <w:sz w:val="20"/>
                <w:szCs w:val="20"/>
              </w:rPr>
            </w:pPr>
            <w:r>
              <w:rPr>
                <w:b/>
                <w:bCs/>
                <w:color w:val="000000"/>
                <w:sz w:val="20"/>
                <w:szCs w:val="20"/>
              </w:rPr>
              <w:t>Segment:</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3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2133938810"/>
        </w:trPr>
        <w:tc>
          <w:tcPr>
            <w:tcW w:w="3305"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Safety</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32"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85.2</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2"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88.6</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7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2133938810"/>
        </w:trPr>
        <w:tc>
          <w:tcPr>
            <w:tcW w:w="3305"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Community</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32"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5.1</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2"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72"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2133938810"/>
        </w:trPr>
        <w:tc>
          <w:tcPr>
            <w:tcW w:w="3305"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Properties</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32"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9.7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2"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7.0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72"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
                <w:szCs w:val="2"/>
              </w:rPr>
            </w:pPr>
            <w:r>
              <w:rPr>
                <w:color w:val="000000"/>
                <w:sz w:val="2"/>
                <w:szCs w:val="2"/>
              </w:rPr>
              <w:t> </w:t>
            </w:r>
          </w:p>
        </w:tc>
      </w:tr>
    </w:tbl>
    <w:p w:rsidR="00000000" w:rsidRDefault="00240F6E">
      <w:pPr>
        <w:pStyle w:val="a3"/>
        <w:spacing w:before="360" w:beforeAutospacing="0" w:after="0" w:afterAutospacing="0"/>
        <w:jc w:val="both"/>
        <w:rPr>
          <w:b/>
          <w:bCs/>
          <w:i/>
          <w:iCs/>
          <w:sz w:val="20"/>
          <w:szCs w:val="20"/>
        </w:rPr>
      </w:pPr>
      <w:r>
        <w:rPr>
          <w:b/>
          <w:bCs/>
          <w:i/>
          <w:iCs/>
          <w:sz w:val="20"/>
          <w:szCs w:val="20"/>
        </w:rPr>
        <w:t>Facility Operations</w:t>
      </w:r>
    </w:p>
    <w:p w:rsidR="00000000" w:rsidRDefault="00240F6E">
      <w:pPr>
        <w:pStyle w:val="a3"/>
        <w:spacing w:before="120" w:beforeAutospacing="0" w:after="0" w:afterAutospacing="0"/>
        <w:jc w:val="both"/>
        <w:rPr>
          <w:sz w:val="20"/>
          <w:szCs w:val="20"/>
        </w:rPr>
      </w:pPr>
      <w:r>
        <w:rPr>
          <w:sz w:val="20"/>
          <w:szCs w:val="20"/>
        </w:rPr>
        <w:t>A key performance indicator we use to measure the revenue and expenses associated with the operation of the correctional, detention, and residential reentry facilities we own or manage is expressed in terms of a compensated man-day, which represents the re</w:t>
      </w:r>
      <w:r>
        <w:rPr>
          <w:sz w:val="20"/>
          <w:szCs w:val="20"/>
        </w:rPr>
        <w:t xml:space="preserve">venue we </w:t>
      </w:r>
    </w:p>
    <w:p w:rsidR="00000000" w:rsidRDefault="00240F6E">
      <w:pPr>
        <w:pStyle w:val="a3"/>
        <w:spacing w:before="240" w:beforeAutospacing="0" w:after="0" w:afterAutospacing="0"/>
        <w:jc w:val="center"/>
        <w:rPr>
          <w:sz w:val="20"/>
          <w:szCs w:val="20"/>
        </w:rPr>
      </w:pPr>
      <w:r>
        <w:rPr>
          <w:sz w:val="20"/>
          <w:szCs w:val="20"/>
        </w:rPr>
        <w:t>28</w:t>
      </w:r>
    </w:p>
    <w:p w:rsidR="00000000" w:rsidRDefault="00240F6E">
      <w:pPr>
        <w:rPr>
          <w:rFonts w:eastAsia="Times New Roman"/>
        </w:rPr>
      </w:pPr>
      <w:r>
        <w:rPr>
          <w:rFonts w:eastAsia="Times New Roman"/>
        </w:rPr>
        <w:pict>
          <v:rect id="_x0000_i1054" style="width:0;height:1.5pt" o:hralign="center" o:hrstd="t" o:hr="t" fillcolor="#a0a0a0" stroked="f"/>
        </w:pict>
      </w:r>
    </w:p>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120" w:beforeAutospacing="0" w:after="0" w:afterAutospacing="0"/>
        <w:jc w:val="both"/>
        <w:rPr>
          <w:sz w:val="20"/>
          <w:szCs w:val="20"/>
        </w:rPr>
      </w:pPr>
      <w:r>
        <w:rPr>
          <w:sz w:val="20"/>
          <w:szCs w:val="20"/>
        </w:rPr>
        <w:t>generate and expenses we incur for one offender for one calendar day.  </w:t>
      </w:r>
      <w:r>
        <w:rPr>
          <w:sz w:val="20"/>
          <w:szCs w:val="20"/>
        </w:rPr>
        <w:t>Revenue and expenses per compensated man-day are computed by dividing facility revenue and expenses by the total number of compensated man-days during the period.  A compensated man-day represents a calendar day for which we are paid for the occupancy of a</w:t>
      </w:r>
      <w:r>
        <w:rPr>
          <w:sz w:val="20"/>
          <w:szCs w:val="20"/>
        </w:rPr>
        <w:t>n offender. We believe the measurement is useful because we are compensated for operating and managing facilities at an offender per-diem rate based upon actual or minimum guaranteed occupancy levels.  We also measure our costs on a per-compensated man-day</w:t>
      </w:r>
      <w:r>
        <w:rPr>
          <w:sz w:val="20"/>
          <w:szCs w:val="20"/>
        </w:rPr>
        <w:t xml:space="preserve"> basis, which is largely dependent upon the number of offenders we accommodate.  Further, per compensated man-day measurements are also used to estimate our potential profitability based on certain occupancy levels relative to design capacity.  Revenue and</w:t>
      </w:r>
      <w:r>
        <w:rPr>
          <w:sz w:val="20"/>
          <w:szCs w:val="20"/>
        </w:rPr>
        <w:t xml:space="preserve"> expenses per compensated man-day for all of the correctional, detention, and residential reentry facilities placed into service that we owned or managed, exclusive of those held for lease, and for TransCor were as follows for the three months ended March </w:t>
      </w:r>
      <w:r>
        <w:rPr>
          <w:sz w:val="20"/>
          <w:szCs w:val="20"/>
        </w:rPr>
        <w:t>31, 2019 and 2018:</w:t>
      </w:r>
    </w:p>
    <w:p w:rsidR="00000000" w:rsidRDefault="00240F6E">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873"/>
        <w:gridCol w:w="65"/>
        <w:gridCol w:w="115"/>
        <w:gridCol w:w="889"/>
        <w:gridCol w:w="215"/>
        <w:gridCol w:w="65"/>
        <w:gridCol w:w="115"/>
        <w:gridCol w:w="891"/>
        <w:gridCol w:w="182"/>
        <w:gridCol w:w="65"/>
      </w:tblGrid>
      <w:tr w:rsidR="00000000">
        <w:trPr>
          <w:divId w:val="1328367336"/>
        </w:trPr>
        <w:tc>
          <w:tcPr>
            <w:tcW w:w="329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1494"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240F6E">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1328367336"/>
        </w:trPr>
        <w:tc>
          <w:tcPr>
            <w:tcW w:w="329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68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68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1328367336"/>
        </w:trPr>
        <w:tc>
          <w:tcPr>
            <w:tcW w:w="3295"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Revenue per compensated man-day</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63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78.37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63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75.98</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328367336"/>
        </w:trPr>
        <w:tc>
          <w:tcPr>
            <w:tcW w:w="3295"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Operating expenses per compensated man-day:</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32"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2"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328367336"/>
        </w:trPr>
        <w:tc>
          <w:tcPr>
            <w:tcW w:w="3295"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Fixed expense</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32"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41.40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2"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40.58</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328367336"/>
        </w:trPr>
        <w:tc>
          <w:tcPr>
            <w:tcW w:w="3295"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Variable expense</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3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15.63</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2"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16.15</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328367336"/>
        </w:trPr>
        <w:tc>
          <w:tcPr>
            <w:tcW w:w="3295"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547"/>
              <w:rPr>
                <w:color w:val="000000"/>
                <w:sz w:val="20"/>
                <w:szCs w:val="20"/>
              </w:rPr>
            </w:pPr>
            <w:r>
              <w:rPr>
                <w:color w:val="000000"/>
                <w:sz w:val="20"/>
                <w:szCs w:val="20"/>
              </w:rPr>
              <w:t>Total</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3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57.03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2" w:type="pct"/>
            <w:tcBorders>
              <w:top w:val="single" w:sz="6" w:space="0" w:color="000000"/>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56.73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328367336"/>
        </w:trPr>
        <w:tc>
          <w:tcPr>
            <w:tcW w:w="3295"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Operating income per compensated man-day</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63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21.34</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632"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19.25</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328367336"/>
        </w:trPr>
        <w:tc>
          <w:tcPr>
            <w:tcW w:w="3295"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Operating margin</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32"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27.2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2"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25.3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328367336"/>
        </w:trPr>
        <w:tc>
          <w:tcPr>
            <w:tcW w:w="3295"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Average compensated occupancy</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32"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82.7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2"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79.7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328367336"/>
        </w:trPr>
        <w:tc>
          <w:tcPr>
            <w:tcW w:w="3295"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Average available beds</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32"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78,073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2"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78,047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328367336"/>
        </w:trPr>
        <w:tc>
          <w:tcPr>
            <w:tcW w:w="3295"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Average compensated population</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32"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64,551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2"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62,173</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
                <w:szCs w:val="2"/>
              </w:rPr>
            </w:pPr>
            <w:r>
              <w:rPr>
                <w:color w:val="000000"/>
                <w:sz w:val="2"/>
                <w:szCs w:val="2"/>
              </w:rPr>
              <w:t> </w:t>
            </w:r>
          </w:p>
        </w:tc>
      </w:tr>
    </w:tbl>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0" w:beforeAutospacing="0" w:after="0" w:afterAutospacing="0"/>
        <w:jc w:val="both"/>
        <w:rPr>
          <w:sz w:val="20"/>
          <w:szCs w:val="20"/>
        </w:rPr>
      </w:pPr>
      <w:r>
        <w:rPr>
          <w:sz w:val="20"/>
          <w:szCs w:val="20"/>
        </w:rPr>
        <w:t>Prior to the adoption of ASU 2016-02, "Leases (Topic 842)" and ASU 2018-11, "Targeted Improvements – Leases (Topic 842)", cumulatively ASC 842, on January 1, 2019, a portion of the rental payments for the South Texas Family Residential Center was classifie</w:t>
      </w:r>
      <w:r>
        <w:rPr>
          <w:sz w:val="20"/>
          <w:szCs w:val="20"/>
        </w:rPr>
        <w:t xml:space="preserve">d as depreciation and interest expense for financial reporting purposes in accordance with ASC 840-40-55, formerly Emerging Issues Task Force No. 97-10, "The Effect of Lessee Involvement in Asset Construction."  Accordingly, fixed expenses per compensated </w:t>
      </w:r>
      <w:r>
        <w:rPr>
          <w:sz w:val="20"/>
          <w:szCs w:val="20"/>
        </w:rPr>
        <w:t>man-day for the three months ended March 31, 2018 include depreciation expense of $4.1 million and interest expense of $1.5 million in order to more properly reflect the cash flows associated with the lease at the South Texas Family Residential Center.  Up</w:t>
      </w:r>
      <w:r>
        <w:rPr>
          <w:sz w:val="20"/>
          <w:szCs w:val="20"/>
        </w:rPr>
        <w:t>on adoption of ASC 842, all rental payments associated with this lease are classified as operating expenses.  </w:t>
      </w:r>
    </w:p>
    <w:p w:rsidR="00000000" w:rsidRDefault="00240F6E">
      <w:pPr>
        <w:pStyle w:val="a3"/>
        <w:spacing w:before="360" w:beforeAutospacing="0" w:after="0" w:afterAutospacing="0"/>
        <w:jc w:val="both"/>
        <w:rPr>
          <w:i/>
          <w:iCs/>
          <w:sz w:val="20"/>
          <w:szCs w:val="20"/>
        </w:rPr>
      </w:pPr>
      <w:r>
        <w:rPr>
          <w:i/>
          <w:iCs/>
          <w:sz w:val="20"/>
          <w:szCs w:val="20"/>
        </w:rPr>
        <w:t>Revenue</w:t>
      </w:r>
    </w:p>
    <w:p w:rsidR="00000000" w:rsidRDefault="00240F6E">
      <w:pPr>
        <w:pStyle w:val="a3"/>
        <w:spacing w:before="120" w:beforeAutospacing="0" w:after="0" w:afterAutospacing="0"/>
        <w:jc w:val="both"/>
        <w:rPr>
          <w:sz w:val="20"/>
          <w:szCs w:val="20"/>
        </w:rPr>
      </w:pPr>
      <w:r>
        <w:rPr>
          <w:sz w:val="20"/>
          <w:szCs w:val="20"/>
        </w:rPr>
        <w:t>Total revenue consists of management revenue we generate through CoreCivic Safety and CoreCivic Community in the operation of correctiona</w:t>
      </w:r>
      <w:r>
        <w:rPr>
          <w:sz w:val="20"/>
          <w:szCs w:val="20"/>
        </w:rPr>
        <w:t>l, detention, and residential reentry facilities, as well as the revenue we generate from TransCor, RMOMS, and RMSC.  Total revenue also consists of rental revenue we generate through CoreCivic Properties from facilities we lease to third-party operators. </w:t>
      </w:r>
      <w:r>
        <w:rPr>
          <w:sz w:val="20"/>
          <w:szCs w:val="20"/>
        </w:rPr>
        <w:t> The following table reflects the components of revenue for the three months ended March 31, 2019 and 2018 (in millions):</w:t>
      </w:r>
    </w:p>
    <w:p w:rsidR="00000000" w:rsidRDefault="00240F6E">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3738"/>
        <w:gridCol w:w="66"/>
        <w:gridCol w:w="115"/>
        <w:gridCol w:w="661"/>
        <w:gridCol w:w="65"/>
        <w:gridCol w:w="65"/>
        <w:gridCol w:w="115"/>
        <w:gridCol w:w="649"/>
        <w:gridCol w:w="65"/>
        <w:gridCol w:w="65"/>
        <w:gridCol w:w="116"/>
        <w:gridCol w:w="647"/>
        <w:gridCol w:w="82"/>
        <w:gridCol w:w="66"/>
        <w:gridCol w:w="66"/>
        <w:gridCol w:w="645"/>
        <w:gridCol w:w="249"/>
      </w:tblGrid>
      <w:tr w:rsidR="00000000">
        <w:trPr>
          <w:divId w:val="542253687"/>
        </w:trPr>
        <w:tc>
          <w:tcPr>
            <w:tcW w:w="251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sz w:val="20"/>
                <w:szCs w:val="20"/>
              </w:rPr>
            </w:pPr>
            <w:r>
              <w:rPr>
                <w:sz w:val="20"/>
                <w:szCs w:val="20"/>
              </w:rPr>
              <w:t> </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1130"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240F6E">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459"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542253687"/>
        </w:trPr>
        <w:tc>
          <w:tcPr>
            <w:tcW w:w="251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61" w:type="pct"/>
            <w:tcBorders>
              <w:top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509" w:type="pct"/>
            <w:gridSpan w:val="2"/>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Change</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542253687"/>
        </w:trPr>
        <w:tc>
          <w:tcPr>
            <w:tcW w:w="2517"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Management revenue:</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542253687"/>
        </w:trPr>
        <w:tc>
          <w:tcPr>
            <w:tcW w:w="251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Federal</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242.1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211.3</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459"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30.8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14.6</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r>
      <w:tr w:rsidR="00000000">
        <w:trPr>
          <w:divId w:val="542253687"/>
        </w:trPr>
        <w:tc>
          <w:tcPr>
            <w:tcW w:w="2517"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State</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171.3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177.2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r>
      <w:tr w:rsidR="00000000">
        <w:trPr>
          <w:divId w:val="542253687"/>
        </w:trPr>
        <w:tc>
          <w:tcPr>
            <w:tcW w:w="251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Local</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24.8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24.1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0.7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r>
      <w:tr w:rsidR="00000000">
        <w:trPr>
          <w:divId w:val="542253687"/>
        </w:trPr>
        <w:tc>
          <w:tcPr>
            <w:tcW w:w="2517"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Other</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26.7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16.7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10.0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59.9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r>
      <w:tr w:rsidR="00000000">
        <w:trPr>
          <w:divId w:val="542253687"/>
        </w:trPr>
        <w:tc>
          <w:tcPr>
            <w:tcW w:w="251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547"/>
              <w:rPr>
                <w:color w:val="000000"/>
                <w:sz w:val="20"/>
                <w:szCs w:val="20"/>
              </w:rPr>
            </w:pPr>
            <w:r>
              <w:rPr>
                <w:color w:val="000000"/>
                <w:sz w:val="20"/>
                <w:szCs w:val="20"/>
              </w:rPr>
              <w:t>Total management revenue</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464.9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429.3</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35.6</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8.3</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r>
      <w:tr w:rsidR="00000000">
        <w:trPr>
          <w:divId w:val="542253687"/>
        </w:trPr>
        <w:tc>
          <w:tcPr>
            <w:tcW w:w="2517"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Rental revenue</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19.1</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11.6</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7.5</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64.7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r>
      <w:tr w:rsidR="00000000">
        <w:trPr>
          <w:divId w:val="542253687"/>
        </w:trPr>
        <w:tc>
          <w:tcPr>
            <w:tcW w:w="251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Other</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0.1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0.0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0.1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1"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542253687"/>
        </w:trPr>
        <w:tc>
          <w:tcPr>
            <w:tcW w:w="2517"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Total revenue</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484.1</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440.9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43.2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1"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59"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9.8</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r>
    </w:tbl>
    <w:p w:rsidR="00000000" w:rsidRDefault="00240F6E">
      <w:pPr>
        <w:pStyle w:val="a3"/>
        <w:spacing w:before="0" w:beforeAutospacing="0" w:after="0" w:afterAutospacing="0"/>
        <w:jc w:val="both"/>
        <w:rPr>
          <w:sz w:val="20"/>
          <w:szCs w:val="20"/>
        </w:rPr>
      </w:pPr>
      <w:r>
        <w:rPr>
          <w:sz w:val="20"/>
          <w:szCs w:val="20"/>
        </w:rPr>
        <w:t> </w:t>
      </w:r>
    </w:p>
    <w:p w:rsidR="00000000" w:rsidRDefault="00240F6E">
      <w:pPr>
        <w:pStyle w:val="a3"/>
        <w:spacing w:before="0" w:beforeAutospacing="0" w:after="0" w:afterAutospacing="0"/>
        <w:jc w:val="both"/>
        <w:rPr>
          <w:sz w:val="20"/>
          <w:szCs w:val="20"/>
        </w:rPr>
      </w:pPr>
      <w:r>
        <w:rPr>
          <w:sz w:val="20"/>
          <w:szCs w:val="20"/>
        </w:rPr>
        <w:t>The $35.6 million, or 8.3%, increase in total management revenue for the three months ended March 31, 2019 as compared with the same period in 2018 was primarily a result of an increase in revenue of approximately $16.8 million driven by an increase in the</w:t>
      </w:r>
      <w:r>
        <w:rPr>
          <w:sz w:val="20"/>
          <w:szCs w:val="20"/>
        </w:rPr>
        <w:t xml:space="preserve"> average daily compensated population.  The increase in total management revenue was also a result of an increase in revenue of approximately $18.8 million driven primarily by an increase of 3.1% in average revenue per compensated man-day and the acquisiti</w:t>
      </w:r>
      <w:r>
        <w:rPr>
          <w:sz w:val="20"/>
          <w:szCs w:val="20"/>
        </w:rPr>
        <w:t xml:space="preserve">on of RMSC in the fourth quarter of 2018.  The increase in average revenue per compensated man-day was primarily the result of the </w:t>
      </w:r>
    </w:p>
    <w:p w:rsidR="00000000" w:rsidRDefault="00240F6E">
      <w:pPr>
        <w:pStyle w:val="a3"/>
        <w:spacing w:before="240" w:beforeAutospacing="0" w:after="0" w:afterAutospacing="0"/>
        <w:jc w:val="center"/>
        <w:rPr>
          <w:sz w:val="20"/>
          <w:szCs w:val="20"/>
        </w:rPr>
      </w:pPr>
      <w:r>
        <w:rPr>
          <w:sz w:val="20"/>
          <w:szCs w:val="20"/>
        </w:rPr>
        <w:t>29</w:t>
      </w:r>
    </w:p>
    <w:p w:rsidR="00000000" w:rsidRDefault="00240F6E">
      <w:pPr>
        <w:rPr>
          <w:rFonts w:eastAsia="Times New Roman"/>
        </w:rPr>
      </w:pPr>
      <w:r>
        <w:rPr>
          <w:rFonts w:eastAsia="Times New Roman"/>
        </w:rPr>
        <w:pict>
          <v:rect id="_x0000_i1055" style="width:0;height:1.5pt" o:hralign="center" o:hrstd="t" o:hr="t" fillcolor="#a0a0a0" stroked="f"/>
        </w:pict>
      </w:r>
    </w:p>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0" w:beforeAutospacing="0" w:after="0" w:afterAutospacing="0"/>
        <w:jc w:val="both"/>
        <w:rPr>
          <w:sz w:val="20"/>
          <w:szCs w:val="20"/>
        </w:rPr>
      </w:pPr>
      <w:r>
        <w:rPr>
          <w:sz w:val="20"/>
          <w:szCs w:val="20"/>
        </w:rPr>
        <w:t xml:space="preserve">effect of per diem increases at several of our facilities as well as a higher mix </w:t>
      </w:r>
      <w:r>
        <w:rPr>
          <w:sz w:val="20"/>
          <w:szCs w:val="20"/>
        </w:rPr>
        <w:t xml:space="preserve">of federal populations which generally have higher per diem rates. </w:t>
      </w:r>
    </w:p>
    <w:p w:rsidR="00000000" w:rsidRDefault="00240F6E">
      <w:pPr>
        <w:pStyle w:val="a3"/>
        <w:spacing w:before="240" w:beforeAutospacing="0" w:after="0" w:afterAutospacing="0"/>
        <w:jc w:val="both"/>
        <w:rPr>
          <w:sz w:val="20"/>
          <w:szCs w:val="20"/>
        </w:rPr>
      </w:pPr>
      <w:r>
        <w:rPr>
          <w:sz w:val="20"/>
          <w:szCs w:val="20"/>
        </w:rPr>
        <w:t>Average daily compensated population increased 2,378, or 3.8%, to 64,551 during the three months ended March 31, 2019 compared to 62,173 during the three months ended March 31, 2018.  Aver</w:t>
      </w:r>
      <w:r>
        <w:rPr>
          <w:sz w:val="20"/>
          <w:szCs w:val="20"/>
        </w:rPr>
        <w:t>age daily compensated population increased primarily as a result of the new contract with the Commonwealth of Kentucky Department of Corrections, or KYDOC, to care for medium and close-security offenders at our previously idled 816-bed Lee Adjustment Cente</w:t>
      </w:r>
      <w:r>
        <w:rPr>
          <w:sz w:val="20"/>
          <w:szCs w:val="20"/>
        </w:rPr>
        <w:t>r in Kentucky. The new contract with the KYDOC commenced on November 19, 2017, and we began receiving offenders at the Lee facility late in the first quarter of 2018. Additional populations from the United States Marshals Service, or USMS, and ICE also con</w:t>
      </w:r>
      <w:r>
        <w:rPr>
          <w:sz w:val="20"/>
          <w:szCs w:val="20"/>
        </w:rPr>
        <w:t>tributed to an increase in average daily compensated population during 2019. These average daily compensated population increases were partially offset by the continued and anticipated decline in California inmates held in our out-of-state facilities.  </w:t>
      </w:r>
    </w:p>
    <w:p w:rsidR="00000000" w:rsidRDefault="00240F6E">
      <w:pPr>
        <w:pStyle w:val="a3"/>
        <w:spacing w:before="240" w:beforeAutospacing="0" w:after="0" w:afterAutospacing="0"/>
        <w:jc w:val="both"/>
        <w:rPr>
          <w:sz w:val="20"/>
          <w:szCs w:val="20"/>
        </w:rPr>
      </w:pPr>
      <w:r>
        <w:rPr>
          <w:sz w:val="20"/>
          <w:szCs w:val="20"/>
        </w:rPr>
        <w:t>Th</w:t>
      </w:r>
      <w:r>
        <w:rPr>
          <w:sz w:val="20"/>
          <w:szCs w:val="20"/>
        </w:rPr>
        <w:t xml:space="preserve">e solutions we provide to our federal customers, including primarily the Federal Bureau of Prisons, or BOP, the USMS, and ICE, continues to be a significant component of our business.  Our federal customers generated approximately 50% and 48% of our total </w:t>
      </w:r>
      <w:r>
        <w:rPr>
          <w:sz w:val="20"/>
          <w:szCs w:val="20"/>
        </w:rPr>
        <w:t>revenue for the three months ended March 31, 2019 and 2018, respectively, increasing $30.8 million, or 14.6% during the three months ended March 31, 2019 as compared with the same period in 2018.  The increase in federal revenues in 2019 primarily resulted</w:t>
      </w:r>
      <w:r>
        <w:rPr>
          <w:sz w:val="20"/>
          <w:szCs w:val="20"/>
        </w:rPr>
        <w:t xml:space="preserve"> from the combined effect of per diem increases for several of our federal contracts and a net increase in federal populations at certain other facilities, primarily from the USMS and ICE.  Two new contracts with the USMS at our Tallahatchie County Correct</w:t>
      </w:r>
      <w:r>
        <w:rPr>
          <w:sz w:val="20"/>
          <w:szCs w:val="20"/>
        </w:rPr>
        <w:t>ional Facility and with ICE at our La Palma Correctional Center executed in June 2018 and July 2018, respectively, contributed to these higher federal populations.  </w:t>
      </w:r>
    </w:p>
    <w:p w:rsidR="00000000" w:rsidRDefault="00240F6E">
      <w:pPr>
        <w:pStyle w:val="a3"/>
        <w:spacing w:before="240" w:beforeAutospacing="0" w:after="0" w:afterAutospacing="0"/>
        <w:jc w:val="both"/>
        <w:rPr>
          <w:sz w:val="20"/>
          <w:szCs w:val="20"/>
        </w:rPr>
      </w:pPr>
      <w:r>
        <w:rPr>
          <w:sz w:val="20"/>
          <w:szCs w:val="20"/>
        </w:rPr>
        <w:t>State revenues from contracts at correctional, detention, and residential reentry faciliti</w:t>
      </w:r>
      <w:r>
        <w:rPr>
          <w:sz w:val="20"/>
          <w:szCs w:val="20"/>
        </w:rPr>
        <w:t>es that we operate decreased $5.9 million, or 3.3%, from the first quarter of 2018 to the first quarter of 2019.  The decrease in state revenues was primarily a result of a continued, and anticipated decline in California inmates held in our out-of-state f</w:t>
      </w:r>
      <w:r>
        <w:rPr>
          <w:sz w:val="20"/>
          <w:szCs w:val="20"/>
        </w:rPr>
        <w:t>acilities.  The decrease in state revenues was partially offset by new contracts with the KYDOC at our Lee Adjustment Center and the state of Ohio at our Northeast Ohio Correctional Center, and by the new contracts with the states of Vermont, Wyoming and S</w:t>
      </w:r>
      <w:r>
        <w:rPr>
          <w:sz w:val="20"/>
          <w:szCs w:val="20"/>
        </w:rPr>
        <w:t xml:space="preserve">outh Carolina at our Tallahatchie County Correctional Facility, as further described hereafter.  Per diem increases and a net increase in state populations at certain other facilities also contributed to the offset. </w:t>
      </w:r>
    </w:p>
    <w:p w:rsidR="00000000" w:rsidRDefault="00240F6E">
      <w:pPr>
        <w:pStyle w:val="a3"/>
        <w:spacing w:before="240" w:beforeAutospacing="0" w:after="0" w:afterAutospacing="0"/>
        <w:jc w:val="both"/>
        <w:rPr>
          <w:sz w:val="20"/>
          <w:szCs w:val="20"/>
        </w:rPr>
      </w:pPr>
      <w:r>
        <w:rPr>
          <w:sz w:val="20"/>
          <w:szCs w:val="20"/>
        </w:rPr>
        <w:t>Several of our state partners are proje</w:t>
      </w:r>
      <w:r>
        <w:rPr>
          <w:sz w:val="20"/>
          <w:szCs w:val="20"/>
        </w:rPr>
        <w:t>cting improvements in their budgets which has helped us secure recent per diem increases at certain facilities.  Further, several of our existing state partners, as well as prospective state partners, are experiencing growth in inmate populations and overc</w:t>
      </w:r>
      <w:r>
        <w:rPr>
          <w:sz w:val="20"/>
          <w:szCs w:val="20"/>
        </w:rPr>
        <w:t>rowded conditions, or are considering alternative correctional capacity for their aged and inefficient infrastructure.  Although we can provide no assurance that we will enter into any new contracts, we believe we are well positioned to provide states with</w:t>
      </w:r>
      <w:r>
        <w:rPr>
          <w:sz w:val="20"/>
          <w:szCs w:val="20"/>
        </w:rPr>
        <w:t xml:space="preserve"> needed bed capacity, as well as the programming and reentry services they are seeking. Since the beginning of 2018, we have completed the intake of new inmate populations as a result of new contracts with Ohio, Kentucky, Nevada, South Carolina, and Vermon</w:t>
      </w:r>
      <w:r>
        <w:rPr>
          <w:sz w:val="20"/>
          <w:szCs w:val="20"/>
        </w:rPr>
        <w:t xml:space="preserve">t, while Wyoming began utilizing an existing contract it had not utilized in nearly a decade.   </w:t>
      </w:r>
    </w:p>
    <w:p w:rsidR="00000000" w:rsidRDefault="00240F6E">
      <w:pPr>
        <w:pStyle w:val="a3"/>
        <w:spacing w:before="240" w:beforeAutospacing="0" w:after="0" w:afterAutospacing="0"/>
        <w:jc w:val="both"/>
        <w:rPr>
          <w:sz w:val="20"/>
          <w:szCs w:val="20"/>
        </w:rPr>
      </w:pPr>
      <w:r>
        <w:rPr>
          <w:sz w:val="20"/>
          <w:szCs w:val="20"/>
        </w:rPr>
        <w:t>The $7.5 million, or 64.7%, increase in rental revenue from the first quarter of 2018 to the comparable period in 2019 was primarily a result of acquisitions i</w:t>
      </w:r>
      <w:r>
        <w:rPr>
          <w:sz w:val="20"/>
          <w:szCs w:val="20"/>
        </w:rPr>
        <w:t>n 2018 of multiple properties leased to third parties, as further described hereafter.  </w:t>
      </w:r>
    </w:p>
    <w:p w:rsidR="00000000" w:rsidRDefault="00240F6E">
      <w:pPr>
        <w:pStyle w:val="a3"/>
        <w:spacing w:before="240" w:beforeAutospacing="0" w:after="0" w:afterAutospacing="0"/>
        <w:jc w:val="both"/>
        <w:rPr>
          <w:sz w:val="20"/>
          <w:szCs w:val="20"/>
        </w:rPr>
      </w:pPr>
      <w:r>
        <w:rPr>
          <w:sz w:val="20"/>
          <w:szCs w:val="20"/>
        </w:rPr>
        <w:t>We believe the long-term growth opportunities of our business remain attractive as government agencies consider their emergent needs, as well as the efficiency and off</w:t>
      </w:r>
      <w:r>
        <w:rPr>
          <w:sz w:val="20"/>
          <w:szCs w:val="20"/>
        </w:rPr>
        <w:t>ender programming opportunities we provide, as flexible solutions to satisfy our partners' needs.  Further, we expect our partners to continue to face challenges in maintaining old facilities, developing new facilities, and expanding current facilities for</w:t>
      </w:r>
      <w:r>
        <w:rPr>
          <w:sz w:val="20"/>
          <w:szCs w:val="20"/>
        </w:rPr>
        <w:t xml:space="preserve"> additional capacity, which could result in increased future demand for the solutions we provide. Finally, as further described hereafter, we continue to identify attractive investment opportunities for government-leased properties, and expect to complete </w:t>
      </w:r>
      <w:r>
        <w:rPr>
          <w:sz w:val="20"/>
          <w:szCs w:val="20"/>
        </w:rPr>
        <w:t>additional acquisitions that will diversify our cash flows, generate attractive risk-adjusted returns for our shareholders, and broaden the solutions we are able to provide to our partners.</w:t>
      </w:r>
    </w:p>
    <w:p w:rsidR="00000000" w:rsidRDefault="00240F6E">
      <w:pPr>
        <w:pStyle w:val="a3"/>
        <w:spacing w:before="360" w:beforeAutospacing="0" w:after="0" w:afterAutospacing="0"/>
        <w:jc w:val="both"/>
        <w:rPr>
          <w:i/>
          <w:iCs/>
          <w:sz w:val="20"/>
          <w:szCs w:val="20"/>
        </w:rPr>
      </w:pPr>
      <w:r>
        <w:rPr>
          <w:i/>
          <w:iCs/>
          <w:sz w:val="20"/>
          <w:szCs w:val="20"/>
        </w:rPr>
        <w:t>Operating Expenses</w:t>
      </w:r>
    </w:p>
    <w:p w:rsidR="00000000" w:rsidRDefault="00240F6E">
      <w:pPr>
        <w:pStyle w:val="a3"/>
        <w:spacing w:before="120" w:beforeAutospacing="0" w:after="0" w:afterAutospacing="0"/>
        <w:jc w:val="both"/>
        <w:rPr>
          <w:sz w:val="20"/>
          <w:szCs w:val="20"/>
        </w:rPr>
      </w:pPr>
      <w:r>
        <w:rPr>
          <w:sz w:val="20"/>
          <w:szCs w:val="20"/>
        </w:rPr>
        <w:t>Operating expenses totaled $345.8 million and $</w:t>
      </w:r>
      <w:r>
        <w:rPr>
          <w:sz w:val="20"/>
          <w:szCs w:val="20"/>
        </w:rPr>
        <w:t>319.2 million for the three months ended March 31, 2019 and 2018, respectively.  Operating expenses consist of those expenses incurred in the operation and management of correctional, detention, and residential reentry facilities, as well as those expenses</w:t>
      </w:r>
      <w:r>
        <w:rPr>
          <w:sz w:val="20"/>
          <w:szCs w:val="20"/>
        </w:rPr>
        <w:t xml:space="preserve"> incurred in the operations of TransCor, RMOMS, and RMSC.  Operating expenses also consist of those expenses incurred in the operation of facilities we lease to third-party operators.  </w:t>
      </w:r>
    </w:p>
    <w:p w:rsidR="00000000" w:rsidRDefault="00240F6E">
      <w:pPr>
        <w:pStyle w:val="a3"/>
        <w:spacing w:before="240" w:beforeAutospacing="0" w:after="0" w:afterAutospacing="0"/>
        <w:jc w:val="both"/>
        <w:rPr>
          <w:sz w:val="20"/>
          <w:szCs w:val="20"/>
        </w:rPr>
      </w:pPr>
      <w:r>
        <w:rPr>
          <w:sz w:val="20"/>
          <w:szCs w:val="20"/>
        </w:rPr>
        <w:t>Expenses incurred by CoreCivic Safety and CoreCivic Community in conne</w:t>
      </w:r>
      <w:r>
        <w:rPr>
          <w:sz w:val="20"/>
          <w:szCs w:val="20"/>
        </w:rPr>
        <w:t>ction with the operation and management of our correctional, detention, and residential reentry facilities, as well as those incurred in the operations of TransCor, RMOMS, and RMSC, increased $24.2 million, or 7.7%, during the first quarter of 2019 when co</w:t>
      </w:r>
      <w:r>
        <w:rPr>
          <w:sz w:val="20"/>
          <w:szCs w:val="20"/>
        </w:rPr>
        <w:t xml:space="preserve">mpared with the same period in 2018. Similar to our </w:t>
      </w:r>
    </w:p>
    <w:p w:rsidR="00000000" w:rsidRDefault="00240F6E">
      <w:pPr>
        <w:pStyle w:val="a3"/>
        <w:spacing w:before="240" w:beforeAutospacing="0" w:after="0" w:afterAutospacing="0"/>
        <w:jc w:val="center"/>
        <w:rPr>
          <w:sz w:val="20"/>
          <w:szCs w:val="20"/>
        </w:rPr>
      </w:pPr>
      <w:r>
        <w:rPr>
          <w:sz w:val="20"/>
          <w:szCs w:val="20"/>
        </w:rPr>
        <w:t>30</w:t>
      </w:r>
    </w:p>
    <w:p w:rsidR="00000000" w:rsidRDefault="00240F6E">
      <w:pPr>
        <w:rPr>
          <w:rFonts w:eastAsia="Times New Roman"/>
        </w:rPr>
      </w:pPr>
      <w:r>
        <w:rPr>
          <w:rFonts w:eastAsia="Times New Roman"/>
        </w:rPr>
        <w:pict>
          <v:rect id="_x0000_i1056" style="width:0;height:1.5pt" o:hralign="center" o:hrstd="t" o:hr="t" fillcolor="#a0a0a0" stroked="f"/>
        </w:pict>
      </w:r>
    </w:p>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240" w:beforeAutospacing="0" w:after="0" w:afterAutospacing="0"/>
        <w:jc w:val="both"/>
        <w:rPr>
          <w:sz w:val="20"/>
          <w:szCs w:val="20"/>
        </w:rPr>
      </w:pPr>
      <w:r>
        <w:rPr>
          <w:sz w:val="20"/>
          <w:szCs w:val="20"/>
        </w:rPr>
        <w:t>management revenue, there were several factors that contributed to the increase in operating expenses incurred in these segments. The additional operating expense</w:t>
      </w:r>
      <w:r>
        <w:rPr>
          <w:sz w:val="20"/>
          <w:szCs w:val="20"/>
        </w:rPr>
        <w:t>s resulting from the activation of our previously idled Lee Adjustment Center due to a new contract award from the KYDOC and the new contracts at our Tallahatchie and La Palma facilities contributed to the increase in operating expenses.  Additional expens</w:t>
      </w:r>
      <w:r>
        <w:rPr>
          <w:sz w:val="20"/>
          <w:szCs w:val="20"/>
        </w:rPr>
        <w:t>es resulting from the acquisition of RMSC in the fourth quarter of 2018 also contributed to the increase in operating expenses during the three months ended March 31, 2019.  In addition, operating expenses increased as a result of the aforementioned adopti</w:t>
      </w:r>
      <w:r>
        <w:rPr>
          <w:sz w:val="20"/>
          <w:szCs w:val="20"/>
        </w:rPr>
        <w:t xml:space="preserve">on of ASC 842 on January 1, 2019. Prior to adoption of ASC 842, a portion of the rental payments for the South Texas Family Residential Center was classified as depreciation and interest expense in accordance with ASC 840-40-55. The aggregate depreciation </w:t>
      </w:r>
      <w:r>
        <w:rPr>
          <w:sz w:val="20"/>
          <w:szCs w:val="20"/>
        </w:rPr>
        <w:t>and interest expense associated with the lease at the South Texas Family Residential Center for the three months ended March 31, 2018 totaled $5.6 million.  Upon adoption of ASC 842, all rental payments associated with this lease are classified as operatin</w:t>
      </w:r>
      <w:r>
        <w:rPr>
          <w:sz w:val="20"/>
          <w:szCs w:val="20"/>
        </w:rPr>
        <w:t xml:space="preserve">g expenses. </w:t>
      </w:r>
    </w:p>
    <w:p w:rsidR="00000000" w:rsidRDefault="00240F6E">
      <w:pPr>
        <w:pStyle w:val="a3"/>
        <w:spacing w:before="240" w:beforeAutospacing="0" w:after="0" w:afterAutospacing="0"/>
        <w:jc w:val="both"/>
        <w:rPr>
          <w:sz w:val="20"/>
          <w:szCs w:val="20"/>
        </w:rPr>
      </w:pPr>
      <w:r>
        <w:rPr>
          <w:sz w:val="20"/>
          <w:szCs w:val="20"/>
        </w:rPr>
        <w:t>Total expenses per compensated man-day increased to $57.03 during the three months ended March 31, 2019 from $56.73 during the three months ended March 31, 2018.  Fixed expenses per compensated man-day increased to $41.40 during the three mont</w:t>
      </w:r>
      <w:r>
        <w:rPr>
          <w:sz w:val="20"/>
          <w:szCs w:val="20"/>
        </w:rPr>
        <w:t>hs ended March 31, 2019 from $40.58 during the same period in the prior year primarily due to increases in salaries and benefits expenses.    </w:t>
      </w:r>
    </w:p>
    <w:p w:rsidR="00000000" w:rsidRDefault="00240F6E">
      <w:pPr>
        <w:pStyle w:val="a3"/>
        <w:spacing w:before="240" w:beforeAutospacing="0" w:after="0" w:afterAutospacing="0"/>
        <w:jc w:val="both"/>
        <w:rPr>
          <w:sz w:val="20"/>
          <w:szCs w:val="20"/>
        </w:rPr>
      </w:pPr>
      <w:r>
        <w:rPr>
          <w:sz w:val="20"/>
          <w:szCs w:val="20"/>
        </w:rPr>
        <w:t>As the economy has improved and the nation's unemployment rate has declined, we have experienced wage pressures i</w:t>
      </w:r>
      <w:r>
        <w:rPr>
          <w:sz w:val="20"/>
          <w:szCs w:val="20"/>
        </w:rPr>
        <w:t>n certain markets across the country, and have provided wage increases to remain competitive.  These wage pressures contributed to the increase in fixed expenses per compensated man-day during 2019 when compared to 2018. We continually monitor compensation</w:t>
      </w:r>
      <w:r>
        <w:rPr>
          <w:sz w:val="20"/>
          <w:szCs w:val="20"/>
        </w:rPr>
        <w:t xml:space="preserve"> levels very closely along with overall economic conditions and will set wage levels necessary to help ensure the long-term success of our business.  Further, we continually evaluate the structure of our employee benefits package and training programs to e</w:t>
      </w:r>
      <w:r>
        <w:rPr>
          <w:sz w:val="20"/>
          <w:szCs w:val="20"/>
        </w:rPr>
        <w:t>nsure we are better able to attract and retain our employees.  Salaries and benefits represent the most significant component of our operating expenses, representing approximately 60% of our total operating expenses during both the three months ended March</w:t>
      </w:r>
      <w:r>
        <w:rPr>
          <w:sz w:val="20"/>
          <w:szCs w:val="20"/>
        </w:rPr>
        <w:t xml:space="preserve"> 31, 2019 and the twelve months ended December 31, 2018. </w:t>
      </w:r>
    </w:p>
    <w:p w:rsidR="00000000" w:rsidRDefault="00240F6E">
      <w:pPr>
        <w:pStyle w:val="a3"/>
        <w:spacing w:before="240" w:beforeAutospacing="0" w:after="0" w:afterAutospacing="0"/>
        <w:jc w:val="both"/>
        <w:rPr>
          <w:sz w:val="20"/>
          <w:szCs w:val="20"/>
        </w:rPr>
      </w:pPr>
      <w:r>
        <w:rPr>
          <w:sz w:val="20"/>
          <w:szCs w:val="20"/>
        </w:rPr>
        <w:t>Operating expenses incurred by CoreCivic Properties in connection with facilities we lease to third-party operators increased $2.5 million, or 81.5%, during the first quarter of 2019 when compared w</w:t>
      </w:r>
      <w:r>
        <w:rPr>
          <w:sz w:val="20"/>
          <w:szCs w:val="20"/>
        </w:rPr>
        <w:t xml:space="preserve">ith the same period in 2018.  The increase in expenses in this segment was primarily the result of acquisitions in 2018 of multiple properties leased to third parties. </w:t>
      </w:r>
    </w:p>
    <w:p w:rsidR="00000000" w:rsidRDefault="00240F6E">
      <w:pPr>
        <w:pStyle w:val="a3"/>
        <w:spacing w:before="240" w:beforeAutospacing="0" w:after="0" w:afterAutospacing="0"/>
        <w:jc w:val="both"/>
        <w:rPr>
          <w:i/>
          <w:iCs/>
          <w:sz w:val="20"/>
          <w:szCs w:val="20"/>
        </w:rPr>
      </w:pPr>
      <w:r>
        <w:rPr>
          <w:i/>
          <w:iCs/>
          <w:sz w:val="20"/>
          <w:szCs w:val="20"/>
        </w:rPr>
        <w:t>Facility Management Contracts</w:t>
      </w:r>
    </w:p>
    <w:p w:rsidR="00000000" w:rsidRDefault="00240F6E">
      <w:pPr>
        <w:pStyle w:val="a3"/>
        <w:spacing w:before="120" w:beforeAutospacing="0" w:after="0" w:afterAutospacing="0"/>
        <w:jc w:val="both"/>
        <w:rPr>
          <w:sz w:val="20"/>
          <w:szCs w:val="20"/>
        </w:rPr>
      </w:pPr>
      <w:r>
        <w:rPr>
          <w:sz w:val="20"/>
          <w:szCs w:val="20"/>
        </w:rPr>
        <w:t>We enter into facility management contracts to provide bed capacity and management services to governmental entities in our CoreCivic Safety and CoreCivic Community segments for terms typically ranging from three to five years, with additional renewal peri</w:t>
      </w:r>
      <w:r>
        <w:rPr>
          <w:sz w:val="20"/>
          <w:szCs w:val="20"/>
        </w:rPr>
        <w:t>ods at the option of the contracting governmental agency. Accordingly, a substantial portion of our facility contracts are scheduled to expire each year, notwithstanding contractual renewal options that a government agency may exercise. Although we general</w:t>
      </w:r>
      <w:r>
        <w:rPr>
          <w:sz w:val="20"/>
          <w:szCs w:val="20"/>
        </w:rPr>
        <w:t>ly expect these customers to exercise renewal options or negotiate new contracts with us, one or more of these contracts may not be renewed by the corresponding governmental agency.    </w:t>
      </w:r>
    </w:p>
    <w:p w:rsidR="00000000" w:rsidRDefault="00240F6E">
      <w:pPr>
        <w:pStyle w:val="a3"/>
        <w:spacing w:before="240" w:beforeAutospacing="0" w:after="0" w:afterAutospacing="0"/>
        <w:jc w:val="both"/>
        <w:rPr>
          <w:sz w:val="20"/>
          <w:szCs w:val="20"/>
        </w:rPr>
      </w:pPr>
      <w:r>
        <w:rPr>
          <w:sz w:val="20"/>
          <w:szCs w:val="20"/>
        </w:rPr>
        <w:t>On May 1, 2019, the BOP announced that it elected not to renew the con</w:t>
      </w:r>
      <w:r>
        <w:rPr>
          <w:sz w:val="20"/>
          <w:szCs w:val="20"/>
        </w:rPr>
        <w:t>tract at our Adams County Correctional Center, which expires on July 31, 2019.  At this time, the BOP has not determined when it will begin transferring offenders out of the Adams facility. We have begun to market the Adams facility to other potential gove</w:t>
      </w:r>
      <w:r>
        <w:rPr>
          <w:sz w:val="20"/>
          <w:szCs w:val="20"/>
        </w:rPr>
        <w:t>rnment partners as we work with the BOP to develop their transition plan; however, we can provide no assurance that we will be successful in securing a replacement contract prior to the completion of the transition plan, which we believe is likely to exten</w:t>
      </w:r>
      <w:r>
        <w:rPr>
          <w:sz w:val="20"/>
          <w:szCs w:val="20"/>
        </w:rPr>
        <w:t>d beyond the contract's July 31, 2019 expiration date, or at all.  For the year ended December 31, 2018, this facility generated $60.9 million in total revenue.</w:t>
      </w:r>
    </w:p>
    <w:p w:rsidR="00000000" w:rsidRDefault="00240F6E">
      <w:pPr>
        <w:pStyle w:val="a3"/>
        <w:spacing w:before="240" w:beforeAutospacing="0" w:after="0" w:afterAutospacing="0"/>
        <w:jc w:val="both"/>
        <w:rPr>
          <w:sz w:val="20"/>
          <w:szCs w:val="20"/>
        </w:rPr>
      </w:pPr>
      <w:r>
        <w:rPr>
          <w:sz w:val="20"/>
          <w:szCs w:val="20"/>
        </w:rPr>
        <w:t>Based on information available as of the date of this Quarterly Report, notwithstanding the con</w:t>
      </w:r>
      <w:r>
        <w:rPr>
          <w:sz w:val="20"/>
          <w:szCs w:val="20"/>
        </w:rPr>
        <w:t>tract at the Adams facility described above, we believe we will renew all contracts with our government partners that have expired or are scheduled to expire within the next twelve months that could have a material impact on our financial statements.  We b</w:t>
      </w:r>
      <w:r>
        <w:rPr>
          <w:sz w:val="20"/>
          <w:szCs w:val="20"/>
        </w:rPr>
        <w:t>elieve our renewal rate on existing contracts remains high due to a variety of reasons including, but not limited to, the constrained supply of available beds within the U.S. correctional system, our ownership of the majority of the beds we operate, and th</w:t>
      </w:r>
      <w:r>
        <w:rPr>
          <w:sz w:val="20"/>
          <w:szCs w:val="20"/>
        </w:rPr>
        <w:t xml:space="preserve">e cost effectiveness of the services we provide.  However, we cannot assure we will continue to achieve such renewal rates in the future. </w:t>
      </w:r>
    </w:p>
    <w:p w:rsidR="00000000" w:rsidRDefault="00240F6E">
      <w:pPr>
        <w:pStyle w:val="a3"/>
        <w:spacing w:before="160" w:beforeAutospacing="0" w:after="0" w:afterAutospacing="0"/>
        <w:jc w:val="both"/>
        <w:rPr>
          <w:i/>
          <w:iCs/>
          <w:sz w:val="20"/>
          <w:szCs w:val="20"/>
        </w:rPr>
      </w:pPr>
      <w:r>
        <w:rPr>
          <w:i/>
          <w:iCs/>
          <w:sz w:val="20"/>
          <w:szCs w:val="20"/>
        </w:rPr>
        <w:t xml:space="preserve">CoreCivic Safety </w:t>
      </w:r>
    </w:p>
    <w:p w:rsidR="00000000" w:rsidRDefault="00240F6E">
      <w:pPr>
        <w:pStyle w:val="a3"/>
        <w:spacing w:before="120" w:beforeAutospacing="0" w:after="0" w:afterAutospacing="0"/>
        <w:jc w:val="both"/>
        <w:rPr>
          <w:sz w:val="20"/>
          <w:szCs w:val="20"/>
        </w:rPr>
      </w:pPr>
      <w:r>
        <w:rPr>
          <w:sz w:val="20"/>
          <w:szCs w:val="20"/>
        </w:rPr>
        <w:t>CoreCivic Safety includes the operating results of the correctional and detention facilities that w</w:t>
      </w:r>
      <w:r>
        <w:rPr>
          <w:sz w:val="20"/>
          <w:szCs w:val="20"/>
        </w:rPr>
        <w:t>e operated during each period.  Total revenue generated by CoreCivic Safety increased $29.8 million, or 7.4%, from $404.5 million in the first quarter of 2018 to $434.3 million in the first quarter of 2019.  CoreCivic Safety's facility net operating income</w:t>
      </w:r>
      <w:r>
        <w:rPr>
          <w:sz w:val="20"/>
          <w:szCs w:val="20"/>
        </w:rPr>
        <w:t>, or facility revenues less operating expenses, increased $9.7 million, or 9.0%, from $108.0 million during the three months ended March 31, 2018 to $117.7 million during the three months ended March 31, 2019. The aggregate depreciation and interest expens</w:t>
      </w:r>
      <w:r>
        <w:rPr>
          <w:sz w:val="20"/>
          <w:szCs w:val="20"/>
        </w:rPr>
        <w:t>e associated with the lease at the South Texas Family Residential Center for the three months ended March 31, 2018, totaling $5.6 million, is not included in the 2018 net operating income amount, but is included in the following per compensated man-day sta</w:t>
      </w:r>
      <w:r>
        <w:rPr>
          <w:sz w:val="20"/>
          <w:szCs w:val="20"/>
        </w:rPr>
        <w:t xml:space="preserve">tistics for the three months ended March 31, 2018.  During the </w:t>
      </w:r>
    </w:p>
    <w:p w:rsidR="00000000" w:rsidRDefault="00240F6E">
      <w:pPr>
        <w:pStyle w:val="a3"/>
        <w:spacing w:before="240" w:beforeAutospacing="0" w:after="0" w:afterAutospacing="0"/>
        <w:jc w:val="center"/>
        <w:rPr>
          <w:sz w:val="20"/>
          <w:szCs w:val="20"/>
        </w:rPr>
      </w:pPr>
      <w:r>
        <w:rPr>
          <w:sz w:val="20"/>
          <w:szCs w:val="20"/>
        </w:rPr>
        <w:t>31</w:t>
      </w:r>
    </w:p>
    <w:p w:rsidR="00000000" w:rsidRDefault="00240F6E">
      <w:pPr>
        <w:rPr>
          <w:rFonts w:eastAsia="Times New Roman"/>
        </w:rPr>
      </w:pPr>
      <w:r>
        <w:rPr>
          <w:rFonts w:eastAsia="Times New Roman"/>
        </w:rPr>
        <w:pict>
          <v:rect id="_x0000_i1057" style="width:0;height:1.5pt" o:hralign="center" o:hrstd="t" o:hr="t" fillcolor="#a0a0a0" stroked="f"/>
        </w:pict>
      </w:r>
    </w:p>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120" w:beforeAutospacing="0" w:after="0" w:afterAutospacing="0"/>
        <w:jc w:val="both"/>
        <w:rPr>
          <w:sz w:val="20"/>
          <w:szCs w:val="20"/>
        </w:rPr>
      </w:pPr>
      <w:r>
        <w:rPr>
          <w:sz w:val="20"/>
          <w:szCs w:val="20"/>
        </w:rPr>
        <w:t xml:space="preserve">three months ended March 31, 2019 and 2018, CoreCivic Safety generated 85.2% and 88.6%, respectively, of our total facility net operating income. </w:t>
      </w:r>
    </w:p>
    <w:p w:rsidR="00000000" w:rsidRDefault="00240F6E">
      <w:pPr>
        <w:pStyle w:val="a3"/>
        <w:spacing w:before="240" w:beforeAutospacing="0" w:after="0" w:afterAutospacing="0"/>
        <w:jc w:val="both"/>
        <w:rPr>
          <w:sz w:val="20"/>
          <w:szCs w:val="20"/>
        </w:rPr>
      </w:pPr>
      <w:r>
        <w:rPr>
          <w:sz w:val="20"/>
          <w:szCs w:val="20"/>
        </w:rPr>
        <w:t>The</w:t>
      </w:r>
      <w:r>
        <w:rPr>
          <w:sz w:val="20"/>
          <w:szCs w:val="20"/>
        </w:rPr>
        <w:t xml:space="preserve"> following table displays the revenue and expenses per compensated man-day for CoreCivic Safety's correctional and detention facilities placed into service that we own and manage and for the facilities we manage but do not own, inclusive of the transportat</w:t>
      </w:r>
      <w:r>
        <w:rPr>
          <w:sz w:val="20"/>
          <w:szCs w:val="20"/>
        </w:rPr>
        <w:t>ion services provided by TransCor:</w:t>
      </w:r>
    </w:p>
    <w:p w:rsidR="00000000" w:rsidRDefault="00240F6E">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873"/>
        <w:gridCol w:w="65"/>
        <w:gridCol w:w="115"/>
        <w:gridCol w:w="889"/>
        <w:gridCol w:w="215"/>
        <w:gridCol w:w="65"/>
        <w:gridCol w:w="115"/>
        <w:gridCol w:w="891"/>
        <w:gridCol w:w="182"/>
        <w:gridCol w:w="65"/>
      </w:tblGrid>
      <w:tr w:rsidR="00000000">
        <w:trPr>
          <w:divId w:val="356734657"/>
        </w:trPr>
        <w:tc>
          <w:tcPr>
            <w:tcW w:w="329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1494"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240F6E">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356734657"/>
        </w:trPr>
        <w:tc>
          <w:tcPr>
            <w:tcW w:w="329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68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68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356734657"/>
        </w:trPr>
        <w:tc>
          <w:tcPr>
            <w:tcW w:w="3295"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b/>
                <w:bCs/>
                <w:color w:val="000000"/>
                <w:sz w:val="20"/>
                <w:szCs w:val="20"/>
              </w:rPr>
            </w:pPr>
            <w:r>
              <w:rPr>
                <w:b/>
                <w:bCs/>
                <w:color w:val="000000"/>
                <w:sz w:val="20"/>
                <w:szCs w:val="20"/>
              </w:rPr>
              <w:t>CoreCivic Safety Facilities:</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356734657"/>
        </w:trPr>
        <w:tc>
          <w:tcPr>
            <w:tcW w:w="3295"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Revenue per compensated man-day</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632"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79.84</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632"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77.58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356734657"/>
        </w:trPr>
        <w:tc>
          <w:tcPr>
            <w:tcW w:w="3295"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Operating expenses per compensated man-day:</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32"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2"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356734657"/>
        </w:trPr>
        <w:tc>
          <w:tcPr>
            <w:tcW w:w="3295"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Fixed expense</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32"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42.03</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2"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41.17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356734657"/>
        </w:trPr>
        <w:tc>
          <w:tcPr>
            <w:tcW w:w="3295"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Variable expense</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3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16.17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16.76</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356734657"/>
        </w:trPr>
        <w:tc>
          <w:tcPr>
            <w:tcW w:w="3295"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547"/>
              <w:rPr>
                <w:color w:val="000000"/>
                <w:sz w:val="20"/>
                <w:szCs w:val="20"/>
              </w:rPr>
            </w:pPr>
            <w:r>
              <w:rPr>
                <w:color w:val="000000"/>
                <w:sz w:val="20"/>
                <w:szCs w:val="20"/>
              </w:rPr>
              <w:t>Total</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32"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58.20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2"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57.93</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356734657"/>
        </w:trPr>
        <w:tc>
          <w:tcPr>
            <w:tcW w:w="3295"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Operating income per compensated man-day</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63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21.64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63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19.65</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356734657"/>
        </w:trPr>
        <w:tc>
          <w:tcPr>
            <w:tcW w:w="3295"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Operating margin</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32"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27.1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2"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25.3</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356734657"/>
        </w:trPr>
        <w:tc>
          <w:tcPr>
            <w:tcW w:w="3295"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Average compensated occupancy</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32"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83.0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2"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79.5</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356734657"/>
        </w:trPr>
        <w:tc>
          <w:tcPr>
            <w:tcW w:w="3295"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Average available beds</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32"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72,833</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2"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72,833</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356734657"/>
        </w:trPr>
        <w:tc>
          <w:tcPr>
            <w:tcW w:w="3295"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Average compensated population</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32"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60,441</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2"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57,929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
                <w:szCs w:val="2"/>
              </w:rPr>
            </w:pPr>
            <w:r>
              <w:rPr>
                <w:color w:val="000000"/>
                <w:sz w:val="2"/>
                <w:szCs w:val="2"/>
              </w:rPr>
              <w:t> </w:t>
            </w:r>
          </w:p>
        </w:tc>
      </w:tr>
    </w:tbl>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240" w:beforeAutospacing="0" w:after="0" w:afterAutospacing="0"/>
        <w:jc w:val="both"/>
        <w:rPr>
          <w:color w:val="000000"/>
          <w:sz w:val="20"/>
          <w:szCs w:val="20"/>
        </w:rPr>
      </w:pPr>
      <w:r>
        <w:rPr>
          <w:color w:val="000000"/>
          <w:sz w:val="20"/>
          <w:szCs w:val="20"/>
        </w:rPr>
        <w:t>Operating margins within the CoreCivic Safety facilities during the first quarter of 2019 were positively impacted by the aforementioned new contract with the KYDOC at our Lee Adjustment Center.  During the first quarter of 2018, we incurred start-up expen</w:t>
      </w:r>
      <w:r>
        <w:rPr>
          <w:color w:val="000000"/>
          <w:sz w:val="20"/>
          <w:szCs w:val="20"/>
        </w:rPr>
        <w:t>ses at the facility as we prepared to receive offender populations from the KYDOC late in the quarter.  The new contracts with the USMS, and the states of Vermont, Wyoming and South Carolina at our Tallahatchie County Correctional Facility, as further desc</w:t>
      </w:r>
      <w:r>
        <w:rPr>
          <w:color w:val="000000"/>
          <w:sz w:val="20"/>
          <w:szCs w:val="20"/>
        </w:rPr>
        <w:t>ribed hereafter, also positively impacted operating margins during the first quarter of 2019.  As California populations declined at the Tallahatchie facility during the first quarter of 2018, we retained staff at the facility in anticipation of the new co</w:t>
      </w:r>
      <w:r>
        <w:rPr>
          <w:color w:val="000000"/>
          <w:sz w:val="20"/>
          <w:szCs w:val="20"/>
        </w:rPr>
        <w:t>ntracts.  An increase in offender populations from the USMS and ICE across the portfolio, as well as per diem increases at several of our facilities, also positively impacted operating margins when comparing the first quarter of 2019 to the first quarter o</w:t>
      </w:r>
      <w:r>
        <w:rPr>
          <w:color w:val="000000"/>
          <w:sz w:val="20"/>
          <w:szCs w:val="20"/>
        </w:rPr>
        <w:t>f 2018.</w:t>
      </w:r>
    </w:p>
    <w:p w:rsidR="00000000" w:rsidRDefault="00240F6E">
      <w:pPr>
        <w:pStyle w:val="a3"/>
        <w:spacing w:before="240" w:beforeAutospacing="0" w:after="0" w:afterAutospacing="0"/>
        <w:jc w:val="both"/>
        <w:rPr>
          <w:sz w:val="20"/>
          <w:szCs w:val="20"/>
        </w:rPr>
      </w:pPr>
      <w:r>
        <w:rPr>
          <w:sz w:val="20"/>
          <w:szCs w:val="20"/>
        </w:rPr>
        <w:t xml:space="preserve">During the first quarter of 2015, the adult inmate population held in state of California institutions first met a Federal court order to reduce inmate populations below 137.5% of its capacity.  Inmate populations in the state continued to decline </w:t>
      </w:r>
      <w:r>
        <w:rPr>
          <w:sz w:val="20"/>
          <w:szCs w:val="20"/>
        </w:rPr>
        <w:t>below the court ordered capacity limit which has resulted in declining inmate populations in the out-of-state program at facilities we own and operate. The state of California's budget for fiscal 2018-2019, signed by the Governor of California in June 2018</w:t>
      </w:r>
      <w:r>
        <w:rPr>
          <w:sz w:val="20"/>
          <w:szCs w:val="20"/>
        </w:rPr>
        <w:t>, anticipated that all inmates would be returned to the State by January 2019.  In accordance with the budget for fiscal 2018-2019, all inmates were removed from our 2,672-bed Tallahatchie County Correctional Facility in Tutwiler, Mississippi in the second</w:t>
      </w:r>
      <w:r>
        <w:rPr>
          <w:sz w:val="20"/>
          <w:szCs w:val="20"/>
        </w:rPr>
        <w:t xml:space="preserve"> quarter of 2018. However, due to the higher-than-expected population in fiscal 2018-2019, the State was unable to accept the transfer of the inmates cared for at our 3,060-bed La Palma Correctional Center in Eloy, Arizona, our remaining out-of-state facil</w:t>
      </w:r>
      <w:r>
        <w:rPr>
          <w:sz w:val="20"/>
          <w:szCs w:val="20"/>
        </w:rPr>
        <w:t>ity caring for California inmates.  During January 2019, the Governor issued a proposed budget for fiscal 2019-2020, which assumes all inmates will be returned from out-of-state facilities by June 30, 2019.  As of March 31, 2019, we cared for approximately</w:t>
      </w:r>
      <w:r>
        <w:rPr>
          <w:sz w:val="20"/>
          <w:szCs w:val="20"/>
        </w:rPr>
        <w:t xml:space="preserve"> 1,100 inmates from the state of California at our La Palma facility.  During the three months ended March 31, 2019 and 2018, we cared for an average daily population of approximately 1,600 and 4,200 California inmates, respectively, in facilities outside </w:t>
      </w:r>
      <w:r>
        <w:rPr>
          <w:sz w:val="20"/>
          <w:szCs w:val="20"/>
        </w:rPr>
        <w:t xml:space="preserve">the state.  This decline in population resulted in a decrease in revenue of $14.8 million from the three months ended March 31, 2018 to the comparable period in 2019.   </w:t>
      </w:r>
      <w:r>
        <w:rPr>
          <w:spacing w:val="-2"/>
          <w:sz w:val="20"/>
          <w:szCs w:val="20"/>
        </w:rPr>
        <w:t xml:space="preserve">Approximately 2% and 6% of our total revenue for the three months ended March 31, 2019 </w:t>
      </w:r>
      <w:r>
        <w:rPr>
          <w:spacing w:val="-2"/>
          <w:sz w:val="20"/>
          <w:szCs w:val="20"/>
        </w:rPr>
        <w:t>and 2018, respectively, was generated from the California Department of Corrections and Rehabilitation in facilities housing inmates outside the state of California.  </w:t>
      </w:r>
    </w:p>
    <w:p w:rsidR="00000000" w:rsidRDefault="00240F6E">
      <w:pPr>
        <w:pStyle w:val="a3"/>
        <w:spacing w:before="240" w:beforeAutospacing="0" w:after="0" w:afterAutospacing="0"/>
        <w:jc w:val="both"/>
        <w:rPr>
          <w:sz w:val="20"/>
          <w:szCs w:val="20"/>
        </w:rPr>
      </w:pPr>
      <w:r>
        <w:rPr>
          <w:sz w:val="20"/>
          <w:szCs w:val="20"/>
        </w:rPr>
        <w:t>On June 14, 2018, we announced that we entered into a new contract under an inter-govern</w:t>
      </w:r>
      <w:r>
        <w:rPr>
          <w:sz w:val="20"/>
          <w:szCs w:val="20"/>
        </w:rPr>
        <w:t xml:space="preserve">mental service agreement, or IGSA, between the Tallahatchie County Correctional Authority, Tutwiler, Mississippi and the USMS at our Tallahatchie County Correctional Facility.  The new contract, which also authorizes ICE to utilize the facility, commenced </w:t>
      </w:r>
      <w:r>
        <w:rPr>
          <w:sz w:val="20"/>
          <w:szCs w:val="20"/>
        </w:rPr>
        <w:t>on June 14, 2018, and has an initial term expiring June 30, 2020, with unlimited two-year extension options thereafter upon mutual agreement. On September 19, 2018, we announced that we entered into a new contract with the Vermont Department of Corrections</w:t>
      </w:r>
      <w:r>
        <w:rPr>
          <w:sz w:val="20"/>
          <w:szCs w:val="20"/>
        </w:rPr>
        <w:t xml:space="preserve"> to care for up to 350 of the State's inmates at our Tallahatchie facility.  The new contract commenced on October 1, 2018, and has an initial term of two years, with one additional two-year extension option thereafter upon mutual agreement. We began recei</w:t>
      </w:r>
      <w:r>
        <w:rPr>
          <w:sz w:val="20"/>
          <w:szCs w:val="20"/>
        </w:rPr>
        <w:t xml:space="preserve">ving inmates from Vermont at our Tallahatchie facility during the fourth quarter of 2018. On March 31, 2019, we cared for approximately 600 offenders from the USMS, </w:t>
      </w:r>
    </w:p>
    <w:p w:rsidR="00000000" w:rsidRDefault="00240F6E">
      <w:pPr>
        <w:pStyle w:val="a3"/>
        <w:spacing w:before="240" w:beforeAutospacing="0" w:after="0" w:afterAutospacing="0"/>
        <w:jc w:val="center"/>
        <w:rPr>
          <w:sz w:val="20"/>
          <w:szCs w:val="20"/>
        </w:rPr>
      </w:pPr>
      <w:r>
        <w:rPr>
          <w:sz w:val="20"/>
          <w:szCs w:val="20"/>
        </w:rPr>
        <w:t>32</w:t>
      </w:r>
    </w:p>
    <w:p w:rsidR="00000000" w:rsidRDefault="00240F6E">
      <w:pPr>
        <w:rPr>
          <w:rFonts w:eastAsia="Times New Roman"/>
        </w:rPr>
      </w:pPr>
      <w:r>
        <w:rPr>
          <w:rFonts w:eastAsia="Times New Roman"/>
        </w:rPr>
        <w:pict>
          <v:rect id="_x0000_i1058" style="width:0;height:1.5pt" o:hralign="center" o:hrstd="t" o:hr="t" fillcolor="#a0a0a0" stroked="f"/>
        </w:pict>
      </w:r>
    </w:p>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240" w:beforeAutospacing="0" w:after="0" w:afterAutospacing="0"/>
        <w:jc w:val="both"/>
        <w:rPr>
          <w:sz w:val="20"/>
          <w:szCs w:val="20"/>
        </w:rPr>
      </w:pPr>
      <w:r>
        <w:rPr>
          <w:sz w:val="20"/>
          <w:szCs w:val="20"/>
        </w:rPr>
        <w:t xml:space="preserve">1,200 detainees from ICE, 250 inmates from Vermont, and approximately 200 offenders under additional new contracts from the states of South Carolina and Wyoming and the U.S. Virgin Islands at our Tallahatchie facility. </w:t>
      </w:r>
    </w:p>
    <w:p w:rsidR="00000000" w:rsidRDefault="00240F6E">
      <w:pPr>
        <w:pStyle w:val="a3"/>
        <w:spacing w:before="240" w:beforeAutospacing="0" w:after="0" w:afterAutospacing="0"/>
        <w:jc w:val="both"/>
        <w:rPr>
          <w:color w:val="000000"/>
          <w:sz w:val="20"/>
          <w:szCs w:val="20"/>
        </w:rPr>
      </w:pPr>
      <w:r>
        <w:rPr>
          <w:color w:val="000000"/>
          <w:sz w:val="20"/>
          <w:szCs w:val="20"/>
        </w:rPr>
        <w:t xml:space="preserve">On July 24, 2018, we announced that </w:t>
      </w:r>
      <w:r>
        <w:rPr>
          <w:color w:val="000000"/>
          <w:sz w:val="20"/>
          <w:szCs w:val="20"/>
        </w:rPr>
        <w:t>the city of Eloy agreed to modify an existing IGSA with ICE to add the La Palma facility as a place of performance.  The new contract commenced on July 24, 2018, and has an indefinite term, subject to termination by either party with 90 days' written notic</w:t>
      </w:r>
      <w:r>
        <w:rPr>
          <w:color w:val="000000"/>
          <w:sz w:val="20"/>
          <w:szCs w:val="20"/>
        </w:rPr>
        <w:t>e.  Capacity at the facility has initially been made available to ICE under the new agreement as California inmate populations declined at the facility.  On March 31, 2019, we cared for approximately 1,600 detainees from ICE at our La Palma facility.</w:t>
      </w:r>
    </w:p>
    <w:p w:rsidR="00000000" w:rsidRDefault="00240F6E">
      <w:pPr>
        <w:pStyle w:val="a3"/>
        <w:spacing w:before="240" w:beforeAutospacing="0" w:after="0" w:afterAutospacing="0"/>
        <w:jc w:val="both"/>
        <w:rPr>
          <w:sz w:val="20"/>
          <w:szCs w:val="20"/>
        </w:rPr>
      </w:pPr>
      <w:r>
        <w:rPr>
          <w:sz w:val="20"/>
          <w:szCs w:val="20"/>
        </w:rPr>
        <w:t>Durin</w:t>
      </w:r>
      <w:r>
        <w:rPr>
          <w:sz w:val="20"/>
          <w:szCs w:val="20"/>
        </w:rPr>
        <w:t>g the three months ended March 31, 2019, ICE officials announced that as of April 1, 2019, they would be converting, at least on a temporary basis, most of a competitor-operated family residential center to a detention center for single immigrant women.  A</w:t>
      </w:r>
      <w:r>
        <w:rPr>
          <w:sz w:val="20"/>
          <w:szCs w:val="20"/>
        </w:rPr>
        <w:t>t this time, we are unaware of plans for ICE to make any changes to its use or utilization of the South Texas Family Residential Center, which generated $42.8 million in revenue during the three months ended March 31, 2019 as compared to $42.7 million duri</w:t>
      </w:r>
      <w:r>
        <w:rPr>
          <w:sz w:val="20"/>
          <w:szCs w:val="20"/>
        </w:rPr>
        <w:t>ng the same period in 2018.  We lease the South Texas Family Residential Center and the site upon which it was constructed from a third-party lessor.  Our lease agreement with the lessor is over a base period concurrent with an IGSA with ICE which was amen</w:t>
      </w:r>
      <w:r>
        <w:rPr>
          <w:sz w:val="20"/>
          <w:szCs w:val="20"/>
        </w:rPr>
        <w:t>ded in October 2016 to extend the term of the agreement through September 2021.  However, ICE can terminate the agreement related to the South Texas Family Residential Center for convenience or non-appropriation of funds, without penalty, by providing us w</w:t>
      </w:r>
      <w:r>
        <w:rPr>
          <w:sz w:val="20"/>
          <w:szCs w:val="20"/>
        </w:rPr>
        <w:t>ith at least a 60-day notice.  In the event we cancel the lease with the third-party lessor prior to its expiration as a result of the termination of the IGSA by ICE for convenience, and if we are unable to reach an agreement for the continued use of the f</w:t>
      </w:r>
      <w:r>
        <w:rPr>
          <w:sz w:val="20"/>
          <w:szCs w:val="20"/>
        </w:rPr>
        <w:t>acility within 90 days from the termination date, we are required to pay a termination fee based on the termination date, currently equal to $7.0 million and declining to zero by October 2020.</w:t>
      </w:r>
    </w:p>
    <w:p w:rsidR="00000000" w:rsidRDefault="00240F6E">
      <w:pPr>
        <w:pStyle w:val="a3"/>
        <w:spacing w:before="160" w:beforeAutospacing="0" w:after="0" w:afterAutospacing="0"/>
        <w:jc w:val="both"/>
        <w:rPr>
          <w:i/>
          <w:iCs/>
          <w:sz w:val="20"/>
          <w:szCs w:val="20"/>
        </w:rPr>
      </w:pPr>
      <w:r>
        <w:rPr>
          <w:i/>
          <w:iCs/>
          <w:sz w:val="20"/>
          <w:szCs w:val="20"/>
        </w:rPr>
        <w:t xml:space="preserve">CoreCivic Community </w:t>
      </w:r>
    </w:p>
    <w:p w:rsidR="00000000" w:rsidRDefault="00240F6E">
      <w:pPr>
        <w:pStyle w:val="a3"/>
        <w:spacing w:before="120" w:beforeAutospacing="0" w:after="0" w:afterAutospacing="0"/>
        <w:jc w:val="both"/>
        <w:rPr>
          <w:sz w:val="20"/>
          <w:szCs w:val="20"/>
        </w:rPr>
      </w:pPr>
      <w:r>
        <w:rPr>
          <w:sz w:val="20"/>
          <w:szCs w:val="20"/>
        </w:rPr>
        <w:t>CoreCivic Community includes the operating</w:t>
      </w:r>
      <w:r>
        <w:rPr>
          <w:sz w:val="20"/>
          <w:szCs w:val="20"/>
        </w:rPr>
        <w:t xml:space="preserve"> results of the residential reentry centers that we operated during each period, along with the operating results of RMOMS and RMSC from their acquisition dates.  Total revenue generated by CoreCivic Community increased $5.8 million, or 23.3%, from $24.8 m</w:t>
      </w:r>
      <w:r>
        <w:rPr>
          <w:sz w:val="20"/>
          <w:szCs w:val="20"/>
        </w:rPr>
        <w:t>illion during the first quarter of 2018 to $30.6 million during the first quarter of 2019.  CoreCivic Community's facility net operating income increased $1.6 million, or 30.1%, from $5.4 million during the three months ended March 31, 2018 to $7.1 million</w:t>
      </w:r>
      <w:r>
        <w:rPr>
          <w:sz w:val="20"/>
          <w:szCs w:val="20"/>
        </w:rPr>
        <w:t xml:space="preserve"> during the three months ended March 31, 2019.  During the three months ended March 31, 2019 and 2018, CoreCivic Community generated 5.1% and 4.4%, respectively, of our total facility net operating income.  </w:t>
      </w:r>
    </w:p>
    <w:p w:rsidR="00000000" w:rsidRDefault="00240F6E">
      <w:pPr>
        <w:pStyle w:val="a3"/>
        <w:spacing w:before="240" w:beforeAutospacing="0" w:after="0" w:afterAutospacing="0"/>
        <w:jc w:val="both"/>
        <w:rPr>
          <w:sz w:val="20"/>
          <w:szCs w:val="20"/>
        </w:rPr>
      </w:pPr>
      <w:r>
        <w:rPr>
          <w:sz w:val="20"/>
          <w:szCs w:val="20"/>
        </w:rPr>
        <w:t>The following table displays the revenue and exp</w:t>
      </w:r>
      <w:r>
        <w:rPr>
          <w:sz w:val="20"/>
          <w:szCs w:val="20"/>
        </w:rPr>
        <w:t xml:space="preserve">enses per compensated man-day for CoreCivic Community's residential reentry facilities placed into service that we own and manage, but exclusive of the electronic monitoring and case management services provided by RMOMS and RMSC given that revenue is not </w:t>
      </w:r>
      <w:r>
        <w:rPr>
          <w:sz w:val="20"/>
          <w:szCs w:val="20"/>
        </w:rPr>
        <w:t>generated on a per compensated man-day basis for these services:</w:t>
      </w:r>
    </w:p>
    <w:p w:rsidR="00000000" w:rsidRDefault="00240F6E">
      <w:pPr>
        <w:pStyle w:val="a3"/>
        <w:spacing w:before="0" w:beforeAutospacing="0" w:after="0" w:afterAutospacing="0"/>
        <w:rPr>
          <w:sz w:val="20"/>
          <w:szCs w:val="20"/>
        </w:rPr>
      </w:pPr>
      <w:r>
        <w:rPr>
          <w:sz w:val="20"/>
          <w:szCs w:val="20"/>
        </w:rPr>
        <w:t> </w:t>
      </w:r>
    </w:p>
    <w:tbl>
      <w:tblPr>
        <w:tblW w:w="4500" w:type="pct"/>
        <w:tblCellMar>
          <w:left w:w="0" w:type="dxa"/>
          <w:right w:w="0" w:type="dxa"/>
        </w:tblCellMar>
        <w:tblLook w:val="04A0" w:firstRow="1" w:lastRow="0" w:firstColumn="1" w:lastColumn="0" w:noHBand="0" w:noVBand="1"/>
      </w:tblPr>
      <w:tblGrid>
        <w:gridCol w:w="4873"/>
        <w:gridCol w:w="65"/>
        <w:gridCol w:w="115"/>
        <w:gridCol w:w="889"/>
        <w:gridCol w:w="215"/>
        <w:gridCol w:w="65"/>
        <w:gridCol w:w="115"/>
        <w:gridCol w:w="891"/>
        <w:gridCol w:w="182"/>
        <w:gridCol w:w="65"/>
      </w:tblGrid>
      <w:tr w:rsidR="00000000">
        <w:trPr>
          <w:divId w:val="1877346371"/>
        </w:trPr>
        <w:tc>
          <w:tcPr>
            <w:tcW w:w="329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sz w:val="20"/>
                <w:szCs w:val="20"/>
              </w:rPr>
            </w:pPr>
            <w:r>
              <w:rPr>
                <w:sz w:val="20"/>
                <w:szCs w:val="20"/>
              </w:rPr>
              <w:t> </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1494"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240F6E">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1877346371"/>
        </w:trPr>
        <w:tc>
          <w:tcPr>
            <w:tcW w:w="3295"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68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79" w:type="pct"/>
            <w:tcBorders>
              <w:top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682"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1877346371"/>
        </w:trPr>
        <w:tc>
          <w:tcPr>
            <w:tcW w:w="3295"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b/>
                <w:bCs/>
                <w:color w:val="000000"/>
                <w:sz w:val="20"/>
                <w:szCs w:val="20"/>
              </w:rPr>
            </w:pPr>
            <w:r>
              <w:rPr>
                <w:b/>
                <w:bCs/>
                <w:color w:val="000000"/>
                <w:sz w:val="20"/>
                <w:szCs w:val="20"/>
              </w:rPr>
              <w:t>CoreCivic Community Facilities:</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2"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877346371"/>
        </w:trPr>
        <w:tc>
          <w:tcPr>
            <w:tcW w:w="3295"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Revenue per compensated man-day</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632"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56.71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632"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54.12</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877346371"/>
        </w:trPr>
        <w:tc>
          <w:tcPr>
            <w:tcW w:w="3295"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Operating expenses per compensated man-day:</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32"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2"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877346371"/>
        </w:trPr>
        <w:tc>
          <w:tcPr>
            <w:tcW w:w="3295"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Fixed expense</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32"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32.11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2"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32.59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877346371"/>
        </w:trPr>
        <w:tc>
          <w:tcPr>
            <w:tcW w:w="3295"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Variable expense</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3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7.75</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2"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7.76</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877346371"/>
        </w:trPr>
        <w:tc>
          <w:tcPr>
            <w:tcW w:w="3295"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ind w:left="547"/>
              <w:rPr>
                <w:color w:val="000000"/>
                <w:sz w:val="20"/>
                <w:szCs w:val="20"/>
              </w:rPr>
            </w:pPr>
            <w:r>
              <w:rPr>
                <w:color w:val="000000"/>
                <w:sz w:val="20"/>
                <w:szCs w:val="20"/>
              </w:rPr>
              <w:t>Total</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32"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39.86</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2" w:type="pct"/>
            <w:tcBorders>
              <w:top w:val="single" w:sz="6" w:space="0" w:color="000000"/>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40.35</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877346371"/>
        </w:trPr>
        <w:tc>
          <w:tcPr>
            <w:tcW w:w="3295"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Operating income per compensated man-day</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63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16.85</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632"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13.77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877346371"/>
        </w:trPr>
        <w:tc>
          <w:tcPr>
            <w:tcW w:w="3295"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Operating margin</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32"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29.7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2"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25.4</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877346371"/>
        </w:trPr>
        <w:tc>
          <w:tcPr>
            <w:tcW w:w="3295"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Average compensated occupancy</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32"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78.4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2"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81.4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877346371"/>
        </w:trPr>
        <w:tc>
          <w:tcPr>
            <w:tcW w:w="3295"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Average available beds</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32"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5,240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2" w:type="pct"/>
            <w:tcBorders>
              <w:top w:val="doub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5,214</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877346371"/>
        </w:trPr>
        <w:tc>
          <w:tcPr>
            <w:tcW w:w="3295"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Average compensated population</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32"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4,110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32" w:type="pct"/>
            <w:tcBorders>
              <w:top w:val="doub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4,244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79"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
                <w:szCs w:val="2"/>
              </w:rPr>
            </w:pPr>
            <w:r>
              <w:rPr>
                <w:color w:val="000000"/>
                <w:sz w:val="2"/>
                <w:szCs w:val="2"/>
              </w:rPr>
              <w:t> </w:t>
            </w:r>
          </w:p>
        </w:tc>
      </w:tr>
    </w:tbl>
    <w:p w:rsidR="00000000" w:rsidRDefault="00240F6E">
      <w:pPr>
        <w:pStyle w:val="a3"/>
        <w:spacing w:before="240" w:beforeAutospacing="0" w:after="0" w:afterAutospacing="0"/>
        <w:jc w:val="both"/>
        <w:rPr>
          <w:sz w:val="20"/>
          <w:szCs w:val="20"/>
        </w:rPr>
      </w:pPr>
      <w:r>
        <w:rPr>
          <w:sz w:val="20"/>
          <w:szCs w:val="20"/>
        </w:rPr>
        <w:t>The following acquisitions have positively impacted our facility net operating income:</w:t>
      </w: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rPr>
          <w:divId w:val="372654337"/>
        </w:trPr>
        <w:tc>
          <w:tcPr>
            <w:tcW w:w="166" w:type="pct"/>
            <w:noWrap/>
            <w:hideMark/>
          </w:tcPr>
          <w:p w:rsidR="00000000" w:rsidRDefault="00240F6E">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240F6E">
            <w:pPr>
              <w:pStyle w:val="a3"/>
              <w:spacing w:before="120" w:beforeAutospacing="0" w:after="0" w:afterAutospacing="0"/>
              <w:jc w:val="both"/>
              <w:rPr>
                <w:sz w:val="20"/>
                <w:szCs w:val="20"/>
              </w:rPr>
            </w:pPr>
            <w:r>
              <w:rPr>
                <w:sz w:val="20"/>
                <w:szCs w:val="20"/>
              </w:rPr>
              <w:t>•</w:t>
            </w:r>
          </w:p>
        </w:tc>
        <w:tc>
          <w:tcPr>
            <w:tcW w:w="0" w:type="auto"/>
            <w:hideMark/>
          </w:tcPr>
          <w:p w:rsidR="00000000" w:rsidRDefault="00240F6E">
            <w:pPr>
              <w:pStyle w:val="a3"/>
              <w:spacing w:before="120" w:beforeAutospacing="0" w:after="0" w:afterAutospacing="0"/>
              <w:jc w:val="both"/>
              <w:rPr>
                <w:sz w:val="20"/>
                <w:szCs w:val="20"/>
              </w:rPr>
            </w:pPr>
            <w:r>
              <w:rPr>
                <w:sz w:val="20"/>
                <w:szCs w:val="20"/>
              </w:rPr>
              <w:t>Effective January 1, 2018, we closed on the acquisition of RMOMS, which provides non-residential correctional alternatives, including electronic monitoring and case management services, to municipal, county, and state governments in seven states;  </w:t>
            </w:r>
          </w:p>
        </w:tc>
      </w:tr>
    </w:tbl>
    <w:tbl>
      <w:tblPr>
        <w:tblW w:w="5000" w:type="pct"/>
        <w:tblCellMar>
          <w:left w:w="0" w:type="dxa"/>
          <w:right w:w="0" w:type="dxa"/>
        </w:tblCellMar>
        <w:tblLook w:val="04A0" w:firstRow="1" w:lastRow="0" w:firstColumn="1" w:lastColumn="0" w:noHBand="0" w:noVBand="1"/>
      </w:tblPr>
      <w:tblGrid>
        <w:gridCol w:w="275"/>
        <w:gridCol w:w="275"/>
        <w:gridCol w:w="480"/>
      </w:tblGrid>
      <w:tr w:rsidR="00000000">
        <w:tc>
          <w:tcPr>
            <w:tcW w:w="166" w:type="pct"/>
            <w:noWrap/>
            <w:hideMark/>
          </w:tcPr>
          <w:p w:rsidR="00000000" w:rsidRDefault="00240F6E">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240F6E">
            <w:pPr>
              <w:pStyle w:val="a3"/>
              <w:spacing w:before="120" w:beforeAutospacing="0" w:after="0" w:afterAutospacing="0"/>
              <w:jc w:val="both"/>
              <w:rPr>
                <w:sz w:val="20"/>
                <w:szCs w:val="20"/>
              </w:rPr>
            </w:pPr>
            <w:r>
              <w:rPr>
                <w:sz w:val="20"/>
                <w:szCs w:val="20"/>
              </w:rPr>
              <w:t>•</w:t>
            </w:r>
          </w:p>
        </w:tc>
        <w:tc>
          <w:tcPr>
            <w:tcW w:w="0" w:type="auto"/>
            <w:hideMark/>
          </w:tcPr>
          <w:p w:rsidR="00000000" w:rsidRDefault="00240F6E">
            <w:pPr>
              <w:pStyle w:val="a3"/>
              <w:spacing w:before="120" w:beforeAutospacing="0" w:after="0" w:afterAutospacing="0"/>
              <w:jc w:val="both"/>
              <w:rPr>
                <w:sz w:val="20"/>
                <w:szCs w:val="20"/>
              </w:rPr>
            </w:pPr>
            <w:r>
              <w:rPr>
                <w:sz w:val="20"/>
                <w:szCs w:val="20"/>
              </w:rPr>
              <w:t>Effective December 1, 2018, we closed on the acquisition of RMSC, which provides non-residential correctional alternatives, including electronic monitoring and case management services, to municipal, county, and state governments in four states;  and</w:t>
            </w:r>
          </w:p>
        </w:tc>
      </w:tr>
    </w:tbl>
    <w:p w:rsidR="00000000" w:rsidRDefault="00240F6E">
      <w:pPr>
        <w:pStyle w:val="a3"/>
        <w:spacing w:before="240" w:beforeAutospacing="0" w:after="0" w:afterAutospacing="0"/>
        <w:jc w:val="center"/>
        <w:rPr>
          <w:sz w:val="20"/>
          <w:szCs w:val="20"/>
        </w:rPr>
      </w:pPr>
      <w:r>
        <w:rPr>
          <w:sz w:val="20"/>
          <w:szCs w:val="20"/>
        </w:rPr>
        <w:t>33</w:t>
      </w:r>
    </w:p>
    <w:p w:rsidR="00000000" w:rsidRDefault="00240F6E">
      <w:pPr>
        <w:rPr>
          <w:rFonts w:eastAsia="Times New Roman"/>
        </w:rPr>
      </w:pPr>
      <w:r>
        <w:rPr>
          <w:rFonts w:eastAsia="Times New Roman"/>
        </w:rPr>
        <w:pict>
          <v:rect id="_x0000_i1059" style="width:0;height:1.5pt" o:hralign="center" o:hrstd="t" o:hr="t" fillcolor="#a0a0a0" stroked="f"/>
        </w:pict>
      </w:r>
    </w:p>
    <w:p w:rsidR="00000000" w:rsidRDefault="00240F6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6"/>
        <w:gridCol w:w="276"/>
        <w:gridCol w:w="7754"/>
      </w:tblGrid>
      <w:tr w:rsidR="00000000">
        <w:trPr>
          <w:divId w:val="179777653"/>
        </w:trPr>
        <w:tc>
          <w:tcPr>
            <w:tcW w:w="166" w:type="pct"/>
            <w:noWrap/>
            <w:hideMark/>
          </w:tcPr>
          <w:p w:rsidR="00000000" w:rsidRDefault="00240F6E">
            <w:pPr>
              <w:pStyle w:val="a3"/>
              <w:spacing w:before="120" w:beforeAutospacing="0" w:after="0" w:afterAutospacing="0"/>
              <w:jc w:val="both"/>
              <w:rPr>
                <w:sz w:val="20"/>
                <w:szCs w:val="20"/>
              </w:rPr>
            </w:pPr>
            <w:r>
              <w:rPr>
                <w:sz w:val="20"/>
                <w:szCs w:val="20"/>
              </w:rPr>
              <w:t> </w:t>
            </w:r>
          </w:p>
        </w:tc>
        <w:tc>
          <w:tcPr>
            <w:tcW w:w="166" w:type="pct"/>
            <w:noWrap/>
            <w:hideMark/>
          </w:tcPr>
          <w:p w:rsidR="00000000" w:rsidRDefault="00240F6E">
            <w:pPr>
              <w:pStyle w:val="a3"/>
              <w:spacing w:before="120" w:beforeAutospacing="0" w:after="0" w:afterAutospacing="0"/>
              <w:jc w:val="both"/>
              <w:rPr>
                <w:sz w:val="20"/>
                <w:szCs w:val="20"/>
              </w:rPr>
            </w:pPr>
            <w:r>
              <w:rPr>
                <w:sz w:val="20"/>
                <w:szCs w:val="20"/>
              </w:rPr>
              <w:t>•</w:t>
            </w:r>
          </w:p>
        </w:tc>
        <w:tc>
          <w:tcPr>
            <w:tcW w:w="0" w:type="auto"/>
            <w:hideMark/>
          </w:tcPr>
          <w:p w:rsidR="00000000" w:rsidRDefault="00240F6E">
            <w:pPr>
              <w:pStyle w:val="a3"/>
              <w:spacing w:before="120" w:beforeAutospacing="0" w:after="0" w:afterAutospacing="0"/>
              <w:jc w:val="both"/>
              <w:rPr>
                <w:sz w:val="20"/>
                <w:szCs w:val="20"/>
              </w:rPr>
            </w:pPr>
            <w:r>
              <w:rPr>
                <w:sz w:val="20"/>
                <w:szCs w:val="20"/>
              </w:rPr>
              <w:t xml:space="preserve">On February 20, 2019, we acquired the South Raleigh Reentry Center, a 60-bed residential reentry center in Raleigh, North Carolina.  In connection with the acquisition, we expect to become the contracting party to </w:t>
            </w:r>
            <w:r>
              <w:rPr>
                <w:sz w:val="20"/>
                <w:szCs w:val="20"/>
              </w:rPr>
              <w:t xml:space="preserve">a contract with the BOP to provide reentry services for both male and female residents. </w:t>
            </w:r>
          </w:p>
        </w:tc>
      </w:tr>
    </w:tbl>
    <w:p w:rsidR="00000000" w:rsidRDefault="00240F6E">
      <w:pPr>
        <w:pStyle w:val="a3"/>
        <w:spacing w:before="240" w:beforeAutospacing="0" w:after="0" w:afterAutospacing="0"/>
        <w:jc w:val="both"/>
        <w:rPr>
          <w:sz w:val="20"/>
          <w:szCs w:val="20"/>
        </w:rPr>
      </w:pPr>
      <w:r>
        <w:rPr>
          <w:sz w:val="20"/>
          <w:szCs w:val="20"/>
        </w:rPr>
        <w:t xml:space="preserve">We acquired RMOMS and RMSC in 2018 and the South Raleigh Reentry Center in 2019 as strategic investments that further expand the network of reentry assets we own and </w:t>
      </w:r>
      <w:r>
        <w:rPr>
          <w:sz w:val="20"/>
          <w:szCs w:val="20"/>
        </w:rPr>
        <w:t>broaden the scope of solutions we provide.</w:t>
      </w:r>
    </w:p>
    <w:p w:rsidR="00000000" w:rsidRDefault="00240F6E">
      <w:pPr>
        <w:pStyle w:val="a3"/>
        <w:spacing w:before="360" w:beforeAutospacing="0" w:after="0" w:afterAutospacing="0"/>
        <w:jc w:val="both"/>
        <w:rPr>
          <w:i/>
          <w:iCs/>
          <w:sz w:val="20"/>
          <w:szCs w:val="20"/>
        </w:rPr>
      </w:pPr>
      <w:r>
        <w:rPr>
          <w:i/>
          <w:iCs/>
          <w:sz w:val="20"/>
          <w:szCs w:val="20"/>
        </w:rPr>
        <w:t>CoreCivic Properties</w:t>
      </w:r>
    </w:p>
    <w:p w:rsidR="00000000" w:rsidRDefault="00240F6E">
      <w:pPr>
        <w:pStyle w:val="a3"/>
        <w:spacing w:before="120" w:beforeAutospacing="0" w:after="0" w:afterAutospacing="0"/>
        <w:jc w:val="both"/>
        <w:rPr>
          <w:sz w:val="20"/>
          <w:szCs w:val="20"/>
        </w:rPr>
      </w:pPr>
      <w:r>
        <w:rPr>
          <w:sz w:val="20"/>
          <w:szCs w:val="20"/>
        </w:rPr>
        <w:t xml:space="preserve">CoreCivic Properties includes the operating results of the </w:t>
      </w:r>
      <w:r>
        <w:rPr>
          <w:spacing w:val="-2"/>
          <w:sz w:val="20"/>
          <w:szCs w:val="20"/>
        </w:rPr>
        <w:t>properties we leased to third parties and that were used by government agencies during each period.</w:t>
      </w:r>
      <w:r>
        <w:rPr>
          <w:sz w:val="20"/>
          <w:szCs w:val="20"/>
        </w:rPr>
        <w:t>  Total revenue generated by CoreC</w:t>
      </w:r>
      <w:r>
        <w:rPr>
          <w:sz w:val="20"/>
          <w:szCs w:val="20"/>
        </w:rPr>
        <w:t>ivic Properties increased $7.5 million, or 64.5%, from $11.6 million in the first quarter of 2018 to $19.1 million in the first quarter of 2019.  CoreCivic Properties' facility net operating income increased $5.0 million, or 58.3%, from $8.5 million in the</w:t>
      </w:r>
      <w:r>
        <w:rPr>
          <w:sz w:val="20"/>
          <w:szCs w:val="20"/>
        </w:rPr>
        <w:t xml:space="preserve"> first quarter of 2018 to $13.5 million in the first quarter of 2019.  The increase in total revenue and net operating income were primarily the result of the properties we acquired in 2018.  During the three months ended March 31, 2019 and 2018, CoreCivic</w:t>
      </w:r>
      <w:r>
        <w:rPr>
          <w:sz w:val="20"/>
          <w:szCs w:val="20"/>
        </w:rPr>
        <w:t xml:space="preserve"> Properties generated 9.7% and 7.0%, respectively, of our total facility net operating income. </w:t>
      </w:r>
    </w:p>
    <w:p w:rsidR="00000000" w:rsidRDefault="00240F6E">
      <w:pPr>
        <w:pStyle w:val="a3"/>
        <w:spacing w:before="240" w:beforeAutospacing="0" w:after="0" w:afterAutospacing="0"/>
        <w:jc w:val="both"/>
        <w:rPr>
          <w:sz w:val="20"/>
          <w:szCs w:val="20"/>
        </w:rPr>
      </w:pPr>
      <w:r>
        <w:rPr>
          <w:sz w:val="20"/>
          <w:szCs w:val="20"/>
        </w:rPr>
        <w:t>On January 19, 2018, we acquired the 261,000 square-foot Capital Commerce Center, located in Tallahassee, Florida. Capital Commerce Center is 98% leased, includ</w:t>
      </w:r>
      <w:r>
        <w:rPr>
          <w:sz w:val="20"/>
          <w:szCs w:val="20"/>
        </w:rPr>
        <w:t>ing 87% leased to the state of Florida on behalf of the Florida Department of Business and Professional Regulation.  </w:t>
      </w:r>
    </w:p>
    <w:p w:rsidR="00000000" w:rsidRDefault="00240F6E">
      <w:pPr>
        <w:pStyle w:val="a3"/>
        <w:spacing w:before="240" w:beforeAutospacing="0" w:after="0" w:afterAutospacing="0"/>
        <w:jc w:val="both"/>
        <w:rPr>
          <w:sz w:val="20"/>
          <w:szCs w:val="20"/>
        </w:rPr>
      </w:pPr>
      <w:r>
        <w:rPr>
          <w:sz w:val="20"/>
          <w:szCs w:val="20"/>
        </w:rPr>
        <w:t>On January 24, 2018, we entered into a 20-year lease agreement with the Kansas Department of Corrections, or KDOC, for a 2,432-bed correct</w:t>
      </w:r>
      <w:r>
        <w:rPr>
          <w:sz w:val="20"/>
          <w:szCs w:val="20"/>
        </w:rPr>
        <w:t>ional facility we are constructing in Lansing, Kansas.  The new facility will replace the Lansing Correctional Facility, the State's largest correctional complex for adult male inmates, originally constructed in 1863.  We will be responsible for facility m</w:t>
      </w:r>
      <w:r>
        <w:rPr>
          <w:sz w:val="20"/>
          <w:szCs w:val="20"/>
        </w:rPr>
        <w:t xml:space="preserve">aintenance throughout the 20-year term of the lease, at which time ownership will revert to the State.  Construction of the new facility commenced in the first quarter of 2018 and is expected to be completed during the first quarter of 2020.   </w:t>
      </w:r>
    </w:p>
    <w:p w:rsidR="00000000" w:rsidRDefault="00240F6E">
      <w:pPr>
        <w:pStyle w:val="a3"/>
        <w:spacing w:before="240" w:beforeAutospacing="0" w:after="0" w:afterAutospacing="0"/>
        <w:jc w:val="both"/>
        <w:rPr>
          <w:sz w:val="20"/>
          <w:szCs w:val="20"/>
        </w:rPr>
      </w:pPr>
      <w:r>
        <w:rPr>
          <w:sz w:val="20"/>
          <w:szCs w:val="20"/>
        </w:rPr>
        <w:t xml:space="preserve">On July 17, 2018, we completed the acquisition of a portfolio of twelve properties which are 100% leased to the U.S. Federal Government through the General Services Administration, or GSA, an independent agency of the United States government on behalf of </w:t>
      </w:r>
      <w:r>
        <w:rPr>
          <w:sz w:val="20"/>
          <w:szCs w:val="20"/>
        </w:rPr>
        <w:t>the Social Security Administration, or SSA, the Department of Homeland Security, or DHS, and ICE.  </w:t>
      </w:r>
    </w:p>
    <w:p w:rsidR="00000000" w:rsidRDefault="00240F6E">
      <w:pPr>
        <w:pStyle w:val="a3"/>
        <w:spacing w:before="240" w:beforeAutospacing="0" w:after="0" w:afterAutospacing="0"/>
        <w:jc w:val="both"/>
        <w:rPr>
          <w:sz w:val="20"/>
          <w:szCs w:val="20"/>
        </w:rPr>
      </w:pPr>
      <w:r>
        <w:rPr>
          <w:sz w:val="20"/>
          <w:szCs w:val="20"/>
        </w:rPr>
        <w:t xml:space="preserve">On August 23, 2018, we acquired the 541,000 square-foot SSA-Baltimore office building.  The office building was purpose built to SSA specifications in 2014 </w:t>
      </w:r>
      <w:r>
        <w:rPr>
          <w:sz w:val="20"/>
          <w:szCs w:val="20"/>
        </w:rPr>
        <w:t>under a 20-year firm term lease expiring in January 2034, and is backed by the full faith and credit of the U.S. Federal Government through the GSA.  </w:t>
      </w:r>
    </w:p>
    <w:p w:rsidR="00000000" w:rsidRDefault="00240F6E">
      <w:pPr>
        <w:pStyle w:val="a3"/>
        <w:spacing w:before="240" w:beforeAutospacing="0" w:after="0" w:afterAutospacing="0"/>
        <w:jc w:val="both"/>
        <w:rPr>
          <w:sz w:val="20"/>
          <w:szCs w:val="20"/>
        </w:rPr>
      </w:pPr>
      <w:r>
        <w:rPr>
          <w:sz w:val="20"/>
          <w:szCs w:val="20"/>
        </w:rPr>
        <w:t>On September 21, 2018, we acquired a 217,000 square-foot, steel frame property in Dayton, Ohio that was b</w:t>
      </w:r>
      <w:r>
        <w:rPr>
          <w:sz w:val="20"/>
          <w:szCs w:val="20"/>
        </w:rPr>
        <w:t>uilt-to-suit for the National Archives and Records Administration, or NARA, in 2002. The building is 100% leased to the GSA on behalf of NARA through January 2023 and includes two additional 10-year renewal options.  The building provides 1.2 million cubic</w:t>
      </w:r>
      <w:r>
        <w:rPr>
          <w:sz w:val="20"/>
          <w:szCs w:val="20"/>
        </w:rPr>
        <w:t xml:space="preserve"> feet of storage space, approximately 90% of which is dedicated to archives of the Internal Revenue Service, or IRS.  </w:t>
      </w:r>
    </w:p>
    <w:p w:rsidR="00000000" w:rsidRDefault="00240F6E">
      <w:pPr>
        <w:pStyle w:val="a3"/>
        <w:spacing w:before="240" w:beforeAutospacing="0" w:after="0" w:afterAutospacing="0"/>
        <w:jc w:val="both"/>
        <w:rPr>
          <w:sz w:val="20"/>
          <w:szCs w:val="20"/>
        </w:rPr>
      </w:pPr>
      <w:r>
        <w:rPr>
          <w:sz w:val="20"/>
          <w:szCs w:val="20"/>
        </w:rPr>
        <w:t>Subsequent to quarter-end, on May 6, 2019, we completed the acquisition of a 37,000 square-foot office building in Detroit, Michigan, for</w:t>
      </w:r>
      <w:r>
        <w:rPr>
          <w:sz w:val="20"/>
          <w:szCs w:val="20"/>
        </w:rPr>
        <w:t xml:space="preserve"> $7.2 million, excluding transaction related expenses, that was built-to-suit for the state of Michigan's Department of Health and Human Services, or MDHHS, in 2002.  The property is 100% leased to the Michigan Department of Technology, Management and Budg</w:t>
      </w:r>
      <w:r>
        <w:rPr>
          <w:sz w:val="20"/>
          <w:szCs w:val="20"/>
        </w:rPr>
        <w:t>et, or MDTMB, on behalf of MDHHS through June 2028 and includes one six-year renewal option at the sole discretion of the MDTMB.</w:t>
      </w:r>
    </w:p>
    <w:p w:rsidR="00000000" w:rsidRDefault="00240F6E">
      <w:pPr>
        <w:pStyle w:val="a3"/>
        <w:spacing w:before="240" w:beforeAutospacing="0" w:after="0" w:afterAutospacing="0"/>
        <w:jc w:val="both"/>
        <w:rPr>
          <w:sz w:val="20"/>
          <w:szCs w:val="20"/>
        </w:rPr>
      </w:pPr>
      <w:r>
        <w:rPr>
          <w:sz w:val="20"/>
          <w:szCs w:val="20"/>
        </w:rPr>
        <w:t>We currently intend to pursue attractive investment opportunities for government-leased properties, and we expect to complete a</w:t>
      </w:r>
      <w:r>
        <w:rPr>
          <w:sz w:val="20"/>
          <w:szCs w:val="20"/>
        </w:rPr>
        <w:t>dditional acquisitions that we believe will diversify our cash flows, generate attractive risk-adjusted returns for our shareholders, and broaden the solutions we are able to provide to our partners.</w:t>
      </w:r>
    </w:p>
    <w:p w:rsidR="00000000" w:rsidRDefault="00240F6E">
      <w:pPr>
        <w:pStyle w:val="a3"/>
        <w:spacing w:before="360" w:beforeAutospacing="0" w:after="0" w:afterAutospacing="0"/>
        <w:jc w:val="both"/>
        <w:rPr>
          <w:b/>
          <w:bCs/>
          <w:i/>
          <w:iCs/>
          <w:sz w:val="20"/>
          <w:szCs w:val="20"/>
        </w:rPr>
      </w:pPr>
      <w:r>
        <w:rPr>
          <w:b/>
          <w:bCs/>
          <w:i/>
          <w:iCs/>
          <w:sz w:val="20"/>
          <w:szCs w:val="20"/>
        </w:rPr>
        <w:t>General and administrative expenses</w:t>
      </w:r>
    </w:p>
    <w:p w:rsidR="00000000" w:rsidRDefault="00240F6E">
      <w:pPr>
        <w:pStyle w:val="a3"/>
        <w:spacing w:before="120" w:beforeAutospacing="0" w:after="0" w:afterAutospacing="0"/>
        <w:jc w:val="both"/>
        <w:rPr>
          <w:sz w:val="20"/>
          <w:szCs w:val="20"/>
        </w:rPr>
      </w:pPr>
      <w:r>
        <w:rPr>
          <w:sz w:val="20"/>
          <w:szCs w:val="20"/>
        </w:rPr>
        <w:t>For the three months</w:t>
      </w:r>
      <w:r>
        <w:rPr>
          <w:sz w:val="20"/>
          <w:szCs w:val="20"/>
        </w:rPr>
        <w:t xml:space="preserve"> ended March 31, 2019 and 2018, general and administrative expenses totaled $29.4 million and $25.0 million, respectively.  General and administrative expenses consist primarily of corporate management salaries and benefits, professional fees, including th</w:t>
      </w:r>
      <w:r>
        <w:rPr>
          <w:sz w:val="20"/>
          <w:szCs w:val="20"/>
        </w:rPr>
        <w:t>ose associated with mergers and acquisitions, or M&amp;A, and other administrative expenses.  General and administrative expenses increased from the prior year quarter primarily as a result of higher salaries, including incentive compensation, as well as other</w:t>
      </w:r>
      <w:r>
        <w:rPr>
          <w:sz w:val="20"/>
          <w:szCs w:val="20"/>
        </w:rPr>
        <w:t xml:space="preserve"> general and administrative expenses. </w:t>
      </w:r>
    </w:p>
    <w:p w:rsidR="00000000" w:rsidRDefault="00240F6E">
      <w:pPr>
        <w:pStyle w:val="a3"/>
        <w:spacing w:before="240" w:beforeAutospacing="0" w:after="0" w:afterAutospacing="0"/>
        <w:jc w:val="center"/>
        <w:rPr>
          <w:sz w:val="20"/>
          <w:szCs w:val="20"/>
        </w:rPr>
      </w:pPr>
      <w:r>
        <w:rPr>
          <w:sz w:val="20"/>
          <w:szCs w:val="20"/>
        </w:rPr>
        <w:t>34</w:t>
      </w:r>
    </w:p>
    <w:p w:rsidR="00000000" w:rsidRDefault="00240F6E">
      <w:pPr>
        <w:rPr>
          <w:rFonts w:eastAsia="Times New Roman"/>
        </w:rPr>
      </w:pPr>
      <w:r>
        <w:rPr>
          <w:rFonts w:eastAsia="Times New Roman"/>
        </w:rPr>
        <w:pict>
          <v:rect id="_x0000_i1060" style="width:0;height:1.5pt" o:hralign="center" o:hrstd="t" o:hr="t" fillcolor="#a0a0a0" stroked="f"/>
        </w:pict>
      </w:r>
    </w:p>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360" w:beforeAutospacing="0" w:after="0" w:afterAutospacing="0"/>
        <w:jc w:val="both"/>
        <w:rPr>
          <w:b/>
          <w:bCs/>
          <w:i/>
          <w:iCs/>
          <w:sz w:val="20"/>
          <w:szCs w:val="20"/>
        </w:rPr>
      </w:pPr>
      <w:r>
        <w:rPr>
          <w:b/>
          <w:bCs/>
          <w:i/>
          <w:iCs/>
          <w:sz w:val="20"/>
          <w:szCs w:val="20"/>
        </w:rPr>
        <w:t>Depreciation and amortization</w:t>
      </w:r>
    </w:p>
    <w:p w:rsidR="00000000" w:rsidRDefault="00240F6E">
      <w:pPr>
        <w:pStyle w:val="a3"/>
        <w:spacing w:before="120" w:beforeAutospacing="0" w:after="0" w:afterAutospacing="0"/>
        <w:jc w:val="both"/>
        <w:rPr>
          <w:sz w:val="20"/>
          <w:szCs w:val="20"/>
        </w:rPr>
      </w:pPr>
      <w:r>
        <w:rPr>
          <w:sz w:val="20"/>
          <w:szCs w:val="20"/>
        </w:rPr>
        <w:t>For the three months ended March 31, 2019 and 2018, depreciation and amortization expense totaled $35.5 million and $38.1 million, respectively.  </w:t>
      </w:r>
      <w:r>
        <w:rPr>
          <w:sz w:val="20"/>
          <w:szCs w:val="20"/>
        </w:rPr>
        <w:t>Depreciation and amortization decreased primarily as a result of the aforementioned adoption of ASC 842 on January 1, 2019.  Prior to adoption of ASC 842, a portion of the rental payments for the South Texas Family Residential Center was classified as depr</w:t>
      </w:r>
      <w:r>
        <w:rPr>
          <w:sz w:val="20"/>
          <w:szCs w:val="20"/>
        </w:rPr>
        <w:t>eciation in accordance with ASC 840-40-55.  Depreciation expense associated with the lease at the South Texas Family Residential Center for the three months ended March 31, 2018 amounted to $4.1 million.  Upon adoption of ASC 842, all rental payments assoc</w:t>
      </w:r>
      <w:r>
        <w:rPr>
          <w:sz w:val="20"/>
          <w:szCs w:val="20"/>
        </w:rPr>
        <w:t>iated with this lease are classified as operating expenses.  The decrease in depreciation and amortization expense was partially offset by the additional expense resulting from our M&amp;A activities since the first quarter of 2018.  </w:t>
      </w:r>
    </w:p>
    <w:p w:rsidR="00000000" w:rsidRDefault="00240F6E">
      <w:pPr>
        <w:pStyle w:val="a3"/>
        <w:spacing w:before="360" w:beforeAutospacing="0" w:after="0" w:afterAutospacing="0"/>
        <w:jc w:val="both"/>
        <w:rPr>
          <w:b/>
          <w:bCs/>
          <w:i/>
          <w:iCs/>
          <w:sz w:val="20"/>
          <w:szCs w:val="20"/>
        </w:rPr>
      </w:pPr>
      <w:r>
        <w:rPr>
          <w:b/>
          <w:bCs/>
          <w:i/>
          <w:iCs/>
          <w:sz w:val="20"/>
          <w:szCs w:val="20"/>
        </w:rPr>
        <w:t>Interest expense, net</w:t>
      </w:r>
    </w:p>
    <w:p w:rsidR="00000000" w:rsidRDefault="00240F6E">
      <w:pPr>
        <w:pStyle w:val="a3"/>
        <w:spacing w:before="120" w:beforeAutospacing="0" w:after="0" w:afterAutospacing="0"/>
        <w:jc w:val="both"/>
        <w:rPr>
          <w:sz w:val="20"/>
          <w:szCs w:val="20"/>
        </w:rPr>
      </w:pPr>
      <w:r>
        <w:rPr>
          <w:sz w:val="20"/>
          <w:szCs w:val="20"/>
        </w:rPr>
        <w:t>Int</w:t>
      </w:r>
      <w:r>
        <w:rPr>
          <w:sz w:val="20"/>
          <w:szCs w:val="20"/>
        </w:rPr>
        <w:t>erest expense is reported net of interest income and capitalized interest for the three months ended March 31, 2019 and 2018.  Gross interest expense, net of capitalized interest, was $21.9 million and $19.2 million for the three months ended March 31, 201</w:t>
      </w:r>
      <w:r>
        <w:rPr>
          <w:sz w:val="20"/>
          <w:szCs w:val="20"/>
        </w:rPr>
        <w:t xml:space="preserve">9 and 2018, respectively. Gross interest expense is based on outstanding borrowings under our revolving credit facility, our outstanding Incremental Term Loan, or Term Loan, our outstanding senior notes, and our outstanding non-recourse mortgage notes, as </w:t>
      </w:r>
      <w:r>
        <w:rPr>
          <w:sz w:val="20"/>
          <w:szCs w:val="20"/>
        </w:rPr>
        <w:t>well as the amortization of loan costs and unused facility fees.  The increase in gross interest expense primarily resulted from an increase in the London Interbank Offered Rate, or LIBOR, and higher interest expense associated with the new non-recourse mo</w:t>
      </w:r>
      <w:r>
        <w:rPr>
          <w:sz w:val="20"/>
          <w:szCs w:val="20"/>
        </w:rPr>
        <w:t>rtgage notes issued during 2018, as further described hereafter.  Partially offsetting the increase in expense was the reduction in interest expense associated with the lease of the South Texas Family Residential Center.  Interest expense associated with t</w:t>
      </w:r>
      <w:r>
        <w:rPr>
          <w:sz w:val="20"/>
          <w:szCs w:val="20"/>
        </w:rPr>
        <w:t xml:space="preserve">he lease of this facility was $1.5 million during the three months ended March 31, 2018, classified as such in accordance with ASC 840-40-55.  As previously described herein, upon adoption of ASC 842 on January 1, 2019, all rental payments associated with </w:t>
      </w:r>
      <w:r>
        <w:rPr>
          <w:sz w:val="20"/>
          <w:szCs w:val="20"/>
        </w:rPr>
        <w:t>this lease are classified as operating expenses.</w:t>
      </w:r>
    </w:p>
    <w:p w:rsidR="00000000" w:rsidRDefault="00240F6E">
      <w:pPr>
        <w:pStyle w:val="a3"/>
        <w:spacing w:before="240" w:beforeAutospacing="0" w:after="0" w:afterAutospacing="0"/>
        <w:jc w:val="both"/>
        <w:rPr>
          <w:sz w:val="20"/>
          <w:szCs w:val="20"/>
        </w:rPr>
      </w:pPr>
      <w:r>
        <w:rPr>
          <w:sz w:val="20"/>
          <w:szCs w:val="20"/>
        </w:rPr>
        <w:t>We have benefited from relatively low interest rates on our revolving credit facility, which is largely based on LIBOR.  Based on our total leverage ratio, borrowings under our revolving credit facility duri</w:t>
      </w:r>
      <w:r>
        <w:rPr>
          <w:sz w:val="20"/>
          <w:szCs w:val="20"/>
        </w:rPr>
        <w:t xml:space="preserve">ng 2018 and the first quarter of 2019 were at the base rate plus a margin of 0.50% or at LIBOR plus a margin of 1.50%, and a commitment fee equal to 0.35% of the unfunded balance. Interest rates under the Term Loan are the same as the interest rates under </w:t>
      </w:r>
      <w:r>
        <w:rPr>
          <w:sz w:val="20"/>
          <w:szCs w:val="20"/>
        </w:rPr>
        <w:t>our revolving credit facility.</w:t>
      </w:r>
    </w:p>
    <w:p w:rsidR="00000000" w:rsidRDefault="00240F6E">
      <w:pPr>
        <w:pStyle w:val="a3"/>
        <w:spacing w:before="240" w:beforeAutospacing="0" w:after="0" w:afterAutospacing="0"/>
        <w:jc w:val="both"/>
        <w:rPr>
          <w:sz w:val="20"/>
          <w:szCs w:val="20"/>
        </w:rPr>
      </w:pPr>
      <w:r>
        <w:rPr>
          <w:sz w:val="20"/>
          <w:szCs w:val="20"/>
        </w:rPr>
        <w:t>On January 19, 2018, we acquired the 261,000 square-foot Capital Commerce Center located in Tallahassee, Florida for a purchase price of $44.7 million.  The acquisition was partially financed with a $24.5 million non-recourse</w:t>
      </w:r>
      <w:r>
        <w:rPr>
          <w:sz w:val="20"/>
          <w:szCs w:val="20"/>
        </w:rPr>
        <w:t xml:space="preserve"> mortgage note, or the Capital Commerce Note, which is fully-secured by the Capital Commerce Center property, with an interest rate of 4.5%, maturing in January 2033.  </w:t>
      </w:r>
    </w:p>
    <w:p w:rsidR="00000000" w:rsidRDefault="00240F6E">
      <w:pPr>
        <w:pStyle w:val="a3"/>
        <w:spacing w:before="240" w:beforeAutospacing="0" w:after="0" w:afterAutospacing="0"/>
        <w:jc w:val="both"/>
        <w:rPr>
          <w:color w:val="000000"/>
          <w:sz w:val="20"/>
          <w:szCs w:val="20"/>
        </w:rPr>
      </w:pPr>
      <w:r>
        <w:rPr>
          <w:color w:val="000000"/>
          <w:sz w:val="20"/>
          <w:szCs w:val="20"/>
        </w:rPr>
        <w:t xml:space="preserve">On April 20, 2018, CoreCivic of Kansas, LLC, a wholly-owned subsidiary of ours, priced </w:t>
      </w:r>
      <w:r>
        <w:rPr>
          <w:color w:val="000000"/>
          <w:sz w:val="20"/>
          <w:szCs w:val="20"/>
        </w:rPr>
        <w:t>$159.5 million in aggregate principal amount of non-recourse senior secured notes, or the Kansas Notes, in a private placement pursuant to Section 4(a)(2) of the Securities Act of 1933, as amended.  The private placement closed on June 1, 2018. We are usin</w:t>
      </w:r>
      <w:r>
        <w:rPr>
          <w:color w:val="000000"/>
          <w:sz w:val="20"/>
          <w:szCs w:val="20"/>
        </w:rPr>
        <w:t>g the proceeds of the private placement, which are drawn on quarterly funding dates beginning in the second quarter of 2018, to fund construction of the Lansing Correctional Facility, as further described hereafter, along with costs and expenses of the pro</w:t>
      </w:r>
      <w:r>
        <w:rPr>
          <w:color w:val="000000"/>
          <w:sz w:val="20"/>
          <w:szCs w:val="20"/>
        </w:rPr>
        <w:t xml:space="preserve">ject.  The Kansas Notes have a yield to maturity of 4.43% and are scheduled to mature in January 2040, approximately 20 years following completion of the project, which is expected to occur during the first quarter of 2020.  We capitalized $0.9 million of </w:t>
      </w:r>
      <w:r>
        <w:rPr>
          <w:color w:val="000000"/>
          <w:sz w:val="20"/>
          <w:szCs w:val="20"/>
        </w:rPr>
        <w:t xml:space="preserve">interest associated with this construction project during the three months ended March 31, 2019. </w:t>
      </w:r>
    </w:p>
    <w:p w:rsidR="00000000" w:rsidRDefault="00240F6E">
      <w:pPr>
        <w:pStyle w:val="a3"/>
        <w:spacing w:before="240" w:beforeAutospacing="0" w:after="0" w:afterAutospacing="0"/>
        <w:jc w:val="both"/>
        <w:rPr>
          <w:sz w:val="20"/>
          <w:szCs w:val="20"/>
        </w:rPr>
      </w:pPr>
      <w:r>
        <w:rPr>
          <w:sz w:val="20"/>
          <w:szCs w:val="20"/>
        </w:rPr>
        <w:t>On August 23, 2018, we acquired the 541,000 square-foot SSA-Baltimore office building for a purchase price of $242.0 million.  In connection with the acquisit</w:t>
      </w:r>
      <w:r>
        <w:rPr>
          <w:sz w:val="20"/>
          <w:szCs w:val="20"/>
        </w:rPr>
        <w:t>ion, we assumed $157.3 million of in-place financing that was used to fund the initial construction of the property in 2014.  The assumed non-recourse mortgage note, or the SSA-Baltimore Note, carries a fixed interest rate of 4.5%, with a balloon payment o</w:t>
      </w:r>
      <w:r>
        <w:rPr>
          <w:sz w:val="20"/>
          <w:szCs w:val="20"/>
        </w:rPr>
        <w:t xml:space="preserve">f $40.0 million due at maturity in February 2034. The SSA-Baltimore Note is fully-secured by the SSA-Baltimore property.   </w:t>
      </w:r>
    </w:p>
    <w:p w:rsidR="00000000" w:rsidRDefault="00240F6E">
      <w:pPr>
        <w:pStyle w:val="a3"/>
        <w:spacing w:before="240" w:beforeAutospacing="0" w:after="0" w:afterAutospacing="0"/>
        <w:jc w:val="both"/>
        <w:rPr>
          <w:sz w:val="20"/>
          <w:szCs w:val="20"/>
        </w:rPr>
      </w:pPr>
      <w:r>
        <w:rPr>
          <w:sz w:val="20"/>
          <w:szCs w:val="20"/>
        </w:rPr>
        <w:t>Gross interest income was $0.5 million and $0.2 million for the three months ended March 31, 2019 and 2018, respectively.  Gross int</w:t>
      </w:r>
      <w:r>
        <w:rPr>
          <w:sz w:val="20"/>
          <w:szCs w:val="20"/>
        </w:rPr>
        <w:t>erest income is earned on notes receivable, investments, cash and cash equivalents, and restricted cash.  Total capitalized interest was $0.9 million during the three months ended March 31, 2019. Capitalized interest was primarily associated with the const</w:t>
      </w:r>
      <w:r>
        <w:rPr>
          <w:sz w:val="20"/>
          <w:szCs w:val="20"/>
        </w:rPr>
        <w:t>ruction of the Lansing Correctional Facility and the expansion of our Otay Mesa Detention Center, as further described hereafter. There was no interest capitalized during the three months ended March 31, 2018.  </w:t>
      </w:r>
    </w:p>
    <w:p w:rsidR="00000000" w:rsidRDefault="00240F6E">
      <w:pPr>
        <w:pStyle w:val="a3"/>
        <w:spacing w:before="240" w:beforeAutospacing="0" w:after="0" w:afterAutospacing="0"/>
        <w:jc w:val="center"/>
        <w:rPr>
          <w:sz w:val="20"/>
          <w:szCs w:val="20"/>
        </w:rPr>
      </w:pPr>
      <w:r>
        <w:rPr>
          <w:sz w:val="20"/>
          <w:szCs w:val="20"/>
        </w:rPr>
        <w:t>35</w:t>
      </w:r>
    </w:p>
    <w:p w:rsidR="00000000" w:rsidRDefault="00240F6E">
      <w:pPr>
        <w:rPr>
          <w:rFonts w:eastAsia="Times New Roman"/>
        </w:rPr>
      </w:pPr>
      <w:r>
        <w:rPr>
          <w:rFonts w:eastAsia="Times New Roman"/>
        </w:rPr>
        <w:pict>
          <v:rect id="_x0000_i1061" style="width:0;height:1.5pt" o:hralign="center" o:hrstd="t" o:hr="t" fillcolor="#a0a0a0" stroked="f"/>
        </w:pict>
      </w:r>
    </w:p>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360" w:beforeAutospacing="0" w:after="0" w:afterAutospacing="0"/>
        <w:jc w:val="both"/>
        <w:rPr>
          <w:b/>
          <w:bCs/>
          <w:i/>
          <w:iCs/>
          <w:sz w:val="20"/>
          <w:szCs w:val="20"/>
        </w:rPr>
      </w:pPr>
      <w:r>
        <w:rPr>
          <w:b/>
          <w:bCs/>
          <w:i/>
          <w:iCs/>
          <w:sz w:val="20"/>
          <w:szCs w:val="20"/>
        </w:rPr>
        <w:t xml:space="preserve">Income tax expense </w:t>
      </w:r>
    </w:p>
    <w:p w:rsidR="00000000" w:rsidRDefault="00240F6E">
      <w:pPr>
        <w:pStyle w:val="a3"/>
        <w:spacing w:before="120" w:beforeAutospacing="0" w:after="0" w:afterAutospacing="0"/>
        <w:jc w:val="both"/>
        <w:rPr>
          <w:spacing w:val="-2"/>
          <w:sz w:val="20"/>
          <w:szCs w:val="20"/>
        </w:rPr>
      </w:pPr>
      <w:r>
        <w:rPr>
          <w:spacing w:val="-2"/>
          <w:sz w:val="20"/>
          <w:szCs w:val="20"/>
        </w:rPr>
        <w:t xml:space="preserve">As a REIT, we are entitled to a deduction for dividends paid, resulting in a substantial reduction in the amount of federal income tax expense we recognize.  Substantially all of our income tax expense is incurred based on the earnings </w:t>
      </w:r>
      <w:r>
        <w:rPr>
          <w:spacing w:val="-2"/>
          <w:sz w:val="20"/>
          <w:szCs w:val="20"/>
        </w:rPr>
        <w:t>generated by our TRSs.  Our overall effective tax rate is estimated based on the current projection of taxable income primarily generated by our TRSs.  Our consolidated effective tax rate could fluctuate in the future based on changes in estimates of taxab</w:t>
      </w:r>
      <w:r>
        <w:rPr>
          <w:spacing w:val="-2"/>
          <w:sz w:val="20"/>
          <w:szCs w:val="20"/>
        </w:rPr>
        <w:t xml:space="preserve">le income, the relative amounts of taxable income generated by the TRSs and the REIT, the implementation of additional tax planning strategies, changes in federal or state tax rates or laws affecting tax credits available to us, changes in other tax laws, </w:t>
      </w:r>
      <w:r>
        <w:rPr>
          <w:spacing w:val="-2"/>
          <w:sz w:val="20"/>
          <w:szCs w:val="20"/>
        </w:rPr>
        <w:t>changes in estimates related to uncertain tax positions, or changes in state apportionment factors, as well as changes in the valuation allowance applied to our deferred tax assets that are based primarily on the amount of state net operating losses and ta</w:t>
      </w:r>
      <w:r>
        <w:rPr>
          <w:spacing w:val="-2"/>
          <w:sz w:val="20"/>
          <w:szCs w:val="20"/>
        </w:rPr>
        <w:t>x credits that could expire unused.</w:t>
      </w:r>
    </w:p>
    <w:p w:rsidR="00000000" w:rsidRDefault="00240F6E">
      <w:pPr>
        <w:pStyle w:val="a3"/>
        <w:spacing w:before="240" w:beforeAutospacing="0" w:after="0" w:afterAutospacing="0"/>
        <w:jc w:val="both"/>
        <w:rPr>
          <w:spacing w:val="-2"/>
          <w:sz w:val="20"/>
          <w:szCs w:val="20"/>
        </w:rPr>
      </w:pPr>
      <w:r>
        <w:rPr>
          <w:spacing w:val="-2"/>
          <w:sz w:val="20"/>
          <w:szCs w:val="20"/>
        </w:rPr>
        <w:t>During the three months ended March 31, 2019 and 2018, our financial statements reflected an income tax expense of $2.5 million and $1.9 million, respectively.  Our effective tax rate was 4.8% and 4.9% during the three m</w:t>
      </w:r>
      <w:r>
        <w:rPr>
          <w:spacing w:val="-2"/>
          <w:sz w:val="20"/>
          <w:szCs w:val="20"/>
        </w:rPr>
        <w:t>onths ended March 31, 2019 and 2018, respectively.  </w:t>
      </w:r>
    </w:p>
    <w:p w:rsidR="00000000" w:rsidRDefault="00240F6E">
      <w:pPr>
        <w:pStyle w:val="a3"/>
        <w:spacing w:before="360" w:beforeAutospacing="0" w:after="0" w:afterAutospacing="0"/>
        <w:jc w:val="both"/>
        <w:rPr>
          <w:b/>
          <w:bCs/>
          <w:sz w:val="20"/>
          <w:szCs w:val="20"/>
        </w:rPr>
      </w:pPr>
      <w:r>
        <w:rPr>
          <w:b/>
          <w:bCs/>
          <w:sz w:val="20"/>
          <w:szCs w:val="20"/>
        </w:rPr>
        <w:t>LIQUIDITY AND CAPITAL RESOURCES</w:t>
      </w:r>
    </w:p>
    <w:p w:rsidR="00000000" w:rsidRDefault="00240F6E">
      <w:pPr>
        <w:pStyle w:val="a3"/>
        <w:spacing w:before="120" w:beforeAutospacing="0" w:after="0" w:afterAutospacing="0"/>
        <w:jc w:val="both"/>
        <w:rPr>
          <w:sz w:val="20"/>
          <w:szCs w:val="20"/>
        </w:rPr>
      </w:pPr>
      <w:r>
        <w:rPr>
          <w:sz w:val="20"/>
          <w:szCs w:val="20"/>
        </w:rPr>
        <w:t>Our principal capital requirements are for working capital, stockholder distributions, capital expenditures, and debt service payments.  Capital requirements may also incl</w:t>
      </w:r>
      <w:r>
        <w:rPr>
          <w:sz w:val="20"/>
          <w:szCs w:val="20"/>
        </w:rPr>
        <w:t>ude cash expenditures associated with our outstanding commitments and contingencies, as further discussed in the notes to our financial statements.  Additionally, our capital expenditures may include M&amp;A activities that will enable us to further expand our</w:t>
      </w:r>
      <w:r>
        <w:rPr>
          <w:sz w:val="20"/>
          <w:szCs w:val="20"/>
        </w:rPr>
        <w:t xml:space="preserve"> network of residential reentry centers, grow our portfolio of government-leased properties, and acquire other businesses that provide complementary services. We will continue to pursue opportunities to help our government partners meet their infrastructur</w:t>
      </w:r>
      <w:r>
        <w:rPr>
          <w:sz w:val="20"/>
          <w:szCs w:val="20"/>
        </w:rPr>
        <w:t xml:space="preserve">e needs, primarily through the development and redevelopment of criminal justice sector assets, but also by acquiring other real estate assets, with a bias toward those used to provide mission-critical governmental services, that we believe have favorable </w:t>
      </w:r>
      <w:r>
        <w:rPr>
          <w:sz w:val="20"/>
          <w:szCs w:val="20"/>
        </w:rPr>
        <w:t>investment returns, diversify our cash flows, and increase value to our stockholders.  We will also respond to customer demand and may develop or expand correctional and detention facilities when we believe potential long-term returns justify the capital d</w:t>
      </w:r>
      <w:r>
        <w:rPr>
          <w:sz w:val="20"/>
          <w:szCs w:val="20"/>
        </w:rPr>
        <w:t>eployment.  </w:t>
      </w:r>
    </w:p>
    <w:p w:rsidR="00000000" w:rsidRDefault="00240F6E">
      <w:pPr>
        <w:pStyle w:val="a3"/>
        <w:spacing w:before="240" w:beforeAutospacing="0" w:after="0" w:afterAutospacing="0"/>
        <w:jc w:val="both"/>
        <w:rPr>
          <w:sz w:val="20"/>
          <w:szCs w:val="20"/>
        </w:rPr>
      </w:pPr>
      <w:r>
        <w:rPr>
          <w:sz w:val="20"/>
          <w:szCs w:val="20"/>
        </w:rPr>
        <w:t xml:space="preserve">To maintain our qualification as a REIT, we generally are required to distribute annually to our stockholders at least 90% of our REIT taxable income (determined without regard to the dividends paid deduction and excluding net capital gains). </w:t>
      </w:r>
      <w:r>
        <w:rPr>
          <w:sz w:val="20"/>
          <w:szCs w:val="20"/>
        </w:rPr>
        <w:t>Our REIT taxable income will not typically include income earned by our TRSs except to the extent our TRSs pay dividends to the REIT.  Our Board of Directors declared a quarterly dividend of $0.44 for the first quarter of 2019 totaling $53.0 million. The a</w:t>
      </w:r>
      <w:r>
        <w:rPr>
          <w:sz w:val="20"/>
          <w:szCs w:val="20"/>
        </w:rPr>
        <w:t xml:space="preserve">mount, timing and frequency of future distributions will be at the sole discretion of our Board of Directors and will be declared based upon various factors, many of which are beyond our control, including our financial condition and operating cash flows, </w:t>
      </w:r>
      <w:r>
        <w:rPr>
          <w:sz w:val="20"/>
          <w:szCs w:val="20"/>
        </w:rPr>
        <w:t xml:space="preserve">the amount required to maintain qualification and taxation as a REIT and to reduce any income and excise taxes that we otherwise would be required to pay, limitations on distributions in our existing and future debt instruments, limitations on our ability </w:t>
      </w:r>
      <w:r>
        <w:rPr>
          <w:sz w:val="20"/>
          <w:szCs w:val="20"/>
        </w:rPr>
        <w:t>to fund distributions using cash generated through our TRSs, alternative growth opportunities that require capital deployment, and other factors that our Board of Directors may deem relevant.</w:t>
      </w:r>
    </w:p>
    <w:p w:rsidR="00000000" w:rsidRDefault="00240F6E">
      <w:pPr>
        <w:pStyle w:val="a3"/>
        <w:spacing w:before="240" w:beforeAutospacing="0" w:after="0" w:afterAutospacing="0"/>
        <w:jc w:val="both"/>
        <w:rPr>
          <w:spacing w:val="-2"/>
          <w:sz w:val="20"/>
          <w:szCs w:val="20"/>
        </w:rPr>
      </w:pPr>
      <w:r>
        <w:rPr>
          <w:spacing w:val="-2"/>
          <w:sz w:val="20"/>
          <w:szCs w:val="20"/>
        </w:rPr>
        <w:t>As of March 31, 2019, our liquidity was provided by cash on hand</w:t>
      </w:r>
      <w:r>
        <w:rPr>
          <w:spacing w:val="-2"/>
          <w:sz w:val="20"/>
          <w:szCs w:val="20"/>
        </w:rPr>
        <w:t xml:space="preserve"> of $20.5 million, and $562.3 million available under our revolving credit facility.  Our Credit Agreement also contains an "accordion" feature that provides for uncommitted incremental extensions of credit in the form of increases in the revolving commitm</w:t>
      </w:r>
      <w:r>
        <w:rPr>
          <w:spacing w:val="-2"/>
          <w:sz w:val="20"/>
          <w:szCs w:val="20"/>
        </w:rPr>
        <w:t xml:space="preserve">ents or incremental term loans of up to $350.0 million as we request. During the three months ended March 31, 2019 and 2018, we generated $77.8 million and $108.5 million, respectively, in cash through operating activities.  We currently expect to be able </w:t>
      </w:r>
      <w:r>
        <w:rPr>
          <w:spacing w:val="-2"/>
          <w:sz w:val="20"/>
          <w:szCs w:val="20"/>
        </w:rPr>
        <w:t xml:space="preserve">to meet our cash expenditure requirements for the next year utilizing these resources. We have no debt maturities until April 2020. </w:t>
      </w:r>
    </w:p>
    <w:p w:rsidR="00000000" w:rsidRDefault="00240F6E">
      <w:pPr>
        <w:pStyle w:val="a3"/>
        <w:spacing w:before="240" w:beforeAutospacing="0" w:after="0" w:afterAutospacing="0"/>
        <w:jc w:val="both"/>
        <w:rPr>
          <w:sz w:val="20"/>
          <w:szCs w:val="20"/>
        </w:rPr>
      </w:pPr>
      <w:r>
        <w:rPr>
          <w:sz w:val="20"/>
          <w:szCs w:val="20"/>
        </w:rPr>
        <w:t>Our cash flow is subject to the receipt of sufficient funding of and timely payment by contracting governmental entities.  </w:t>
      </w:r>
      <w:r>
        <w:rPr>
          <w:sz w:val="20"/>
          <w:szCs w:val="20"/>
        </w:rPr>
        <w:t>If the appropriate governmental agency does not receive sufficient appropriations to cover its contractual obligations, it may terminate our contract or delay or reduce payment to us.  Delays in payment from our major customers or the termination of contra</w:t>
      </w:r>
      <w:r>
        <w:rPr>
          <w:sz w:val="20"/>
          <w:szCs w:val="20"/>
        </w:rPr>
        <w:t>cts from our major customers could have an adverse effect on our cash flow, financial condition and, consequently, dividend distributions to our shareholders.</w:t>
      </w:r>
      <w:r>
        <w:rPr>
          <w:b/>
          <w:bCs/>
          <w:sz w:val="20"/>
          <w:szCs w:val="20"/>
        </w:rPr>
        <w:t xml:space="preserve"> </w:t>
      </w:r>
    </w:p>
    <w:p w:rsidR="00000000" w:rsidRDefault="00240F6E">
      <w:pPr>
        <w:pStyle w:val="a3"/>
        <w:spacing w:before="360" w:beforeAutospacing="0" w:after="0" w:afterAutospacing="0"/>
        <w:jc w:val="both"/>
        <w:rPr>
          <w:b/>
          <w:bCs/>
          <w:i/>
          <w:iCs/>
          <w:sz w:val="20"/>
          <w:szCs w:val="20"/>
        </w:rPr>
      </w:pPr>
      <w:r>
        <w:rPr>
          <w:b/>
          <w:bCs/>
          <w:i/>
          <w:iCs/>
          <w:sz w:val="20"/>
          <w:szCs w:val="20"/>
        </w:rPr>
        <w:t>Debt and equity</w:t>
      </w:r>
    </w:p>
    <w:p w:rsidR="00000000" w:rsidRDefault="00240F6E">
      <w:pPr>
        <w:pStyle w:val="a3"/>
        <w:spacing w:before="240" w:beforeAutospacing="0" w:after="0" w:afterAutospacing="0"/>
        <w:jc w:val="both"/>
        <w:rPr>
          <w:spacing w:val="-2"/>
          <w:sz w:val="20"/>
          <w:szCs w:val="20"/>
        </w:rPr>
      </w:pPr>
      <w:r>
        <w:rPr>
          <w:spacing w:val="-2"/>
          <w:sz w:val="20"/>
          <w:szCs w:val="20"/>
        </w:rPr>
        <w:t xml:space="preserve">As of March 31, 2019, we had $350.0 million principal amount of unsecured notes </w:t>
      </w:r>
      <w:r>
        <w:rPr>
          <w:spacing w:val="-2"/>
          <w:sz w:val="20"/>
          <w:szCs w:val="20"/>
        </w:rPr>
        <w:t>outstanding with a fixed stated interest rate of 4.625%, $325.0 million principal amount of unsecured notes outstanding with a fixed stated interest rate of 4.125%, $250.0 million principal amount of unsecured notes outstanding with a fixed stated interest</w:t>
      </w:r>
      <w:r>
        <w:rPr>
          <w:spacing w:val="-2"/>
          <w:sz w:val="20"/>
          <w:szCs w:val="20"/>
        </w:rPr>
        <w:t xml:space="preserve"> rate of 5.0%, and $250.0 million principal amount of unsecured notes outstanding with a fixed stated interest rate of 4.75%.  In addition, we had $23.1 million outstanding under the Capital Commerce Note </w:t>
      </w:r>
    </w:p>
    <w:p w:rsidR="00000000" w:rsidRDefault="00240F6E">
      <w:pPr>
        <w:pStyle w:val="a3"/>
        <w:spacing w:before="240" w:beforeAutospacing="0" w:after="0" w:afterAutospacing="0"/>
        <w:jc w:val="center"/>
        <w:rPr>
          <w:sz w:val="20"/>
          <w:szCs w:val="20"/>
        </w:rPr>
      </w:pPr>
      <w:r>
        <w:rPr>
          <w:sz w:val="20"/>
          <w:szCs w:val="20"/>
        </w:rPr>
        <w:t>36</w:t>
      </w:r>
    </w:p>
    <w:p w:rsidR="00000000" w:rsidRDefault="00240F6E">
      <w:pPr>
        <w:rPr>
          <w:rFonts w:eastAsia="Times New Roman"/>
        </w:rPr>
      </w:pPr>
      <w:r>
        <w:rPr>
          <w:rFonts w:eastAsia="Times New Roman"/>
        </w:rPr>
        <w:pict>
          <v:rect id="_x0000_i1062" style="width:0;height:1.5pt" o:hralign="center" o:hrstd="t" o:hr="t" fillcolor="#a0a0a0" stroked="f"/>
        </w:pict>
      </w:r>
    </w:p>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240" w:beforeAutospacing="0" w:after="0" w:afterAutospacing="0"/>
        <w:jc w:val="both"/>
        <w:rPr>
          <w:spacing w:val="-2"/>
          <w:sz w:val="20"/>
          <w:szCs w:val="20"/>
        </w:rPr>
      </w:pPr>
      <w:r>
        <w:rPr>
          <w:spacing w:val="-2"/>
          <w:sz w:val="20"/>
          <w:szCs w:val="20"/>
        </w:rPr>
        <w:t>with a f</w:t>
      </w:r>
      <w:r>
        <w:rPr>
          <w:spacing w:val="-2"/>
          <w:sz w:val="20"/>
          <w:szCs w:val="20"/>
        </w:rPr>
        <w:t>ixed stated interest rate of 4.5%, $93.5 million outstanding under the Kansas Notes with a fixed stated interest rate of 4.43%, and $154.2 million outstanding under the SSA-Baltimore Note with a fixed stated interest rate of 4.5%.  We also had $196.3 milli</w:t>
      </w:r>
      <w:r>
        <w:rPr>
          <w:spacing w:val="-2"/>
          <w:sz w:val="20"/>
          <w:szCs w:val="20"/>
        </w:rPr>
        <w:t>on outstanding under our Term Loan with a variable interest rate of 4.0%, and $214.0 million outstanding under our revolving credit facility with a variable weighted average interest rate of 4.0%.  As of March 31, 2019, our total weighted average effective</w:t>
      </w:r>
      <w:r>
        <w:rPr>
          <w:spacing w:val="-2"/>
          <w:sz w:val="20"/>
          <w:szCs w:val="20"/>
        </w:rPr>
        <w:t xml:space="preserve"> interest rate was 4.8%, while our total weighted average maturity was 5.9 years.  We may also seek to issue debt or equity securities from time to time when we determine that market conditions and the opportunity to utilize the proceeds from the issuance </w:t>
      </w:r>
      <w:r>
        <w:rPr>
          <w:spacing w:val="-2"/>
          <w:sz w:val="20"/>
          <w:szCs w:val="20"/>
        </w:rPr>
        <w:t xml:space="preserve">of such securities are favorable. </w:t>
      </w:r>
    </w:p>
    <w:p w:rsidR="00000000" w:rsidRDefault="00240F6E">
      <w:pPr>
        <w:pStyle w:val="a3"/>
        <w:spacing w:before="240" w:beforeAutospacing="0" w:after="0" w:afterAutospacing="0"/>
        <w:jc w:val="both"/>
        <w:rPr>
          <w:sz w:val="20"/>
          <w:szCs w:val="20"/>
        </w:rPr>
      </w:pPr>
      <w:r>
        <w:rPr>
          <w:sz w:val="20"/>
          <w:szCs w:val="20"/>
        </w:rPr>
        <w:t>On August 28, 2018, we entered into an Amended and Restated ATM Equity Offering Sales Agreement, or ATM Agreement, with multiple sales agents, pursuant to which we may offer and sell to or through the agents, from time to</w:t>
      </w:r>
      <w:r>
        <w:rPr>
          <w:sz w:val="20"/>
          <w:szCs w:val="20"/>
        </w:rPr>
        <w:t xml:space="preserve"> time, shares of our common stock, par value $0.01 per share, having an aggregate gross sales price of up to $200.0 million. Sales, if any, of our shares of common stock will be made primarily in "at-the-market" offerings, as defined in Rule 415 under the </w:t>
      </w:r>
      <w:r>
        <w:rPr>
          <w:sz w:val="20"/>
          <w:szCs w:val="20"/>
        </w:rPr>
        <w:t xml:space="preserve">Securities Act of 1933, as amended. The shares of common stock will be offered and sold pursuant to our registration statement on Form S-3 and a related prospectus supplement, both filed with the SEC on August 28, 2018.  We intend to use substantially all </w:t>
      </w:r>
      <w:r>
        <w:rPr>
          <w:sz w:val="20"/>
          <w:szCs w:val="20"/>
        </w:rPr>
        <w:t>of the net proceeds from any sale of shares of our common stock to repay outstanding borrowings or for working capital and other general corporate purposes, which may include investments.  There were no shares of our common stock sold under the ATM Agreeme</w:t>
      </w:r>
      <w:r>
        <w:rPr>
          <w:sz w:val="20"/>
          <w:szCs w:val="20"/>
        </w:rPr>
        <w:t>nt during 2018 or during the three months ended March 31, 2019.  </w:t>
      </w:r>
    </w:p>
    <w:p w:rsidR="00000000" w:rsidRDefault="00240F6E">
      <w:pPr>
        <w:pStyle w:val="a3"/>
        <w:spacing w:before="360" w:beforeAutospacing="0" w:after="0" w:afterAutospacing="0"/>
        <w:jc w:val="both"/>
        <w:rPr>
          <w:b/>
          <w:bCs/>
          <w:i/>
          <w:iCs/>
          <w:sz w:val="20"/>
          <w:szCs w:val="20"/>
        </w:rPr>
      </w:pPr>
      <w:r>
        <w:rPr>
          <w:b/>
          <w:bCs/>
          <w:i/>
          <w:iCs/>
          <w:sz w:val="20"/>
          <w:szCs w:val="20"/>
        </w:rPr>
        <w:t>Facility acquisitions, development, and capital expenditures</w:t>
      </w:r>
    </w:p>
    <w:p w:rsidR="00000000" w:rsidRDefault="00240F6E">
      <w:pPr>
        <w:pStyle w:val="a3"/>
        <w:spacing w:before="240" w:beforeAutospacing="0" w:after="0" w:afterAutospacing="0"/>
        <w:jc w:val="both"/>
        <w:rPr>
          <w:sz w:val="20"/>
          <w:szCs w:val="20"/>
        </w:rPr>
      </w:pPr>
      <w:r>
        <w:rPr>
          <w:sz w:val="20"/>
          <w:szCs w:val="20"/>
        </w:rPr>
        <w:t>On February 20, 2019, we acquired the South Raleigh Reentry Center, a 60-bed residential reentry center in Raleigh, North Carolin</w:t>
      </w:r>
      <w:r>
        <w:rPr>
          <w:sz w:val="20"/>
          <w:szCs w:val="20"/>
        </w:rPr>
        <w:t>a, for $0.9 million, excluding transaction-related expenses.</w:t>
      </w:r>
    </w:p>
    <w:p w:rsidR="00000000" w:rsidRDefault="00240F6E">
      <w:pPr>
        <w:pStyle w:val="a3"/>
        <w:spacing w:before="240" w:beforeAutospacing="0" w:after="0" w:afterAutospacing="0"/>
        <w:jc w:val="both"/>
        <w:rPr>
          <w:sz w:val="20"/>
          <w:szCs w:val="20"/>
        </w:rPr>
      </w:pPr>
      <w:r>
        <w:rPr>
          <w:sz w:val="20"/>
          <w:szCs w:val="20"/>
        </w:rPr>
        <w:t>On January 24, 2018, we entered into a 20-year lease agreement with the KDOC for a 2,432-bed correctional facility we are constructing in Lansing, Kansas, for a total project cost of approximatel</w:t>
      </w:r>
      <w:r>
        <w:rPr>
          <w:sz w:val="20"/>
          <w:szCs w:val="20"/>
        </w:rPr>
        <w:t>y $155.0 million to $165.0 million.  Construction of the facility is being funded with proceeds from the private placement of the Kansas Notes, as previously described herein. As of March 31, 2019, we have capitalized $74.4 million associated with the cons</w:t>
      </w:r>
      <w:r>
        <w:rPr>
          <w:sz w:val="20"/>
          <w:szCs w:val="20"/>
        </w:rPr>
        <w:t>truction project. This transaction represents the first development of a privately owned, build-to-suit correctional facility to be operated by a government agency through a long-term lease agreement.  We will be responsible for facility maintenance throug</w:t>
      </w:r>
      <w:r>
        <w:rPr>
          <w:sz w:val="20"/>
          <w:szCs w:val="20"/>
        </w:rPr>
        <w:t>hout the 20-year term of the lease, at which time ownership will revert to the State.  Construction of the new facility commenced in the first quarter of 2018 and is expected to be completed during the first quarter of 2020.  With the extensively aged crim</w:t>
      </w:r>
      <w:r>
        <w:rPr>
          <w:sz w:val="20"/>
          <w:szCs w:val="20"/>
        </w:rPr>
        <w:t>inal justice infrastructure in the U.S. today, we believe we can bring our flexible solutions like this to other government agencies.</w:t>
      </w:r>
    </w:p>
    <w:p w:rsidR="00000000" w:rsidRDefault="00240F6E">
      <w:pPr>
        <w:pStyle w:val="a3"/>
        <w:spacing w:before="240" w:beforeAutospacing="0" w:after="0" w:afterAutospacing="0"/>
        <w:jc w:val="both"/>
        <w:rPr>
          <w:sz w:val="20"/>
          <w:szCs w:val="20"/>
        </w:rPr>
      </w:pPr>
      <w:r>
        <w:rPr>
          <w:sz w:val="20"/>
          <w:szCs w:val="20"/>
        </w:rPr>
        <w:t>As a result of long-standing demand from the USMS and ICE, and limited detention capacity in the Southwest region of the U</w:t>
      </w:r>
      <w:r>
        <w:rPr>
          <w:sz w:val="20"/>
          <w:szCs w:val="20"/>
        </w:rPr>
        <w:t>nited States, during the fourth quarter of 2018, we obtained permits necessary to expand our 1,482-bed Otay Mesa Detention Center in San Diego, California by 512 beds.  The expansion is expected to be complete during the fourth quarter of 2019 at an estima</w:t>
      </w:r>
      <w:r>
        <w:rPr>
          <w:sz w:val="20"/>
          <w:szCs w:val="20"/>
        </w:rPr>
        <w:t>ted cost of approximately $43.0 million, including $24.9 million incurred through March 31, 2019.  Both the USMS and ICE currently utilize the Otay Mesa Detention Center under an existing contract that enables both agencies to utilize the additional capaci</w:t>
      </w:r>
      <w:r>
        <w:rPr>
          <w:sz w:val="20"/>
          <w:szCs w:val="20"/>
        </w:rPr>
        <w:t>ty.</w:t>
      </w:r>
    </w:p>
    <w:p w:rsidR="00000000" w:rsidRDefault="00240F6E">
      <w:pPr>
        <w:pStyle w:val="a3"/>
        <w:spacing w:before="240" w:beforeAutospacing="0" w:after="0" w:afterAutospacing="0"/>
        <w:jc w:val="both"/>
        <w:rPr>
          <w:sz w:val="20"/>
          <w:szCs w:val="20"/>
        </w:rPr>
      </w:pPr>
      <w:r>
        <w:rPr>
          <w:sz w:val="20"/>
          <w:szCs w:val="20"/>
        </w:rPr>
        <w:t>Several of our existing federal and state partners, as well as prospective state partners, are experiencing growth in offender populations and overcrowded conditions, or are considering alternative correctional capacity for their aged or inefficient in</w:t>
      </w:r>
      <w:r>
        <w:rPr>
          <w:sz w:val="20"/>
          <w:szCs w:val="20"/>
        </w:rPr>
        <w:t>frastructure.  Competing budget priorities often impede our customers' ability to construct new prison beds of their own or update older facilities, which we believe could result in further need for private sector prison capacity solutions in the long-term</w:t>
      </w:r>
      <w:r>
        <w:rPr>
          <w:sz w:val="20"/>
          <w:szCs w:val="20"/>
        </w:rPr>
        <w:t>. Over the long-term, we would like to see meaningful utilization of our available capacity and better visibility from our customers into their potential future needs before we develop new prison capacity on a speculative basis. We will, however, respond t</w:t>
      </w:r>
      <w:r>
        <w:rPr>
          <w:sz w:val="20"/>
          <w:szCs w:val="20"/>
        </w:rPr>
        <w:t>o customer demand and may develop or expand correctional and detention facilities when we believe potential long-term returns justify the capital deployment, like the aforementioned expansion of our Otay Mesa Detention Center.</w:t>
      </w:r>
      <w:r>
        <w:rPr>
          <w:b/>
          <w:bCs/>
          <w:sz w:val="20"/>
          <w:szCs w:val="20"/>
        </w:rPr>
        <w:t>  </w:t>
      </w:r>
      <w:r>
        <w:rPr>
          <w:sz w:val="20"/>
          <w:szCs w:val="20"/>
        </w:rPr>
        <w:t>We expect to continue to pur</w:t>
      </w:r>
      <w:r>
        <w:rPr>
          <w:sz w:val="20"/>
          <w:szCs w:val="20"/>
        </w:rPr>
        <w:t>sue investment opportunities in residential reentry centers and are in various stages of due diligence to complete additional acquisitions. The transactions that have not yet closed will also be subject to various customary closing conditions, and we can p</w:t>
      </w:r>
      <w:r>
        <w:rPr>
          <w:sz w:val="20"/>
          <w:szCs w:val="20"/>
        </w:rPr>
        <w:t>rovide no assurance that any such transactions will ultimately be completed.  We are also pursuing additional investment opportunities in other real estate assets with a bias toward those used to provide mission-critical governmental services, as well as o</w:t>
      </w:r>
      <w:r>
        <w:rPr>
          <w:sz w:val="20"/>
          <w:szCs w:val="20"/>
        </w:rPr>
        <w:t>ther businesses that expand the range of solutions we provide to government partners, and expect to complete additional acquisitions that would further diversify our cash flows and generate attractive risk-adjusted returns for our shareholders.  Although w</w:t>
      </w:r>
      <w:r>
        <w:rPr>
          <w:sz w:val="20"/>
          <w:szCs w:val="20"/>
        </w:rPr>
        <w:t xml:space="preserve">e may finance such acquisitions with non-recourse secured debt, we will continue to pursue acquisitions financed with a combination of cash on hand, capacity under our revolving credit facility, unsecured debt, and equity. </w:t>
      </w:r>
    </w:p>
    <w:p w:rsidR="00000000" w:rsidRDefault="00240F6E">
      <w:pPr>
        <w:pStyle w:val="a3"/>
        <w:spacing w:before="240" w:beforeAutospacing="0" w:after="0" w:afterAutospacing="0"/>
        <w:jc w:val="center"/>
        <w:rPr>
          <w:sz w:val="20"/>
          <w:szCs w:val="20"/>
        </w:rPr>
      </w:pPr>
      <w:r>
        <w:rPr>
          <w:sz w:val="20"/>
          <w:szCs w:val="20"/>
        </w:rPr>
        <w:t>37</w:t>
      </w:r>
    </w:p>
    <w:p w:rsidR="00000000" w:rsidRDefault="00240F6E">
      <w:pPr>
        <w:rPr>
          <w:rFonts w:eastAsia="Times New Roman"/>
        </w:rPr>
      </w:pPr>
      <w:r>
        <w:rPr>
          <w:rFonts w:eastAsia="Times New Roman"/>
        </w:rPr>
        <w:pict>
          <v:rect id="_x0000_i1063" style="width:0;height:1.5pt" o:hralign="center" o:hrstd="t" o:hr="t" fillcolor="#a0a0a0" stroked="f"/>
        </w:pict>
      </w:r>
    </w:p>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360" w:beforeAutospacing="0" w:after="0" w:afterAutospacing="0"/>
        <w:jc w:val="both"/>
        <w:rPr>
          <w:b/>
          <w:bCs/>
          <w:sz w:val="20"/>
          <w:szCs w:val="20"/>
        </w:rPr>
      </w:pPr>
      <w:r>
        <w:rPr>
          <w:b/>
          <w:bCs/>
          <w:sz w:val="20"/>
          <w:szCs w:val="20"/>
        </w:rPr>
        <w:t>Operating Activities</w:t>
      </w:r>
    </w:p>
    <w:p w:rsidR="00000000" w:rsidRDefault="00240F6E">
      <w:pPr>
        <w:pStyle w:val="a3"/>
        <w:spacing w:before="120" w:beforeAutospacing="0" w:after="0" w:afterAutospacing="0"/>
        <w:jc w:val="both"/>
        <w:rPr>
          <w:sz w:val="20"/>
          <w:szCs w:val="20"/>
        </w:rPr>
      </w:pPr>
      <w:r>
        <w:rPr>
          <w:sz w:val="20"/>
          <w:szCs w:val="20"/>
        </w:rPr>
        <w:t>Our net cash provided by operating activities for the three months ended March </w:t>
      </w:r>
      <w:r>
        <w:rPr>
          <w:sz w:val="20"/>
          <w:szCs w:val="20"/>
        </w:rPr>
        <w:t>31, 2019 was $77.8 million, compared with $108.5 million for the same period in the prior year. Cash provided by operating activities represents the year to date net income plus depreciation and amortization, changes in various components of working capita</w:t>
      </w:r>
      <w:r>
        <w:rPr>
          <w:sz w:val="20"/>
          <w:szCs w:val="20"/>
        </w:rPr>
        <w:t>l, and various non-cash charges.  The decrease in cash provided by operating activities compared with the prior year quarter resulted from a negative change in working capital during the first quarter of 2019 compared with the first quarter of 2018, when c</w:t>
      </w:r>
      <w:r>
        <w:rPr>
          <w:sz w:val="20"/>
          <w:szCs w:val="20"/>
        </w:rPr>
        <w:t>ash from operating activities reflected a positive fluctuation of $41.2 million in accounts receivable, prepaid expenses, and other assets, primarily due to net collections of accounts receivable outstanding as of December 31, 2017.</w:t>
      </w:r>
    </w:p>
    <w:p w:rsidR="00000000" w:rsidRDefault="00240F6E">
      <w:pPr>
        <w:pStyle w:val="a3"/>
        <w:spacing w:before="360" w:beforeAutospacing="0" w:after="0" w:afterAutospacing="0"/>
        <w:jc w:val="both"/>
        <w:rPr>
          <w:b/>
          <w:bCs/>
          <w:sz w:val="20"/>
          <w:szCs w:val="20"/>
        </w:rPr>
      </w:pPr>
      <w:r>
        <w:rPr>
          <w:b/>
          <w:bCs/>
          <w:sz w:val="20"/>
          <w:szCs w:val="20"/>
        </w:rPr>
        <w:t>Investing Activities</w:t>
      </w:r>
    </w:p>
    <w:p w:rsidR="00000000" w:rsidRDefault="00240F6E">
      <w:pPr>
        <w:pStyle w:val="a3"/>
        <w:spacing w:before="120" w:beforeAutospacing="0" w:after="0" w:afterAutospacing="0"/>
        <w:jc w:val="both"/>
        <w:rPr>
          <w:sz w:val="20"/>
          <w:szCs w:val="20"/>
        </w:rPr>
      </w:pPr>
      <w:r>
        <w:rPr>
          <w:sz w:val="20"/>
          <w:szCs w:val="20"/>
        </w:rPr>
        <w:t>Ou</w:t>
      </w:r>
      <w:r>
        <w:rPr>
          <w:sz w:val="20"/>
          <w:szCs w:val="20"/>
        </w:rPr>
        <w:t>r cash flow used in investing activities was $78.0 million for the three months ended March 31, 2019 and was primarily attributable to a $30.0 million payment made on January 2, 2019, reflected in acquisitions, net of cash acquired on the consolidated stat</w:t>
      </w:r>
      <w:r>
        <w:rPr>
          <w:sz w:val="20"/>
          <w:szCs w:val="20"/>
        </w:rPr>
        <w:t>ement of cash flows, pursuant to a previously disclosed agreement with the state of Montana entered into in the third quarter of 2018 to extend our ownership of the Crossroads Correctional Center for the estimated duration of its useful life. Our cash flow</w:t>
      </w:r>
      <w:r>
        <w:rPr>
          <w:sz w:val="20"/>
          <w:szCs w:val="20"/>
        </w:rPr>
        <w:t xml:space="preserve"> used in investing activities also included $0.9 million attributable to the acquisition of the South Raleigh Reentry Center, as previously described herein. Capital expenditures during the three-month period ended March 31, 2019 also included capital expe</w:t>
      </w:r>
      <w:r>
        <w:rPr>
          <w:sz w:val="20"/>
          <w:szCs w:val="20"/>
        </w:rPr>
        <w:t>nditures for facility development and expansions of $36.0 million and $10.0 million for facility maintenance and information technology capital expenditures.  Our cash flow used in investing activities was $69.9 million for the three months ended March 31,</w:t>
      </w:r>
      <w:r>
        <w:rPr>
          <w:sz w:val="20"/>
          <w:szCs w:val="20"/>
        </w:rPr>
        <w:t xml:space="preserve"> 2018 and was primarily attributable to capital expenditures during the three-month period of $20.7 million, including expenditures for facility development and expansions of $3.4 million and $17.3 million for facility maintenance and information technolog</w:t>
      </w:r>
      <w:r>
        <w:rPr>
          <w:sz w:val="20"/>
          <w:szCs w:val="20"/>
        </w:rPr>
        <w:t>y capital expenditures.  Our cash flow used in investing activities also included $48.5 million attributable to the acquisitions of RMOMS and Capital Commerce Center in the first quarter of 2018.    </w:t>
      </w:r>
    </w:p>
    <w:p w:rsidR="00000000" w:rsidRDefault="00240F6E">
      <w:pPr>
        <w:pStyle w:val="a3"/>
        <w:spacing w:before="360" w:beforeAutospacing="0" w:after="0" w:afterAutospacing="0"/>
        <w:jc w:val="both"/>
        <w:rPr>
          <w:b/>
          <w:bCs/>
          <w:sz w:val="20"/>
          <w:szCs w:val="20"/>
        </w:rPr>
      </w:pPr>
      <w:r>
        <w:rPr>
          <w:b/>
          <w:bCs/>
          <w:sz w:val="20"/>
          <w:szCs w:val="20"/>
        </w:rPr>
        <w:t>Financing Activities</w:t>
      </w:r>
    </w:p>
    <w:p w:rsidR="00000000" w:rsidRDefault="00240F6E">
      <w:pPr>
        <w:pStyle w:val="a3"/>
        <w:spacing w:before="120" w:beforeAutospacing="0" w:after="0" w:afterAutospacing="0"/>
        <w:jc w:val="both"/>
        <w:rPr>
          <w:sz w:val="20"/>
          <w:szCs w:val="20"/>
        </w:rPr>
      </w:pPr>
      <w:r>
        <w:rPr>
          <w:sz w:val="20"/>
          <w:szCs w:val="20"/>
        </w:rPr>
        <w:t>Cash flow used in financing activit</w:t>
      </w:r>
      <w:r>
        <w:rPr>
          <w:sz w:val="20"/>
          <w:szCs w:val="20"/>
        </w:rPr>
        <w:t>ies was $20.6 million for the three months ended March 31, 2019 and was primarily attributable to dividend payments of $52.4 million and $3.1 million for the purchase and retirement of common stock that was issued in connection with equity-based compensati</w:t>
      </w:r>
      <w:r>
        <w:rPr>
          <w:sz w:val="20"/>
          <w:szCs w:val="20"/>
        </w:rPr>
        <w:t>on.  In addition, cash flow used in financing activities included $6.4 million of contingent consideration associated with the acquisition of a business and $2.9 million of scheduled principal repayments under our Term Loan and non-recourse mortgage notes.</w:t>
      </w:r>
      <w:r>
        <w:rPr>
          <w:sz w:val="20"/>
          <w:szCs w:val="20"/>
        </w:rPr>
        <w:t>  These payments were partially offset by $13.0 million of net borrowings under our revolving credit facility and $31.1 million of proceeds from the quarterly borrowing of the Kansas Notes during the construction period of the Lansing Correctional Facility</w:t>
      </w:r>
      <w:r>
        <w:rPr>
          <w:sz w:val="20"/>
          <w:szCs w:val="20"/>
        </w:rPr>
        <w:t>.  </w:t>
      </w:r>
    </w:p>
    <w:p w:rsidR="00000000" w:rsidRDefault="00240F6E">
      <w:pPr>
        <w:pStyle w:val="a3"/>
        <w:spacing w:before="240" w:beforeAutospacing="0" w:after="0" w:afterAutospacing="0"/>
        <w:jc w:val="both"/>
        <w:rPr>
          <w:sz w:val="20"/>
          <w:szCs w:val="20"/>
        </w:rPr>
      </w:pPr>
      <w:r>
        <w:rPr>
          <w:sz w:val="20"/>
          <w:szCs w:val="20"/>
        </w:rPr>
        <w:t xml:space="preserve">Cash flow used in financing activities was $34.4 million for the three months ended March 31, 2018 and was primarily attributable to dividend payments of $51.1 million and $2.5 million for the purchase and retirement of common stock that was issued in </w:t>
      </w:r>
      <w:r>
        <w:rPr>
          <w:sz w:val="20"/>
          <w:szCs w:val="20"/>
        </w:rPr>
        <w:t xml:space="preserve">connection with equity-based compensation.  In addition, cash flow used in financing activities included $1.0 million of net repayments under our revolving credit facility, $24.5 million of proceeds from the issuance of the Capital Commerce Note, and $2.7 </w:t>
      </w:r>
      <w:r>
        <w:rPr>
          <w:sz w:val="20"/>
          <w:szCs w:val="20"/>
        </w:rPr>
        <w:t>million of scheduled principal repayments under our Term Loan and non-recourse mortgage note.  </w:t>
      </w:r>
    </w:p>
    <w:p w:rsidR="00000000" w:rsidRDefault="00240F6E">
      <w:pPr>
        <w:pStyle w:val="a3"/>
        <w:spacing w:before="360" w:beforeAutospacing="0" w:after="0" w:afterAutospacing="0"/>
        <w:jc w:val="both"/>
        <w:rPr>
          <w:b/>
          <w:bCs/>
          <w:sz w:val="20"/>
          <w:szCs w:val="20"/>
        </w:rPr>
      </w:pPr>
      <w:r>
        <w:rPr>
          <w:b/>
          <w:bCs/>
          <w:sz w:val="20"/>
          <w:szCs w:val="20"/>
        </w:rPr>
        <w:t>Funds from Operations</w:t>
      </w:r>
    </w:p>
    <w:p w:rsidR="00000000" w:rsidRDefault="00240F6E">
      <w:pPr>
        <w:pStyle w:val="a3"/>
        <w:spacing w:before="120" w:beforeAutospacing="0" w:after="0" w:afterAutospacing="0"/>
        <w:jc w:val="both"/>
        <w:rPr>
          <w:sz w:val="20"/>
          <w:szCs w:val="20"/>
        </w:rPr>
      </w:pPr>
      <w:r>
        <w:rPr>
          <w:sz w:val="20"/>
          <w:szCs w:val="20"/>
        </w:rPr>
        <w:t>Funds From Operations, or FFO, is a widely accepted supplemental non-GAAP measure utilized to evaluate the operating performance of real e</w:t>
      </w:r>
      <w:r>
        <w:rPr>
          <w:sz w:val="20"/>
          <w:szCs w:val="20"/>
        </w:rPr>
        <w:t xml:space="preserve">state companies. The National Association of Real Estate Investment Trusts, or NAREIT, defines FFO as net income computed in accordance with GAAP, excluding gains or losses from sales of property and extraordinary items, plus depreciation and amortization </w:t>
      </w:r>
      <w:r>
        <w:rPr>
          <w:sz w:val="20"/>
          <w:szCs w:val="20"/>
        </w:rPr>
        <w:t>of real estate and impairment of depreciable real estate and after adjustments for unconsolidated partnerships and joint ventures calculated to reflect funds from operations on the same basis.  We believe FFO is an important supplemental measure of our ope</w:t>
      </w:r>
      <w:r>
        <w:rPr>
          <w:sz w:val="20"/>
          <w:szCs w:val="20"/>
        </w:rPr>
        <w:t xml:space="preserve">rating performance and believe it is frequently used by securities analysts, investors and other interested parties in the evaluation of REITs, many of which present FFO when reporting results. </w:t>
      </w:r>
    </w:p>
    <w:p w:rsidR="00000000" w:rsidRDefault="00240F6E">
      <w:pPr>
        <w:pStyle w:val="a3"/>
        <w:spacing w:before="240" w:beforeAutospacing="0" w:after="0" w:afterAutospacing="0"/>
        <w:jc w:val="both"/>
        <w:rPr>
          <w:spacing w:val="-2"/>
          <w:sz w:val="20"/>
          <w:szCs w:val="20"/>
        </w:rPr>
      </w:pPr>
      <w:r>
        <w:rPr>
          <w:spacing w:val="-2"/>
          <w:sz w:val="20"/>
          <w:szCs w:val="20"/>
        </w:rPr>
        <w:t xml:space="preserve">We also present Normalized FFO as an additional supplemental </w:t>
      </w:r>
      <w:r>
        <w:rPr>
          <w:spacing w:val="-2"/>
          <w:sz w:val="20"/>
          <w:szCs w:val="20"/>
        </w:rPr>
        <w:t xml:space="preserve">measure as we believe it is more reflective of our core operating performance. We may make adjustments to FFO from time to time for certain other income and expenses that we consider non-recurring, infrequent or unusual, even though such items may require </w:t>
      </w:r>
      <w:r>
        <w:rPr>
          <w:spacing w:val="-2"/>
          <w:sz w:val="20"/>
          <w:szCs w:val="20"/>
        </w:rPr>
        <w:t>cash settlement, because such items do not reflect a necessary component of our ongoing operations.  Even though expenses associated with M&amp;A may be recurring, the magnitude and timing fluctuate based on the timing and scope of M&amp;A activity, and therefore,</w:t>
      </w:r>
      <w:r>
        <w:rPr>
          <w:spacing w:val="-2"/>
          <w:sz w:val="20"/>
          <w:szCs w:val="20"/>
        </w:rPr>
        <w:t xml:space="preserve"> such expenses, which are not a necessary component of our ongoing operations, may not be comparable from period to period.  Normalized FFO excludes the effects of such items.</w:t>
      </w:r>
    </w:p>
    <w:p w:rsidR="00000000" w:rsidRDefault="00240F6E">
      <w:pPr>
        <w:pStyle w:val="a3"/>
        <w:spacing w:before="240" w:beforeAutospacing="0" w:after="0" w:afterAutospacing="0"/>
        <w:jc w:val="center"/>
        <w:rPr>
          <w:sz w:val="20"/>
          <w:szCs w:val="20"/>
        </w:rPr>
      </w:pPr>
      <w:r>
        <w:rPr>
          <w:sz w:val="20"/>
          <w:szCs w:val="20"/>
        </w:rPr>
        <w:t>38</w:t>
      </w:r>
    </w:p>
    <w:p w:rsidR="00000000" w:rsidRDefault="00240F6E">
      <w:pPr>
        <w:rPr>
          <w:rFonts w:eastAsia="Times New Roman"/>
        </w:rPr>
      </w:pPr>
      <w:r>
        <w:rPr>
          <w:rFonts w:eastAsia="Times New Roman"/>
        </w:rPr>
        <w:pict>
          <v:rect id="_x0000_i1064" style="width:0;height:1.5pt" o:hralign="center" o:hrstd="t" o:hr="t" fillcolor="#a0a0a0" stroked="f"/>
        </w:pict>
      </w:r>
    </w:p>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240" w:beforeAutospacing="0" w:after="0" w:afterAutospacing="0"/>
        <w:jc w:val="both"/>
        <w:rPr>
          <w:sz w:val="20"/>
          <w:szCs w:val="20"/>
        </w:rPr>
      </w:pPr>
      <w:r>
        <w:rPr>
          <w:sz w:val="20"/>
          <w:szCs w:val="20"/>
        </w:rPr>
        <w:t>FFO and Normalized FFO are supplementa</w:t>
      </w:r>
      <w:r>
        <w:rPr>
          <w:sz w:val="20"/>
          <w:szCs w:val="20"/>
        </w:rPr>
        <w:t>l non-GAAP financial measures of real estate companies' operating performance, which do not represent cash generated from operating activities in accordance with GAAP and therefore should not be considered an alternative for net income or as a measure of l</w:t>
      </w:r>
      <w:r>
        <w:rPr>
          <w:sz w:val="20"/>
          <w:szCs w:val="20"/>
        </w:rPr>
        <w:t>iquidity. Our method of calculating FFO and Normalized FFO may be different from methods used by other REITs and, accordingly, may not be comparable to such other REITs.</w:t>
      </w:r>
    </w:p>
    <w:p w:rsidR="00000000" w:rsidRDefault="00240F6E">
      <w:pPr>
        <w:pStyle w:val="a3"/>
        <w:spacing w:before="240" w:beforeAutospacing="0" w:after="0" w:afterAutospacing="0"/>
        <w:jc w:val="both"/>
        <w:rPr>
          <w:sz w:val="20"/>
          <w:szCs w:val="20"/>
        </w:rPr>
      </w:pPr>
      <w:r>
        <w:rPr>
          <w:sz w:val="20"/>
          <w:szCs w:val="20"/>
        </w:rPr>
        <w:t xml:space="preserve">Our reconciliation of net income to FFO and Normalized FFO for the three months ended </w:t>
      </w:r>
      <w:r>
        <w:rPr>
          <w:sz w:val="20"/>
          <w:szCs w:val="20"/>
        </w:rPr>
        <w:t>March 31, 2019 and 2018 is as follows (in thousands):</w:t>
      </w:r>
    </w:p>
    <w:p w:rsidR="00000000" w:rsidRDefault="00240F6E">
      <w:pPr>
        <w:pStyle w:val="a3"/>
        <w:spacing w:before="0" w:beforeAutospacing="0" w:after="0" w:afterAutospacing="0"/>
        <w:rPr>
          <w:sz w:val="20"/>
          <w:szCs w:val="20"/>
        </w:rPr>
      </w:pPr>
      <w:r>
        <w:rPr>
          <w:sz w:val="20"/>
          <w:szCs w:val="20"/>
        </w:rPr>
        <w:t> </w:t>
      </w:r>
    </w:p>
    <w:tbl>
      <w:tblPr>
        <w:tblW w:w="3500" w:type="pct"/>
        <w:tblCellMar>
          <w:left w:w="0" w:type="dxa"/>
          <w:right w:w="0" w:type="dxa"/>
        </w:tblCellMar>
        <w:tblLook w:val="04A0" w:firstRow="1" w:lastRow="0" w:firstColumn="1" w:lastColumn="0" w:noHBand="0" w:noVBand="1"/>
      </w:tblPr>
      <w:tblGrid>
        <w:gridCol w:w="3879"/>
        <w:gridCol w:w="65"/>
        <w:gridCol w:w="115"/>
        <w:gridCol w:w="721"/>
        <w:gridCol w:w="65"/>
        <w:gridCol w:w="65"/>
        <w:gridCol w:w="115"/>
        <w:gridCol w:w="724"/>
        <w:gridCol w:w="65"/>
      </w:tblGrid>
      <w:tr w:rsidR="00000000">
        <w:trPr>
          <w:divId w:val="158887422"/>
        </w:trPr>
        <w:tc>
          <w:tcPr>
            <w:tcW w:w="335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sz w:val="20"/>
                <w:szCs w:val="20"/>
              </w:rPr>
            </w:pPr>
            <w:r>
              <w:rPr>
                <w:sz w:val="20"/>
                <w:szCs w:val="20"/>
              </w:rPr>
              <w:t> </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1514" w:type="pct"/>
            <w:gridSpan w:val="6"/>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For the Three Months Ended</w:t>
            </w:r>
          </w:p>
          <w:p w:rsidR="00000000" w:rsidRDefault="00240F6E">
            <w:pPr>
              <w:pStyle w:val="a3"/>
              <w:spacing w:before="0" w:beforeAutospacing="0" w:after="0" w:afterAutospacing="0"/>
              <w:jc w:val="center"/>
              <w:rPr>
                <w:b/>
                <w:bCs/>
                <w:color w:val="000000"/>
                <w:sz w:val="16"/>
                <w:szCs w:val="16"/>
              </w:rPr>
            </w:pPr>
            <w:r>
              <w:rPr>
                <w:b/>
                <w:bCs/>
                <w:color w:val="000000"/>
                <w:sz w:val="16"/>
                <w:szCs w:val="16"/>
              </w:rPr>
              <w:t>March 31,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158887422"/>
        </w:trPr>
        <w:tc>
          <w:tcPr>
            <w:tcW w:w="335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FUNDS FROM OPERATIONS:</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2019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77" w:type="pct"/>
            <w:tcBorders>
              <w:top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693"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2018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r>
      <w:tr w:rsidR="00000000">
        <w:trPr>
          <w:divId w:val="158887422"/>
        </w:trPr>
        <w:tc>
          <w:tcPr>
            <w:tcW w:w="3357"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Net income</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49,340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37,777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58887422"/>
        </w:trPr>
        <w:tc>
          <w:tcPr>
            <w:tcW w:w="335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Depreciation and amortization of real estate assets</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26,599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24,408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58887422"/>
        </w:trPr>
        <w:tc>
          <w:tcPr>
            <w:tcW w:w="3357"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Funds From Operations</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75,939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3"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62,185</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58887422"/>
        </w:trPr>
        <w:tc>
          <w:tcPr>
            <w:tcW w:w="3357"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Expenses associated with mergers and acquisitions</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436</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643" w:type="pct"/>
            <w:tcBorders>
              <w:bottom w:val="sing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518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000000">
        <w:trPr>
          <w:divId w:val="158887422"/>
        </w:trPr>
        <w:tc>
          <w:tcPr>
            <w:tcW w:w="3357"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ind w:left="274"/>
              <w:rPr>
                <w:color w:val="000000"/>
                <w:sz w:val="20"/>
                <w:szCs w:val="20"/>
              </w:rPr>
            </w:pPr>
            <w:r>
              <w:rPr>
                <w:color w:val="000000"/>
                <w:sz w:val="20"/>
                <w:szCs w:val="20"/>
              </w:rPr>
              <w:t>Normalized Funds From Operations</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b/>
                <w:bCs/>
                <w:color w:val="000000"/>
                <w:sz w:val="20"/>
                <w:szCs w:val="20"/>
              </w:rPr>
            </w:pPr>
            <w:r>
              <w:rPr>
                <w:b/>
                <w:bCs/>
                <w:color w:val="000000"/>
                <w:sz w:val="20"/>
                <w:szCs w:val="20"/>
              </w:rPr>
              <w:t>76,375</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77"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643" w:type="pct"/>
            <w:tcBorders>
              <w:top w:val="single" w:sz="6" w:space="0" w:color="000000"/>
              <w:bottom w:val="doub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62,703</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
                <w:szCs w:val="2"/>
              </w:rPr>
            </w:pPr>
            <w:r>
              <w:rPr>
                <w:color w:val="000000"/>
                <w:sz w:val="2"/>
                <w:szCs w:val="2"/>
              </w:rPr>
              <w:t> </w:t>
            </w:r>
          </w:p>
        </w:tc>
      </w:tr>
    </w:tbl>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160" w:beforeAutospacing="0" w:after="0" w:afterAutospacing="0"/>
        <w:jc w:val="both"/>
        <w:rPr>
          <w:b/>
          <w:bCs/>
          <w:sz w:val="20"/>
          <w:szCs w:val="20"/>
        </w:rPr>
      </w:pPr>
      <w:r>
        <w:rPr>
          <w:b/>
          <w:bCs/>
          <w:sz w:val="20"/>
          <w:szCs w:val="20"/>
        </w:rPr>
        <w:t>Contractual Obligations</w:t>
      </w:r>
    </w:p>
    <w:p w:rsidR="00000000" w:rsidRDefault="00240F6E">
      <w:pPr>
        <w:pStyle w:val="a3"/>
        <w:spacing w:before="120" w:beforeAutospacing="0" w:after="0" w:afterAutospacing="0"/>
        <w:jc w:val="both"/>
        <w:rPr>
          <w:sz w:val="20"/>
          <w:szCs w:val="20"/>
        </w:rPr>
      </w:pPr>
      <w:r>
        <w:rPr>
          <w:sz w:val="20"/>
          <w:szCs w:val="20"/>
        </w:rPr>
        <w:t>The following schedule summarizes our contractual cash obligations by the indicated period as of March 31, 2019 (in thousands):</w:t>
      </w:r>
    </w:p>
    <w:p w:rsidR="00000000" w:rsidRDefault="00240F6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567"/>
        <w:gridCol w:w="65"/>
        <w:gridCol w:w="118"/>
        <w:gridCol w:w="724"/>
        <w:gridCol w:w="65"/>
        <w:gridCol w:w="65"/>
        <w:gridCol w:w="115"/>
        <w:gridCol w:w="665"/>
        <w:gridCol w:w="65"/>
        <w:gridCol w:w="65"/>
        <w:gridCol w:w="115"/>
        <w:gridCol w:w="665"/>
        <w:gridCol w:w="65"/>
        <w:gridCol w:w="65"/>
        <w:gridCol w:w="115"/>
        <w:gridCol w:w="665"/>
        <w:gridCol w:w="65"/>
        <w:gridCol w:w="65"/>
        <w:gridCol w:w="115"/>
        <w:gridCol w:w="665"/>
        <w:gridCol w:w="65"/>
        <w:gridCol w:w="65"/>
        <w:gridCol w:w="132"/>
        <w:gridCol w:w="805"/>
        <w:gridCol w:w="65"/>
        <w:gridCol w:w="65"/>
        <w:gridCol w:w="115"/>
        <w:gridCol w:w="815"/>
        <w:gridCol w:w="65"/>
      </w:tblGrid>
      <w:tr w:rsidR="00000000">
        <w:trPr>
          <w:divId w:val="78907896"/>
        </w:trPr>
        <w:tc>
          <w:tcPr>
            <w:tcW w:w="183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sz w:val="20"/>
                <w:szCs w:val="20"/>
              </w:rPr>
            </w:pPr>
            <w:r>
              <w:rPr>
                <w:sz w:val="20"/>
                <w:szCs w:val="20"/>
              </w:rPr>
              <w:t> </w:t>
            </w:r>
          </w:p>
        </w:tc>
        <w:tc>
          <w:tcPr>
            <w:tcW w:w="4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070" w:type="pct"/>
            <w:gridSpan w:val="26"/>
            <w:tcBorders>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20"/>
                <w:szCs w:val="20"/>
              </w:rPr>
            </w:pPr>
            <w:r>
              <w:rPr>
                <w:b/>
                <w:bCs/>
                <w:color w:val="000000"/>
                <w:sz w:val="20"/>
                <w:szCs w:val="20"/>
              </w:rPr>
              <w:t>Payments Due By Year Ended December 31,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r>
      <w:tr w:rsidR="00000000">
        <w:trPr>
          <w:divId w:val="78907896"/>
        </w:trPr>
        <w:tc>
          <w:tcPr>
            <w:tcW w:w="183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20"/>
                <w:szCs w:val="20"/>
              </w:rPr>
            </w:pPr>
            <w:r>
              <w:rPr>
                <w:b/>
                <w:bCs/>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2019</w:t>
            </w:r>
          </w:p>
          <w:p w:rsidR="00000000" w:rsidRDefault="00240F6E">
            <w:pPr>
              <w:pStyle w:val="a3"/>
              <w:spacing w:before="0" w:beforeAutospacing="0" w:after="0" w:afterAutospacing="0"/>
              <w:jc w:val="center"/>
              <w:rPr>
                <w:b/>
                <w:bCs/>
                <w:color w:val="000000"/>
                <w:sz w:val="16"/>
                <w:szCs w:val="16"/>
              </w:rPr>
            </w:pPr>
            <w:r>
              <w:rPr>
                <w:b/>
                <w:bCs/>
                <w:color w:val="000000"/>
                <w:sz w:val="16"/>
                <w:szCs w:val="16"/>
              </w:rPr>
              <w:t>(remainder)</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2020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2021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2022</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16"/>
                <w:szCs w:val="16"/>
              </w:rPr>
            </w:pPr>
            <w:r>
              <w:rPr>
                <w:b/>
                <w:bCs/>
                <w:color w:val="000000"/>
                <w:sz w:val="16"/>
                <w:szCs w:val="16"/>
              </w:rPr>
              <w:t>2023</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16"/>
                <w:szCs w:val="16"/>
              </w:rPr>
            </w:pPr>
            <w:r>
              <w:rPr>
                <w:b/>
                <w:bCs/>
                <w:color w:val="000000"/>
                <w:sz w:val="16"/>
                <w:szCs w:val="16"/>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20"/>
                <w:szCs w:val="20"/>
              </w:rPr>
            </w:pPr>
            <w:r>
              <w:rPr>
                <w:b/>
                <w:bCs/>
                <w:color w:val="000000"/>
                <w:sz w:val="20"/>
                <w:szCs w:val="20"/>
              </w:rPr>
              <w:t>Thereafter</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44" w:type="pct"/>
            <w:tcBorders>
              <w:top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c>
          <w:tcPr>
            <w:tcW w:w="357" w:type="pct"/>
            <w:gridSpan w:val="2"/>
            <w:tcBorders>
              <w:top w:val="single" w:sz="6" w:space="0" w:color="000000"/>
              <w:bottom w:val="single" w:sz="6" w:space="0" w:color="000000"/>
            </w:tcBorders>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center"/>
              <w:rPr>
                <w:b/>
                <w:bCs/>
                <w:color w:val="000000"/>
                <w:sz w:val="20"/>
                <w:szCs w:val="20"/>
              </w:rPr>
            </w:pPr>
            <w:r>
              <w:rPr>
                <w:b/>
                <w:bCs/>
                <w:color w:val="000000"/>
                <w:sz w:val="20"/>
                <w:szCs w:val="20"/>
              </w:rPr>
              <w:t>Total</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b/>
                <w:bCs/>
                <w:color w:val="000000"/>
                <w:sz w:val="20"/>
                <w:szCs w:val="20"/>
              </w:rPr>
            </w:pPr>
            <w:r>
              <w:rPr>
                <w:b/>
                <w:bCs/>
                <w:color w:val="000000"/>
                <w:sz w:val="20"/>
                <w:szCs w:val="20"/>
              </w:rPr>
              <w:t> </w:t>
            </w:r>
          </w:p>
        </w:tc>
      </w:tr>
      <w:tr w:rsidR="00240F6E">
        <w:trPr>
          <w:divId w:val="78907896"/>
        </w:trPr>
        <w:tc>
          <w:tcPr>
            <w:tcW w:w="1834"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Long-term debt</w:t>
            </w:r>
          </w:p>
        </w:tc>
        <w:tc>
          <w:tcPr>
            <w:tcW w:w="4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11,245</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343,849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20,337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274,231</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734,360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472,038</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1,856,060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240F6E">
        <w:trPr>
          <w:divId w:val="78907896"/>
        </w:trPr>
        <w:tc>
          <w:tcPr>
            <w:tcW w:w="1834"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Interest on senior and mortgage notes</w:t>
            </w:r>
          </w:p>
        </w:tc>
        <w:tc>
          <w:tcPr>
            <w:tcW w:w="4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59,880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54,879</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47,857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47,524</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26,580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90,698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327,418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240F6E">
        <w:trPr>
          <w:divId w:val="78907896"/>
        </w:trPr>
        <w:tc>
          <w:tcPr>
            <w:tcW w:w="1834"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Contractual facility developments and</w:t>
            </w:r>
          </w:p>
          <w:p w:rsidR="00000000" w:rsidRDefault="00240F6E">
            <w:pPr>
              <w:pStyle w:val="a3"/>
              <w:spacing w:before="0" w:beforeAutospacing="0" w:after="0" w:afterAutospacing="0"/>
              <w:rPr>
                <w:color w:val="000000"/>
                <w:sz w:val="20"/>
                <w:szCs w:val="20"/>
              </w:rPr>
            </w:pPr>
            <w:r>
              <w:rPr>
                <w:color w:val="000000"/>
                <w:sz w:val="20"/>
                <w:szCs w:val="20"/>
              </w:rPr>
              <w:t>   other commitments</w:t>
            </w:r>
          </w:p>
        </w:tc>
        <w:tc>
          <w:tcPr>
            <w:tcW w:w="4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75,482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9,056</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07"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84,538</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240F6E">
        <w:trPr>
          <w:divId w:val="78907896"/>
        </w:trPr>
        <w:tc>
          <w:tcPr>
            <w:tcW w:w="1834"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South Texas Family Residential Center</w:t>
            </w:r>
          </w:p>
        </w:tc>
        <w:tc>
          <w:tcPr>
            <w:tcW w:w="4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38,742</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51,562</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37,333</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07"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127,637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240F6E">
        <w:trPr>
          <w:divId w:val="78907896"/>
        </w:trPr>
        <w:tc>
          <w:tcPr>
            <w:tcW w:w="1834" w:type="pct"/>
            <w:shd w:val="clear" w:color="auto" w:fill="CFF0FC"/>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Operating leases</w:t>
            </w:r>
          </w:p>
        </w:tc>
        <w:tc>
          <w:tcPr>
            <w:tcW w:w="4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2,049</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3,407</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4,090</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3,285</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2,421</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21,712</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4" w:type="pct"/>
            <w:shd w:val="clear" w:color="auto" w:fill="CFF0FC"/>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307" w:type="pct"/>
            <w:tcBorders>
              <w:bottom w:val="single" w:sz="6" w:space="0" w:color="000000"/>
            </w:tcBorders>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36,964</w:t>
            </w:r>
          </w:p>
        </w:tc>
        <w:tc>
          <w:tcPr>
            <w:tcW w:w="50" w:type="pct"/>
            <w:shd w:val="clear" w:color="auto" w:fill="CFF0FC"/>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r>
      <w:tr w:rsidR="00240F6E">
        <w:trPr>
          <w:divId w:val="78907896"/>
        </w:trPr>
        <w:tc>
          <w:tcPr>
            <w:tcW w:w="1834" w:type="pct"/>
            <w:shd w:val="clear" w:color="auto" w:fill="FFFFFF"/>
            <w:tcMar>
              <w:top w:w="15" w:type="dxa"/>
              <w:left w:w="0" w:type="dxa"/>
              <w:bottom w:w="0" w:type="dxa"/>
              <w:right w:w="15" w:type="dxa"/>
            </w:tcMar>
            <w:hideMark/>
          </w:tcPr>
          <w:p w:rsidR="00000000" w:rsidRDefault="00240F6E">
            <w:pPr>
              <w:pStyle w:val="a3"/>
              <w:spacing w:before="0" w:beforeAutospacing="0" w:after="0" w:afterAutospacing="0"/>
              <w:rPr>
                <w:color w:val="000000"/>
                <w:sz w:val="20"/>
                <w:szCs w:val="20"/>
              </w:rPr>
            </w:pPr>
            <w:r>
              <w:rPr>
                <w:color w:val="000000"/>
                <w:sz w:val="20"/>
                <w:szCs w:val="20"/>
              </w:rPr>
              <w:t>Total contractual cash obligations</w:t>
            </w:r>
          </w:p>
        </w:tc>
        <w:tc>
          <w:tcPr>
            <w:tcW w:w="4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187,398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462,753</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109,617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325,040</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763,361</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584,448</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44" w:type="pct"/>
            <w:shd w:val="clear" w:color="auto" w:fill="FFFFFF"/>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 </w:t>
            </w:r>
          </w:p>
        </w:tc>
        <w:tc>
          <w:tcPr>
            <w:tcW w:w="50"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0"/>
                <w:szCs w:val="20"/>
              </w:rPr>
            </w:pPr>
            <w:r>
              <w:rPr>
                <w:color w:val="000000"/>
                <w:sz w:val="20"/>
                <w:szCs w:val="20"/>
              </w:rPr>
              <w:t>$</w:t>
            </w:r>
          </w:p>
        </w:tc>
        <w:tc>
          <w:tcPr>
            <w:tcW w:w="307" w:type="pct"/>
            <w:tcBorders>
              <w:top w:val="single" w:sz="6" w:space="0" w:color="000000"/>
              <w:bottom w:val="double" w:sz="6" w:space="0" w:color="000000"/>
            </w:tcBorders>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jc w:val="right"/>
              <w:rPr>
                <w:color w:val="000000"/>
                <w:sz w:val="20"/>
                <w:szCs w:val="20"/>
              </w:rPr>
            </w:pPr>
            <w:r>
              <w:rPr>
                <w:color w:val="000000"/>
                <w:sz w:val="20"/>
                <w:szCs w:val="20"/>
              </w:rPr>
              <w:t>2,432,617</w:t>
            </w:r>
          </w:p>
        </w:tc>
        <w:tc>
          <w:tcPr>
            <w:tcW w:w="50" w:type="pct"/>
            <w:shd w:val="clear" w:color="auto" w:fill="FFFFFF"/>
            <w:noWrap/>
            <w:tcMar>
              <w:top w:w="15" w:type="dxa"/>
              <w:left w:w="0" w:type="dxa"/>
              <w:bottom w:w="0" w:type="dxa"/>
              <w:right w:w="15" w:type="dxa"/>
            </w:tcMar>
            <w:vAlign w:val="bottom"/>
            <w:hideMark/>
          </w:tcPr>
          <w:p w:rsidR="00000000" w:rsidRDefault="00240F6E">
            <w:pPr>
              <w:pStyle w:val="a3"/>
              <w:spacing w:before="0" w:beforeAutospacing="0" w:after="0" w:afterAutospacing="0"/>
              <w:rPr>
                <w:color w:val="000000"/>
                <w:sz w:val="2"/>
                <w:szCs w:val="2"/>
              </w:rPr>
            </w:pPr>
            <w:r>
              <w:rPr>
                <w:color w:val="000000"/>
                <w:sz w:val="2"/>
                <w:szCs w:val="2"/>
              </w:rPr>
              <w:t> </w:t>
            </w:r>
          </w:p>
        </w:tc>
      </w:tr>
    </w:tbl>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0" w:beforeAutospacing="0" w:after="0" w:afterAutospacing="0"/>
        <w:jc w:val="both"/>
        <w:rPr>
          <w:sz w:val="20"/>
          <w:szCs w:val="20"/>
        </w:rPr>
      </w:pPr>
      <w:r>
        <w:rPr>
          <w:sz w:val="20"/>
          <w:szCs w:val="20"/>
        </w:rPr>
        <w:t>The cash obligations in the table above do not include future cash obligations for variable in</w:t>
      </w:r>
      <w:r>
        <w:rPr>
          <w:sz w:val="20"/>
          <w:szCs w:val="20"/>
        </w:rPr>
        <w:t>terest expense associated with our Term Loan or the balance on our outstanding revolving credit facility as projections would be based on future outstanding balances as well as future variable interest rates, and we are unable to make reliable estimates of</w:t>
      </w:r>
      <w:r>
        <w:rPr>
          <w:sz w:val="20"/>
          <w:szCs w:val="20"/>
        </w:rPr>
        <w:t xml:space="preserve"> either. The cash obligations in the table above also do not include the interest associated with the construction of the Lansing Correctional Facility as the debt was initially and partially drawn during 2018 and 2019, and the timing and amount of the int</w:t>
      </w:r>
      <w:r>
        <w:rPr>
          <w:sz w:val="20"/>
          <w:szCs w:val="20"/>
        </w:rPr>
        <w:t>erest repayments will be based on the total amounts drawn by the date construction is complete. See Note 5 to the Company's consolidated financial statements for additional information concerning the terms of the indebtedness. The contractual facility deve</w:t>
      </w:r>
      <w:r>
        <w:rPr>
          <w:sz w:val="20"/>
          <w:szCs w:val="20"/>
        </w:rPr>
        <w:t>lopments included in the table above represent development projects for which we have already entered into a contract with a customer that obligates us to complete the development project.  Certain of our other ongoing construction projects are not current</w:t>
      </w:r>
      <w:r>
        <w:rPr>
          <w:sz w:val="20"/>
          <w:szCs w:val="20"/>
        </w:rPr>
        <w:t>ly under contract and thus are not included as a contractual obligation above as we may generally suspend or terminate such projects without substantial penalty.  With respect to the South Texas Family Residential Center, the cash obligations included in t</w:t>
      </w:r>
      <w:r>
        <w:rPr>
          <w:sz w:val="20"/>
          <w:szCs w:val="20"/>
        </w:rPr>
        <w:t>he table above reflect the full contractual obligations of the lease of the site, excluding contingent payments, even though the lease agreement provides us with the ability to terminate if ICE terminates the amended inter-governmental service agreement as</w:t>
      </w:r>
      <w:r>
        <w:rPr>
          <w:sz w:val="20"/>
          <w:szCs w:val="20"/>
        </w:rPr>
        <w:t>sociated with the facility.  </w:t>
      </w:r>
    </w:p>
    <w:p w:rsidR="00000000" w:rsidRDefault="00240F6E">
      <w:pPr>
        <w:pStyle w:val="a3"/>
        <w:spacing w:before="240" w:beforeAutospacing="0" w:after="0" w:afterAutospacing="0"/>
        <w:jc w:val="both"/>
        <w:rPr>
          <w:sz w:val="20"/>
          <w:szCs w:val="20"/>
        </w:rPr>
      </w:pPr>
      <w:r>
        <w:rPr>
          <w:sz w:val="20"/>
          <w:szCs w:val="20"/>
        </w:rPr>
        <w:t>We had $23.7 million of letters of credit outstanding at March </w:t>
      </w:r>
      <w:r>
        <w:rPr>
          <w:sz w:val="20"/>
          <w:szCs w:val="20"/>
        </w:rPr>
        <w:t>31, 2019 primarily to support our requirement to repay fees and claims under our self-insured workers' compensation plan in the event we do not repay the fees and claims due in accordance with the terms of the plan.  The letters of credit are renewable ann</w:t>
      </w:r>
      <w:r>
        <w:rPr>
          <w:sz w:val="20"/>
          <w:szCs w:val="20"/>
        </w:rPr>
        <w:t>ually.  We did not have any draws under any outstanding letters of credit during the three months ended March 31, 2019 or 2018.  </w:t>
      </w:r>
    </w:p>
    <w:p w:rsidR="00000000" w:rsidRDefault="00240F6E">
      <w:pPr>
        <w:pStyle w:val="a3"/>
        <w:spacing w:before="240" w:beforeAutospacing="0" w:after="0" w:afterAutospacing="0"/>
        <w:jc w:val="center"/>
        <w:rPr>
          <w:sz w:val="20"/>
          <w:szCs w:val="20"/>
        </w:rPr>
      </w:pPr>
      <w:r>
        <w:rPr>
          <w:sz w:val="20"/>
          <w:szCs w:val="20"/>
        </w:rPr>
        <w:t>39</w:t>
      </w:r>
    </w:p>
    <w:p w:rsidR="00000000" w:rsidRDefault="00240F6E">
      <w:pPr>
        <w:rPr>
          <w:rFonts w:eastAsia="Times New Roman"/>
        </w:rPr>
      </w:pPr>
      <w:r>
        <w:rPr>
          <w:rFonts w:eastAsia="Times New Roman"/>
        </w:rPr>
        <w:pict>
          <v:rect id="_x0000_i1065" style="width:0;height:1.5pt" o:hralign="center" o:hrstd="t" o:hr="t" fillcolor="#a0a0a0" stroked="f"/>
        </w:pict>
      </w:r>
    </w:p>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360" w:beforeAutospacing="0" w:after="0" w:afterAutospacing="0"/>
        <w:jc w:val="both"/>
        <w:rPr>
          <w:b/>
          <w:bCs/>
          <w:sz w:val="20"/>
          <w:szCs w:val="20"/>
        </w:rPr>
      </w:pPr>
      <w:r>
        <w:rPr>
          <w:b/>
          <w:bCs/>
          <w:sz w:val="20"/>
          <w:szCs w:val="20"/>
        </w:rPr>
        <w:t>INFLATION</w:t>
      </w:r>
    </w:p>
    <w:p w:rsidR="00000000" w:rsidRDefault="00240F6E">
      <w:pPr>
        <w:pStyle w:val="a3"/>
        <w:spacing w:before="120" w:beforeAutospacing="0" w:after="0" w:afterAutospacing="0"/>
        <w:jc w:val="both"/>
        <w:rPr>
          <w:sz w:val="20"/>
          <w:szCs w:val="20"/>
        </w:rPr>
      </w:pPr>
      <w:r>
        <w:rPr>
          <w:sz w:val="20"/>
          <w:szCs w:val="20"/>
        </w:rPr>
        <w:t xml:space="preserve">Many of our contracts include provisions for inflationary indexing, which </w:t>
      </w:r>
      <w:r>
        <w:rPr>
          <w:sz w:val="20"/>
          <w:szCs w:val="20"/>
        </w:rPr>
        <w:t>mitigates an adverse impact of inflation on net income.  However, a substantial increase in personnel costs, workers' compensation or food and medical expenses could have an adverse impact on our results of operations in the future to the extent that these</w:t>
      </w:r>
      <w:r>
        <w:rPr>
          <w:sz w:val="20"/>
          <w:szCs w:val="20"/>
        </w:rPr>
        <w:t xml:space="preserve"> expenses increase at a faster pace than the per diem or fixed rates we receive for our management services.  We outsource our food service operations to a third party.  The contract with our outsourced food service vendor contains certain protections agai</w:t>
      </w:r>
      <w:r>
        <w:rPr>
          <w:sz w:val="20"/>
          <w:szCs w:val="20"/>
        </w:rPr>
        <w:t>nst increases in food costs.  </w:t>
      </w:r>
    </w:p>
    <w:p w:rsidR="00000000" w:rsidRDefault="00240F6E">
      <w:pPr>
        <w:pStyle w:val="a3"/>
        <w:spacing w:before="360" w:beforeAutospacing="0" w:after="0" w:afterAutospacing="0"/>
        <w:jc w:val="both"/>
        <w:rPr>
          <w:b/>
          <w:bCs/>
          <w:sz w:val="20"/>
          <w:szCs w:val="20"/>
        </w:rPr>
      </w:pPr>
      <w:r>
        <w:rPr>
          <w:b/>
          <w:bCs/>
          <w:sz w:val="20"/>
          <w:szCs w:val="20"/>
        </w:rPr>
        <w:t xml:space="preserve">SEASONALITY AND QUARTERLY RESULTS </w:t>
      </w:r>
    </w:p>
    <w:p w:rsidR="00000000" w:rsidRDefault="00240F6E">
      <w:pPr>
        <w:pStyle w:val="a3"/>
        <w:spacing w:before="120" w:beforeAutospacing="0" w:after="0" w:afterAutospacing="0"/>
        <w:jc w:val="both"/>
        <w:rPr>
          <w:sz w:val="20"/>
          <w:szCs w:val="20"/>
        </w:rPr>
      </w:pPr>
      <w:r>
        <w:rPr>
          <w:sz w:val="20"/>
          <w:szCs w:val="20"/>
        </w:rPr>
        <w:t>Our business is subject to seasonal fluctuations.  Because we are generally compensated for operating and managing correctional, detention, and reentry facilities at a per diem rate, our fin</w:t>
      </w:r>
      <w:r>
        <w:rPr>
          <w:sz w:val="20"/>
          <w:szCs w:val="20"/>
        </w:rPr>
        <w:t>ancial results are impacted by the number of calendar days in a fiscal quarter. Our fiscal year follows the calendar year and therefore, our daily profits for the third and fourth quarters include two more days than the first quarter (except in leap years)</w:t>
      </w:r>
      <w:r>
        <w:rPr>
          <w:sz w:val="20"/>
          <w:szCs w:val="20"/>
        </w:rPr>
        <w:t xml:space="preserve"> and one more day than the second quarter.  Further, salaries and benefits represent the most significant component of operating expenses.  Significant portions of our unemployment taxes are recognized during the first quarter, when base wage rates reset f</w:t>
      </w:r>
      <w:r>
        <w:rPr>
          <w:sz w:val="20"/>
          <w:szCs w:val="20"/>
        </w:rPr>
        <w:t>or unemployment tax purposes.  Finally, quarterly results are affected by government funding initiatives, acquisitions, the timing of the opening of new facilities, or the commencement of new management contracts and related start-up expenses which may mit</w:t>
      </w:r>
      <w:r>
        <w:rPr>
          <w:sz w:val="20"/>
          <w:szCs w:val="20"/>
        </w:rPr>
        <w:t xml:space="preserve">igate or exacerbate the impact of other seasonal influences.  Because of these seasonality factors, results for any quarter are not necessarily indicative of the results that may be achieved for the full fiscal year.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1970433142"/>
        </w:trPr>
        <w:tc>
          <w:tcPr>
            <w:tcW w:w="453" w:type="pct"/>
            <w:noWrap/>
            <w:hideMark/>
          </w:tcPr>
          <w:p w:rsidR="00000000" w:rsidRDefault="00240F6E">
            <w:pPr>
              <w:pStyle w:val="a3"/>
              <w:spacing w:before="360" w:beforeAutospacing="0" w:after="0" w:afterAutospacing="0"/>
              <w:rPr>
                <w:b/>
                <w:bCs/>
                <w:sz w:val="20"/>
                <w:szCs w:val="20"/>
              </w:rPr>
            </w:pPr>
            <w:r>
              <w:rPr>
                <w:b/>
                <w:bCs/>
                <w:sz w:val="20"/>
                <w:szCs w:val="20"/>
              </w:rPr>
              <w:t>ITEM 3.</w:t>
            </w:r>
          </w:p>
        </w:tc>
        <w:tc>
          <w:tcPr>
            <w:tcW w:w="0" w:type="auto"/>
            <w:hideMark/>
          </w:tcPr>
          <w:p w:rsidR="00000000" w:rsidRDefault="00240F6E">
            <w:pPr>
              <w:pStyle w:val="a3"/>
              <w:spacing w:before="360" w:beforeAutospacing="0" w:after="0" w:afterAutospacing="0"/>
              <w:rPr>
                <w:b/>
                <w:bCs/>
                <w:sz w:val="20"/>
                <w:szCs w:val="20"/>
              </w:rPr>
            </w:pPr>
            <w:r>
              <w:rPr>
                <w:b/>
                <w:bCs/>
                <w:sz w:val="20"/>
                <w:szCs w:val="20"/>
              </w:rPr>
              <w:t>QUANTITATIVE AND QUALITATIVE D</w:t>
            </w:r>
            <w:r>
              <w:rPr>
                <w:b/>
                <w:bCs/>
                <w:sz w:val="20"/>
                <w:szCs w:val="20"/>
              </w:rPr>
              <w:t>ISCLOSURES ABOUT MARKET RISK.</w:t>
            </w:r>
          </w:p>
        </w:tc>
      </w:tr>
    </w:tbl>
    <w:p w:rsidR="00000000" w:rsidRDefault="00240F6E">
      <w:pPr>
        <w:pStyle w:val="a3"/>
        <w:spacing w:before="120" w:beforeAutospacing="0" w:after="0" w:afterAutospacing="0"/>
        <w:jc w:val="both"/>
        <w:rPr>
          <w:sz w:val="20"/>
          <w:szCs w:val="20"/>
        </w:rPr>
      </w:pPr>
      <w:r>
        <w:rPr>
          <w:sz w:val="20"/>
          <w:szCs w:val="20"/>
        </w:rPr>
        <w:t>Our primary market risk exposure is to changes in U.S. interest rates.  We are exposed to market risk related to our revolving credit facility and Term Loan because the interest rates on our revolving credit facility and Term</w:t>
      </w:r>
      <w:r>
        <w:rPr>
          <w:sz w:val="20"/>
          <w:szCs w:val="20"/>
        </w:rPr>
        <w:t xml:space="preserve"> Loan are subject to fluctuations in the market.  If the interest rate for our outstanding indebtedness under the revolving credit facility and Term Loan was 100 basis points higher or lower during the three months ended March 31, 2019, our interest expens</w:t>
      </w:r>
      <w:r>
        <w:rPr>
          <w:sz w:val="20"/>
          <w:szCs w:val="20"/>
        </w:rPr>
        <w:t>e, net of amounts capitalized, would have been increased or decreased by $1.2 million.</w:t>
      </w:r>
    </w:p>
    <w:p w:rsidR="00000000" w:rsidRDefault="00240F6E">
      <w:pPr>
        <w:pStyle w:val="a3"/>
        <w:spacing w:before="240" w:beforeAutospacing="0" w:after="0" w:afterAutospacing="0"/>
        <w:jc w:val="both"/>
        <w:rPr>
          <w:sz w:val="20"/>
          <w:szCs w:val="20"/>
        </w:rPr>
      </w:pPr>
      <w:r>
        <w:rPr>
          <w:sz w:val="20"/>
          <w:szCs w:val="20"/>
        </w:rPr>
        <w:t>As of March 31, 2019, we had outstanding $325.0 million of senior notes due 2020 with a fixed interest rate of 4.125%, $350.0 million of senior notes due 2023 with a fix</w:t>
      </w:r>
      <w:r>
        <w:rPr>
          <w:sz w:val="20"/>
          <w:szCs w:val="20"/>
        </w:rPr>
        <w:t>ed interest rate of 4.625%, $250.0 million of senior notes due 2022 with a fixed interest rate of 5.0%, and $250.0 million of senior notes due 2027 with a fixed interest rate of 4.75%. We also had $23.1 million outstanding under the Capital Commerce Note w</w:t>
      </w:r>
      <w:r>
        <w:rPr>
          <w:sz w:val="20"/>
          <w:szCs w:val="20"/>
        </w:rPr>
        <w:t>ith a fixed interest rate of 4.5%, $93.5 million outstanding under the Kansas Notes with a fixed interest rate of 4.43%, and $154.2 million outstanding under the SSA-Baltimore Note with a fixed interest rate of 4.5%.  Because the interest rates with respec</w:t>
      </w:r>
      <w:r>
        <w:rPr>
          <w:sz w:val="20"/>
          <w:szCs w:val="20"/>
        </w:rPr>
        <w:t>t to these instruments are fixed, a hypothetical 100 basis point increase or decrease in market interest rates would not have a material impact on our financial statements.</w:t>
      </w:r>
    </w:p>
    <w:p w:rsidR="00000000" w:rsidRDefault="00240F6E">
      <w:pPr>
        <w:pStyle w:val="a3"/>
        <w:spacing w:before="240" w:beforeAutospacing="0" w:after="0" w:afterAutospacing="0"/>
        <w:jc w:val="both"/>
        <w:rPr>
          <w:sz w:val="20"/>
          <w:szCs w:val="20"/>
        </w:rPr>
      </w:pPr>
      <w:r>
        <w:rPr>
          <w:sz w:val="20"/>
          <w:szCs w:val="20"/>
        </w:rPr>
        <w:t>We may, from time to time, invest our cash in a variety of short-term financial ins</w:t>
      </w:r>
      <w:r>
        <w:rPr>
          <w:sz w:val="20"/>
          <w:szCs w:val="20"/>
        </w:rPr>
        <w:t>truments.  These instruments generally consist of highly liquid investments with original maturities at the date of purchase of three months or less.  While these investments are subject to interest rate risk and will decline in value if market interest ra</w:t>
      </w:r>
      <w:r>
        <w:rPr>
          <w:sz w:val="20"/>
          <w:szCs w:val="20"/>
        </w:rPr>
        <w:t>tes increase, a hypothetical 100 basis point increase or decrease in market interest rates would not materially affect the value of these instruments.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1455245082"/>
        </w:trPr>
        <w:tc>
          <w:tcPr>
            <w:tcW w:w="453" w:type="pct"/>
            <w:noWrap/>
            <w:hideMark/>
          </w:tcPr>
          <w:p w:rsidR="00000000" w:rsidRDefault="00240F6E">
            <w:pPr>
              <w:pStyle w:val="a3"/>
              <w:spacing w:before="360" w:beforeAutospacing="0" w:after="0" w:afterAutospacing="0"/>
              <w:jc w:val="both"/>
              <w:rPr>
                <w:b/>
                <w:bCs/>
                <w:sz w:val="20"/>
                <w:szCs w:val="20"/>
              </w:rPr>
            </w:pPr>
            <w:r>
              <w:rPr>
                <w:b/>
                <w:bCs/>
                <w:sz w:val="20"/>
                <w:szCs w:val="20"/>
              </w:rPr>
              <w:t>ITEM 4.</w:t>
            </w:r>
          </w:p>
        </w:tc>
        <w:tc>
          <w:tcPr>
            <w:tcW w:w="0" w:type="auto"/>
            <w:hideMark/>
          </w:tcPr>
          <w:p w:rsidR="00000000" w:rsidRDefault="00240F6E">
            <w:pPr>
              <w:pStyle w:val="a3"/>
              <w:spacing w:before="360" w:beforeAutospacing="0" w:after="0" w:afterAutospacing="0"/>
              <w:jc w:val="both"/>
              <w:rPr>
                <w:b/>
                <w:bCs/>
                <w:sz w:val="20"/>
                <w:szCs w:val="20"/>
              </w:rPr>
            </w:pPr>
            <w:r>
              <w:rPr>
                <w:b/>
                <w:bCs/>
                <w:sz w:val="20"/>
                <w:szCs w:val="20"/>
              </w:rPr>
              <w:t>CONTROLS AND PROCEDURES.</w:t>
            </w:r>
          </w:p>
        </w:tc>
      </w:tr>
    </w:tbl>
    <w:p w:rsidR="00000000" w:rsidRDefault="00240F6E">
      <w:pPr>
        <w:pStyle w:val="a3"/>
        <w:spacing w:before="120" w:beforeAutospacing="0" w:after="0" w:afterAutospacing="0"/>
        <w:jc w:val="both"/>
        <w:rPr>
          <w:sz w:val="20"/>
          <w:szCs w:val="20"/>
        </w:rPr>
      </w:pPr>
      <w:r>
        <w:rPr>
          <w:sz w:val="20"/>
          <w:szCs w:val="20"/>
        </w:rPr>
        <w:t>An evaluation was performed under the supervision and with the participation of our senior management, including our Chief Executive Officer and Chief Financial Officer, of the effectiveness of our disclosure controls and procedures, as defined in Rules 13</w:t>
      </w:r>
      <w:r>
        <w:rPr>
          <w:sz w:val="20"/>
          <w:szCs w:val="20"/>
        </w:rPr>
        <w:t>a-15(e) and 15d-15(e) of the Exchange Act as of the end of the period covered by this quarterly report.  Based on that evaluation, our officers, including our Chief Executive Officer and Chief Financial Officer, concluded that as of the end of the period c</w:t>
      </w:r>
      <w:r>
        <w:rPr>
          <w:sz w:val="20"/>
          <w:szCs w:val="20"/>
        </w:rPr>
        <w:t>overed by this quarterly report our disclosure controls and procedures are effective to ensure that information required to be disclosed in the reports that we file or submit under the Exchange Act is recorded, processed, summarized, and reported within th</w:t>
      </w:r>
      <w:r>
        <w:rPr>
          <w:sz w:val="20"/>
          <w:szCs w:val="20"/>
        </w:rPr>
        <w:t>e time periods specified in the SEC's rules and forms and information required to be disclosed in the reports we file or submit under the Exchange Act is accumulated and communicated to our management, including our Chief Executive Officer and Chief Financ</w:t>
      </w:r>
      <w:r>
        <w:rPr>
          <w:sz w:val="20"/>
          <w:szCs w:val="20"/>
        </w:rPr>
        <w:t>ial Officer, to allow timely decisions regarding required disclosure. There have been no changes in our internal control over financial reporting that occurred during the period covered by this report that have materially affected, or are reasonably likely</w:t>
      </w:r>
      <w:r>
        <w:rPr>
          <w:sz w:val="20"/>
          <w:szCs w:val="20"/>
        </w:rPr>
        <w:t xml:space="preserve"> to materially affect, our internal control over financial reporting.</w:t>
      </w:r>
    </w:p>
    <w:p w:rsidR="00000000" w:rsidRDefault="00240F6E">
      <w:pPr>
        <w:pStyle w:val="a3"/>
        <w:spacing w:before="240" w:beforeAutospacing="0" w:after="0" w:afterAutospacing="0"/>
        <w:jc w:val="center"/>
        <w:rPr>
          <w:sz w:val="20"/>
          <w:szCs w:val="20"/>
        </w:rPr>
      </w:pPr>
      <w:r>
        <w:rPr>
          <w:sz w:val="20"/>
          <w:szCs w:val="20"/>
        </w:rPr>
        <w:t>40</w:t>
      </w:r>
    </w:p>
    <w:p w:rsidR="00000000" w:rsidRDefault="00240F6E">
      <w:pPr>
        <w:rPr>
          <w:rFonts w:eastAsia="Times New Roman"/>
        </w:rPr>
      </w:pPr>
      <w:r>
        <w:rPr>
          <w:rFonts w:eastAsia="Times New Roman"/>
        </w:rPr>
        <w:pict>
          <v:rect id="_x0000_i1066" style="width:0;height:1.5pt" o:hralign="center" o:hrstd="t" o:hr="t" fillcolor="#a0a0a0" stroked="f"/>
        </w:pict>
      </w:r>
    </w:p>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0" w:beforeAutospacing="0" w:after="0" w:afterAutospacing="0"/>
        <w:jc w:val="center"/>
        <w:rPr>
          <w:b/>
          <w:bCs/>
          <w:sz w:val="20"/>
          <w:szCs w:val="20"/>
        </w:rPr>
      </w:pPr>
      <w:r>
        <w:rPr>
          <w:b/>
          <w:bCs/>
          <w:sz w:val="20"/>
          <w:szCs w:val="20"/>
        </w:rPr>
        <w:t>PART II – OTHER INFORMATION</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57018982"/>
        </w:trPr>
        <w:tc>
          <w:tcPr>
            <w:tcW w:w="453" w:type="pct"/>
            <w:noWrap/>
            <w:hideMark/>
          </w:tcPr>
          <w:p w:rsidR="00000000" w:rsidRDefault="00240F6E">
            <w:pPr>
              <w:pStyle w:val="a3"/>
              <w:spacing w:before="0" w:beforeAutospacing="0" w:after="0" w:afterAutospacing="0"/>
              <w:jc w:val="both"/>
              <w:rPr>
                <w:b/>
                <w:bCs/>
                <w:sz w:val="20"/>
                <w:szCs w:val="20"/>
              </w:rPr>
            </w:pPr>
            <w:r>
              <w:rPr>
                <w:b/>
                <w:bCs/>
                <w:sz w:val="20"/>
                <w:szCs w:val="20"/>
              </w:rPr>
              <w:t>ITEM 1.</w:t>
            </w:r>
          </w:p>
        </w:tc>
        <w:tc>
          <w:tcPr>
            <w:tcW w:w="0" w:type="auto"/>
            <w:hideMark/>
          </w:tcPr>
          <w:p w:rsidR="00000000" w:rsidRDefault="00240F6E">
            <w:pPr>
              <w:pStyle w:val="a3"/>
              <w:spacing w:before="0" w:beforeAutospacing="0" w:after="0" w:afterAutospacing="0"/>
              <w:jc w:val="both"/>
              <w:rPr>
                <w:b/>
                <w:bCs/>
                <w:sz w:val="20"/>
                <w:szCs w:val="20"/>
              </w:rPr>
            </w:pPr>
            <w:r>
              <w:rPr>
                <w:b/>
                <w:bCs/>
                <w:sz w:val="20"/>
                <w:szCs w:val="20"/>
              </w:rPr>
              <w:t>LEGAL PROCEEDINGS.</w:t>
            </w:r>
          </w:p>
        </w:tc>
      </w:tr>
    </w:tbl>
    <w:p w:rsidR="00000000" w:rsidRDefault="00240F6E">
      <w:pPr>
        <w:pStyle w:val="a3"/>
        <w:spacing w:before="0" w:beforeAutospacing="0" w:after="0" w:afterAutospacing="0"/>
        <w:jc w:val="both"/>
        <w:rPr>
          <w:b/>
          <w:bCs/>
          <w:sz w:val="12"/>
          <w:szCs w:val="12"/>
        </w:rPr>
      </w:pPr>
      <w:r>
        <w:rPr>
          <w:b/>
          <w:bCs/>
          <w:sz w:val="12"/>
          <w:szCs w:val="12"/>
        </w:rPr>
        <w:t> </w:t>
      </w:r>
    </w:p>
    <w:p w:rsidR="00000000" w:rsidRDefault="00240F6E">
      <w:pPr>
        <w:pStyle w:val="a3"/>
        <w:spacing w:before="120" w:beforeAutospacing="0" w:after="0" w:afterAutospacing="0"/>
        <w:jc w:val="both"/>
        <w:rPr>
          <w:b/>
          <w:bCs/>
          <w:i/>
          <w:iCs/>
          <w:sz w:val="20"/>
          <w:szCs w:val="20"/>
        </w:rPr>
      </w:pPr>
      <w:r>
        <w:rPr>
          <w:b/>
          <w:bCs/>
          <w:i/>
          <w:iCs/>
          <w:sz w:val="20"/>
          <w:szCs w:val="20"/>
        </w:rPr>
        <w:t>General</w:t>
      </w:r>
    </w:p>
    <w:p w:rsidR="00000000" w:rsidRDefault="00240F6E">
      <w:pPr>
        <w:pStyle w:val="a3"/>
        <w:spacing w:before="120" w:beforeAutospacing="0" w:after="0" w:afterAutospacing="0"/>
        <w:jc w:val="both"/>
        <w:rPr>
          <w:sz w:val="20"/>
          <w:szCs w:val="20"/>
        </w:rPr>
      </w:pPr>
      <w:r>
        <w:rPr>
          <w:sz w:val="20"/>
          <w:szCs w:val="20"/>
        </w:rPr>
        <w:t>The nature of our business results in claims and litigation alleging that we a</w:t>
      </w:r>
      <w:r>
        <w:rPr>
          <w:sz w:val="20"/>
          <w:szCs w:val="20"/>
        </w:rPr>
        <w:t>re liable for damages arising from the conduct of our employees or others. In the opinion of management, other than the litigation matter discussed below, there are no pending legal proceedings that would have a material effect on our financial position, r</w:t>
      </w:r>
      <w:r>
        <w:rPr>
          <w:sz w:val="20"/>
          <w:szCs w:val="20"/>
        </w:rPr>
        <w:t>esults of operations or cash flows. Claims and legal proceedings are, however, subject to inherent uncertainties, and unfavorable decisions and rulings could occur that could have a material adverse impact on our financial position, results of operations o</w:t>
      </w:r>
      <w:r>
        <w:rPr>
          <w:sz w:val="20"/>
          <w:szCs w:val="20"/>
        </w:rPr>
        <w:t xml:space="preserve">r cash flows for the period in which such decisions and rulings occur, or future periods. </w:t>
      </w:r>
    </w:p>
    <w:p w:rsidR="00000000" w:rsidRDefault="00240F6E">
      <w:pPr>
        <w:pStyle w:val="a3"/>
        <w:spacing w:before="120" w:beforeAutospacing="0" w:after="0" w:afterAutospacing="0"/>
        <w:jc w:val="both"/>
        <w:rPr>
          <w:sz w:val="20"/>
          <w:szCs w:val="20"/>
        </w:rPr>
      </w:pPr>
      <w:r>
        <w:rPr>
          <w:sz w:val="20"/>
          <w:szCs w:val="20"/>
        </w:rPr>
        <w:t> </w:t>
      </w:r>
    </w:p>
    <w:p w:rsidR="00000000" w:rsidRDefault="00240F6E">
      <w:pPr>
        <w:pStyle w:val="a3"/>
        <w:spacing w:before="0" w:beforeAutospacing="0" w:after="0" w:afterAutospacing="0"/>
        <w:jc w:val="both"/>
        <w:rPr>
          <w:b/>
          <w:bCs/>
          <w:i/>
          <w:iCs/>
          <w:sz w:val="20"/>
          <w:szCs w:val="20"/>
        </w:rPr>
      </w:pPr>
      <w:r>
        <w:rPr>
          <w:b/>
          <w:bCs/>
          <w:i/>
          <w:iCs/>
          <w:sz w:val="20"/>
          <w:szCs w:val="20"/>
        </w:rPr>
        <w:t>Litigation</w:t>
      </w:r>
    </w:p>
    <w:p w:rsidR="00000000" w:rsidRDefault="00240F6E">
      <w:pPr>
        <w:pStyle w:val="a3"/>
        <w:spacing w:before="240" w:beforeAutospacing="0" w:after="0" w:afterAutospacing="0"/>
        <w:jc w:val="both"/>
        <w:rPr>
          <w:sz w:val="20"/>
          <w:szCs w:val="20"/>
        </w:rPr>
      </w:pPr>
      <w:r>
        <w:rPr>
          <w:sz w:val="20"/>
          <w:szCs w:val="20"/>
        </w:rPr>
        <w:t>In a memorandum to the BOP dated August 18, 2016, the DOJ directed that, as each contract with privately operated prisons reaches the end of its term, t</w:t>
      </w:r>
      <w:r>
        <w:rPr>
          <w:sz w:val="20"/>
          <w:szCs w:val="20"/>
        </w:rPr>
        <w:t>he BOP should either decline to renew that contract or substantially reduce its scope in a manner consistent with law and the overall decline of the BOP's inmate population.  In addition to the decline in the BOP's inmate population, the DOJ memorandum cit</w:t>
      </w:r>
      <w:r>
        <w:rPr>
          <w:sz w:val="20"/>
          <w:szCs w:val="20"/>
        </w:rPr>
        <w:t>es purported operational, programming, and cost efficiency factors as reasons for the DOJ directive.  On February 21, 2017, the newly appointed U.S. Attorney General issued a memorandum rescinding the DOJ's prior directive stating the memorandum changed lo</w:t>
      </w:r>
      <w:r>
        <w:rPr>
          <w:sz w:val="20"/>
          <w:szCs w:val="20"/>
        </w:rPr>
        <w:t>ng-standing policy and practice and impaired the BOP's ability to meet the future needs of the federal correctional system.</w:t>
      </w:r>
    </w:p>
    <w:p w:rsidR="00000000" w:rsidRDefault="00240F6E">
      <w:pPr>
        <w:pStyle w:val="a3"/>
        <w:spacing w:before="240" w:beforeAutospacing="0" w:after="0" w:afterAutospacing="0"/>
        <w:jc w:val="both"/>
        <w:rPr>
          <w:sz w:val="20"/>
          <w:szCs w:val="20"/>
        </w:rPr>
      </w:pPr>
      <w:r>
        <w:rPr>
          <w:sz w:val="20"/>
          <w:szCs w:val="20"/>
        </w:rPr>
        <w:t>Following the release of the August 18, 2016 DOJ memorandum, a purported securities class action lawsuit was filed against us and certain of our current and former officers in the United States District Court for the Middle District of Tennessee, or the Di</w:t>
      </w:r>
      <w:r>
        <w:rPr>
          <w:sz w:val="20"/>
          <w:szCs w:val="20"/>
        </w:rPr>
        <w:t xml:space="preserve">strict Court, captioned </w:t>
      </w:r>
      <w:r>
        <w:rPr>
          <w:i/>
          <w:iCs/>
          <w:sz w:val="20"/>
          <w:szCs w:val="20"/>
        </w:rPr>
        <w:t>Grae v. Corrections Corporation of America et al.</w:t>
      </w:r>
      <w:r>
        <w:rPr>
          <w:sz w:val="20"/>
          <w:szCs w:val="20"/>
        </w:rPr>
        <w:t>, Case No. 3:16-cv-02267.  The lawsuit is brought on behalf of a putative class of shareholders who purchased or acquired our securities between February 27, 2012 and August 17, 2016.</w:t>
      </w:r>
      <w:r>
        <w:rPr>
          <w:sz w:val="20"/>
          <w:szCs w:val="20"/>
        </w:rPr>
        <w:t>  In general, the lawsuit alleges that, during this timeframe, our public statements were false and/or misleading regarding the purported operational, programming, and cost efficiency factors cited in the DOJ memorandum and, as a result, our stock price wa</w:t>
      </w:r>
      <w:r>
        <w:rPr>
          <w:sz w:val="20"/>
          <w:szCs w:val="20"/>
        </w:rPr>
        <w:t>s artificially inflated.  The lawsuit alleges that the publication of the DOJ memorandum on August 18, 2016 revealed the alleged fraud, causing the per share price of our stock to decline, thereby causing harm to the putative class of shareholders.  </w:t>
      </w:r>
    </w:p>
    <w:p w:rsidR="00000000" w:rsidRDefault="00240F6E">
      <w:pPr>
        <w:pStyle w:val="a3"/>
        <w:spacing w:before="240" w:beforeAutospacing="0" w:after="0" w:afterAutospacing="0"/>
        <w:jc w:val="both"/>
        <w:rPr>
          <w:sz w:val="20"/>
          <w:szCs w:val="20"/>
        </w:rPr>
      </w:pPr>
      <w:r>
        <w:rPr>
          <w:sz w:val="20"/>
          <w:szCs w:val="20"/>
        </w:rPr>
        <w:t>On De</w:t>
      </w:r>
      <w:r>
        <w:rPr>
          <w:sz w:val="20"/>
          <w:szCs w:val="20"/>
        </w:rPr>
        <w:t>cember 18, 2017, the District Court denied our motion to dismiss.  On January 18, 2019, the District Court denied plaintiffs' motion to certify the matter as a class action. Plaintiffs timely moved the court to reconsider that ruling, simultaneously initia</w:t>
      </w:r>
      <w:r>
        <w:rPr>
          <w:sz w:val="20"/>
          <w:szCs w:val="20"/>
        </w:rPr>
        <w:t xml:space="preserve">ting the process to seek permission to appeal to the Sixth Circuit Court of Appeals should the court deny their motion.  On March 26, 2019, the District Court granted plaintiffs’ reconsideration motion and certified a class proposed by the plaintiff. </w:t>
      </w:r>
      <w:r>
        <w:rPr>
          <w:color w:val="000000"/>
          <w:sz w:val="20"/>
          <w:szCs w:val="20"/>
        </w:rPr>
        <w:t>On Ap</w:t>
      </w:r>
      <w:r>
        <w:rPr>
          <w:color w:val="000000"/>
          <w:sz w:val="20"/>
          <w:szCs w:val="20"/>
        </w:rPr>
        <w:t>ril 9, 2019, we timely petitioned the Sixth Circuit Court of Appeals for permission to appeal the District Court’s certification of the class, and that petition is pending</w:t>
      </w:r>
      <w:r>
        <w:rPr>
          <w:sz w:val="20"/>
          <w:szCs w:val="20"/>
        </w:rPr>
        <w:t>.</w:t>
      </w:r>
    </w:p>
    <w:p w:rsidR="00000000" w:rsidRDefault="00240F6E">
      <w:pPr>
        <w:pStyle w:val="a3"/>
        <w:spacing w:before="240" w:beforeAutospacing="0" w:after="0" w:afterAutospacing="0"/>
        <w:jc w:val="both"/>
        <w:rPr>
          <w:sz w:val="20"/>
          <w:szCs w:val="20"/>
        </w:rPr>
      </w:pPr>
      <w:r>
        <w:rPr>
          <w:sz w:val="20"/>
          <w:szCs w:val="20"/>
        </w:rPr>
        <w:t>We believe the lawsuit is entirely without merit and intend to vigorously defend ag</w:t>
      </w:r>
      <w:r>
        <w:rPr>
          <w:sz w:val="20"/>
          <w:szCs w:val="20"/>
        </w:rPr>
        <w:t xml:space="preserve">ainst it. In addition, we maintain insurance, with certain self-insured retention amounts, to cover the alleged claims which may mitigate the risk that such litigation would have a material adverse effect on our financial condition, results of operations, </w:t>
      </w:r>
      <w:r>
        <w:rPr>
          <w:sz w:val="20"/>
          <w:szCs w:val="20"/>
        </w:rPr>
        <w:t>or cash flows.  </w:t>
      </w:r>
    </w:p>
    <w:p w:rsidR="00000000" w:rsidRDefault="00240F6E">
      <w:pPr>
        <w:pStyle w:val="a3"/>
        <w:spacing w:before="0" w:beforeAutospacing="0" w:after="0" w:afterAutospacing="0"/>
        <w:jc w:val="both"/>
        <w:rPr>
          <w:sz w:val="20"/>
          <w:szCs w:val="20"/>
        </w:rPr>
      </w:pPr>
      <w:r>
        <w:rPr>
          <w:sz w:val="20"/>
          <w:szCs w:val="20"/>
        </w:rPr>
        <w:t> </w:t>
      </w:r>
    </w:p>
    <w:p w:rsidR="00000000" w:rsidRDefault="00240F6E">
      <w:pPr>
        <w:pStyle w:val="a3"/>
        <w:spacing w:before="0" w:beforeAutospacing="0" w:after="0" w:afterAutospacing="0"/>
        <w:jc w:val="both"/>
        <w:rPr>
          <w:sz w:val="20"/>
          <w:szCs w:val="20"/>
        </w:rPr>
      </w:pPr>
      <w:r>
        <w:rPr>
          <w:sz w:val="20"/>
          <w:szCs w:val="20"/>
        </w:rPr>
        <w:t>Also, see the information reported in Note 8 to the financial statements included in Part I, which information is incorporated hereunder by this reference.</w:t>
      </w:r>
    </w:p>
    <w:p w:rsidR="00000000" w:rsidRDefault="00240F6E">
      <w:pPr>
        <w:pStyle w:val="a3"/>
        <w:spacing w:before="16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78"/>
        <w:gridCol w:w="7428"/>
      </w:tblGrid>
      <w:tr w:rsidR="00000000">
        <w:trPr>
          <w:divId w:val="224949994"/>
        </w:trPr>
        <w:tc>
          <w:tcPr>
            <w:tcW w:w="453" w:type="pct"/>
            <w:noWrap/>
            <w:hideMark/>
          </w:tcPr>
          <w:p w:rsidR="00000000" w:rsidRDefault="00240F6E">
            <w:pPr>
              <w:pStyle w:val="a3"/>
              <w:spacing w:before="0" w:beforeAutospacing="0" w:after="0" w:afterAutospacing="0"/>
              <w:jc w:val="both"/>
              <w:rPr>
                <w:b/>
                <w:bCs/>
                <w:sz w:val="20"/>
                <w:szCs w:val="20"/>
              </w:rPr>
            </w:pPr>
            <w:r>
              <w:rPr>
                <w:b/>
                <w:bCs/>
                <w:sz w:val="20"/>
                <w:szCs w:val="20"/>
              </w:rPr>
              <w:t>ITEM 1A.</w:t>
            </w:r>
          </w:p>
        </w:tc>
        <w:tc>
          <w:tcPr>
            <w:tcW w:w="0" w:type="auto"/>
            <w:hideMark/>
          </w:tcPr>
          <w:p w:rsidR="00000000" w:rsidRDefault="00240F6E">
            <w:pPr>
              <w:pStyle w:val="a3"/>
              <w:spacing w:before="0" w:beforeAutospacing="0" w:after="0" w:afterAutospacing="0"/>
              <w:jc w:val="both"/>
              <w:rPr>
                <w:b/>
                <w:bCs/>
                <w:sz w:val="20"/>
                <w:szCs w:val="20"/>
              </w:rPr>
            </w:pPr>
            <w:r>
              <w:rPr>
                <w:b/>
                <w:bCs/>
                <w:sz w:val="20"/>
                <w:szCs w:val="20"/>
              </w:rPr>
              <w:t>RISK FACTORS.</w:t>
            </w:r>
          </w:p>
        </w:tc>
      </w:tr>
    </w:tbl>
    <w:p w:rsidR="00000000" w:rsidRDefault="00240F6E">
      <w:pPr>
        <w:pStyle w:val="a3"/>
        <w:spacing w:before="0" w:beforeAutospacing="0" w:after="0" w:afterAutospacing="0"/>
        <w:jc w:val="both"/>
        <w:rPr>
          <w:sz w:val="20"/>
          <w:szCs w:val="20"/>
        </w:rPr>
      </w:pPr>
      <w:r>
        <w:rPr>
          <w:sz w:val="20"/>
          <w:szCs w:val="20"/>
        </w:rPr>
        <w:t> </w:t>
      </w:r>
    </w:p>
    <w:p w:rsidR="00000000" w:rsidRDefault="00240F6E">
      <w:pPr>
        <w:pStyle w:val="a3"/>
        <w:spacing w:before="0" w:beforeAutospacing="0" w:after="0" w:afterAutospacing="0"/>
        <w:jc w:val="both"/>
        <w:rPr>
          <w:sz w:val="20"/>
          <w:szCs w:val="20"/>
        </w:rPr>
      </w:pPr>
      <w:r>
        <w:rPr>
          <w:sz w:val="20"/>
          <w:szCs w:val="20"/>
        </w:rPr>
        <w:t>There have been no material changes in our Item 1A, "</w:t>
      </w:r>
      <w:r>
        <w:rPr>
          <w:sz w:val="20"/>
          <w:szCs w:val="20"/>
        </w:rPr>
        <w:t>Risk Factors" as previously disclosed in our Annual Report on Form 10-K for the year ended December 31, 2018.</w:t>
      </w:r>
    </w:p>
    <w:p w:rsidR="00000000" w:rsidRDefault="00240F6E">
      <w:pPr>
        <w:pStyle w:val="a3"/>
        <w:spacing w:before="0" w:beforeAutospacing="0" w:after="0" w:afterAutospacing="0"/>
        <w:jc w:val="both"/>
        <w:rPr>
          <w:sz w:val="20"/>
          <w:szCs w:val="20"/>
        </w:rPr>
      </w:pPr>
      <w:r>
        <w:rPr>
          <w:sz w:val="20"/>
          <w:szCs w:val="20"/>
        </w:rPr>
        <w:t> </w:t>
      </w:r>
    </w:p>
    <w:p w:rsidR="00000000" w:rsidRDefault="00240F6E">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1748111604"/>
        </w:trPr>
        <w:tc>
          <w:tcPr>
            <w:tcW w:w="453" w:type="pct"/>
            <w:noWrap/>
            <w:hideMark/>
          </w:tcPr>
          <w:p w:rsidR="00000000" w:rsidRDefault="00240F6E">
            <w:pPr>
              <w:pStyle w:val="a3"/>
              <w:spacing w:before="0" w:beforeAutospacing="0" w:after="0" w:afterAutospacing="0"/>
              <w:jc w:val="both"/>
              <w:rPr>
                <w:b/>
                <w:bCs/>
                <w:sz w:val="20"/>
                <w:szCs w:val="20"/>
              </w:rPr>
            </w:pPr>
            <w:r>
              <w:rPr>
                <w:b/>
                <w:bCs/>
                <w:sz w:val="20"/>
                <w:szCs w:val="20"/>
              </w:rPr>
              <w:t>ITEM 2.</w:t>
            </w:r>
          </w:p>
        </w:tc>
        <w:tc>
          <w:tcPr>
            <w:tcW w:w="0" w:type="auto"/>
            <w:hideMark/>
          </w:tcPr>
          <w:p w:rsidR="00000000" w:rsidRDefault="00240F6E">
            <w:pPr>
              <w:pStyle w:val="a3"/>
              <w:spacing w:before="0" w:beforeAutospacing="0" w:after="0" w:afterAutospacing="0"/>
              <w:jc w:val="both"/>
              <w:rPr>
                <w:b/>
                <w:bCs/>
                <w:sz w:val="20"/>
                <w:szCs w:val="20"/>
              </w:rPr>
            </w:pPr>
            <w:r>
              <w:rPr>
                <w:b/>
                <w:bCs/>
                <w:sz w:val="20"/>
                <w:szCs w:val="20"/>
              </w:rPr>
              <w:t>UNREGISTERED SALES OF EQUITY SECURITIES AND USE OF PROCEEDS.</w:t>
            </w:r>
          </w:p>
        </w:tc>
      </w:tr>
    </w:tbl>
    <w:p w:rsidR="00000000" w:rsidRDefault="00240F6E">
      <w:pPr>
        <w:pStyle w:val="a3"/>
        <w:spacing w:before="120" w:beforeAutospacing="0" w:after="0" w:afterAutospacing="0"/>
        <w:rPr>
          <w:sz w:val="20"/>
          <w:szCs w:val="20"/>
        </w:rPr>
      </w:pPr>
      <w:r>
        <w:rPr>
          <w:sz w:val="20"/>
          <w:szCs w:val="20"/>
        </w:rPr>
        <w:t>None.</w:t>
      </w:r>
    </w:p>
    <w:p w:rsidR="00000000" w:rsidRDefault="00240F6E">
      <w:pPr>
        <w:pStyle w:val="a3"/>
        <w:spacing w:before="160" w:beforeAutospacing="0" w:after="0" w:afterAutospacing="0"/>
        <w:jc w:val="both"/>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1161119285"/>
        </w:trPr>
        <w:tc>
          <w:tcPr>
            <w:tcW w:w="453" w:type="pct"/>
            <w:noWrap/>
            <w:hideMark/>
          </w:tcPr>
          <w:p w:rsidR="00000000" w:rsidRDefault="00240F6E">
            <w:pPr>
              <w:pStyle w:val="a3"/>
              <w:spacing w:before="0" w:beforeAutospacing="0" w:after="0" w:afterAutospacing="0"/>
              <w:jc w:val="both"/>
              <w:rPr>
                <w:b/>
                <w:bCs/>
                <w:sz w:val="20"/>
                <w:szCs w:val="20"/>
              </w:rPr>
            </w:pPr>
            <w:r>
              <w:rPr>
                <w:b/>
                <w:bCs/>
                <w:sz w:val="20"/>
                <w:szCs w:val="20"/>
              </w:rPr>
              <w:t>ITEM 3.</w:t>
            </w:r>
          </w:p>
        </w:tc>
        <w:tc>
          <w:tcPr>
            <w:tcW w:w="0" w:type="auto"/>
            <w:hideMark/>
          </w:tcPr>
          <w:p w:rsidR="00000000" w:rsidRDefault="00240F6E">
            <w:pPr>
              <w:pStyle w:val="a3"/>
              <w:spacing w:before="0" w:beforeAutospacing="0" w:after="0" w:afterAutospacing="0"/>
              <w:jc w:val="both"/>
              <w:rPr>
                <w:b/>
                <w:bCs/>
                <w:sz w:val="20"/>
                <w:szCs w:val="20"/>
              </w:rPr>
            </w:pPr>
            <w:r>
              <w:rPr>
                <w:b/>
                <w:bCs/>
                <w:sz w:val="20"/>
                <w:szCs w:val="20"/>
              </w:rPr>
              <w:t>DEFAULTS UPON SENIOR SECURITIES.</w:t>
            </w:r>
          </w:p>
        </w:tc>
      </w:tr>
    </w:tbl>
    <w:p w:rsidR="00000000" w:rsidRDefault="00240F6E">
      <w:pPr>
        <w:pStyle w:val="a3"/>
        <w:spacing w:before="0" w:beforeAutospacing="0" w:after="0" w:afterAutospacing="0"/>
        <w:jc w:val="both"/>
        <w:rPr>
          <w:sz w:val="12"/>
          <w:szCs w:val="12"/>
        </w:rPr>
      </w:pPr>
      <w:r>
        <w:rPr>
          <w:sz w:val="12"/>
          <w:szCs w:val="12"/>
        </w:rPr>
        <w:t> </w:t>
      </w:r>
    </w:p>
    <w:p w:rsidR="00000000" w:rsidRDefault="00240F6E">
      <w:pPr>
        <w:pStyle w:val="a3"/>
        <w:spacing w:before="0" w:beforeAutospacing="0" w:after="0" w:afterAutospacing="0"/>
        <w:jc w:val="both"/>
        <w:rPr>
          <w:sz w:val="20"/>
          <w:szCs w:val="20"/>
        </w:rPr>
      </w:pPr>
      <w:r>
        <w:rPr>
          <w:sz w:val="20"/>
          <w:szCs w:val="20"/>
        </w:rPr>
        <w:t>None.</w:t>
      </w:r>
    </w:p>
    <w:p w:rsidR="00000000" w:rsidRDefault="00240F6E">
      <w:pPr>
        <w:pStyle w:val="a3"/>
        <w:spacing w:before="240" w:beforeAutospacing="0" w:after="0" w:afterAutospacing="0"/>
        <w:jc w:val="center"/>
        <w:rPr>
          <w:sz w:val="20"/>
          <w:szCs w:val="20"/>
        </w:rPr>
      </w:pPr>
      <w:r>
        <w:rPr>
          <w:sz w:val="20"/>
          <w:szCs w:val="20"/>
        </w:rPr>
        <w:t>41</w:t>
      </w:r>
    </w:p>
    <w:p w:rsidR="00000000" w:rsidRDefault="00240F6E">
      <w:pPr>
        <w:rPr>
          <w:rFonts w:eastAsia="Times New Roman"/>
        </w:rPr>
      </w:pPr>
      <w:r>
        <w:rPr>
          <w:rFonts w:eastAsia="Times New Roman"/>
        </w:rPr>
        <w:pict>
          <v:rect id="_x0000_i1067" style="width:0;height:1.5pt" o:hralign="center" o:hrstd="t" o:hr="t" fillcolor="#a0a0a0" stroked="f"/>
        </w:pict>
      </w:r>
    </w:p>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160" w:beforeAutospacing="0" w:after="0" w:afterAutospacing="0"/>
        <w:ind w:left="1071" w:hanging="111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661012319"/>
        </w:trPr>
        <w:tc>
          <w:tcPr>
            <w:tcW w:w="453" w:type="pct"/>
            <w:noWrap/>
            <w:hideMark/>
          </w:tcPr>
          <w:p w:rsidR="00000000" w:rsidRDefault="00240F6E">
            <w:pPr>
              <w:pStyle w:val="a3"/>
              <w:spacing w:before="0" w:beforeAutospacing="0" w:after="0" w:afterAutospacing="0"/>
              <w:jc w:val="both"/>
              <w:rPr>
                <w:b/>
                <w:bCs/>
                <w:sz w:val="20"/>
                <w:szCs w:val="20"/>
              </w:rPr>
            </w:pPr>
            <w:r>
              <w:rPr>
                <w:b/>
                <w:bCs/>
                <w:sz w:val="20"/>
                <w:szCs w:val="20"/>
              </w:rPr>
              <w:t>ITEM 4.</w:t>
            </w:r>
          </w:p>
        </w:tc>
        <w:tc>
          <w:tcPr>
            <w:tcW w:w="0" w:type="auto"/>
            <w:hideMark/>
          </w:tcPr>
          <w:p w:rsidR="00000000" w:rsidRDefault="00240F6E">
            <w:pPr>
              <w:pStyle w:val="a3"/>
              <w:spacing w:before="0" w:beforeAutospacing="0" w:after="0" w:afterAutospacing="0"/>
              <w:jc w:val="both"/>
              <w:rPr>
                <w:b/>
                <w:bCs/>
                <w:sz w:val="20"/>
                <w:szCs w:val="20"/>
              </w:rPr>
            </w:pPr>
            <w:r>
              <w:rPr>
                <w:b/>
                <w:bCs/>
                <w:sz w:val="20"/>
                <w:szCs w:val="20"/>
              </w:rPr>
              <w:t>MINE SAFETY DISCLOSURES.</w:t>
            </w:r>
          </w:p>
        </w:tc>
      </w:tr>
    </w:tbl>
    <w:p w:rsidR="00000000" w:rsidRDefault="00240F6E">
      <w:pPr>
        <w:pStyle w:val="a3"/>
        <w:spacing w:before="0" w:beforeAutospacing="0" w:after="0" w:afterAutospacing="0"/>
        <w:ind w:left="1547" w:hanging="1632"/>
        <w:rPr>
          <w:b/>
          <w:bCs/>
          <w:sz w:val="12"/>
          <w:szCs w:val="12"/>
        </w:rPr>
      </w:pPr>
      <w:r>
        <w:rPr>
          <w:b/>
          <w:bCs/>
          <w:sz w:val="12"/>
          <w:szCs w:val="12"/>
        </w:rPr>
        <w:t> </w:t>
      </w:r>
    </w:p>
    <w:p w:rsidR="00000000" w:rsidRDefault="00240F6E">
      <w:pPr>
        <w:pStyle w:val="a3"/>
        <w:spacing w:before="0" w:beforeAutospacing="0" w:after="0" w:afterAutospacing="0"/>
        <w:ind w:left="1547" w:hanging="1632"/>
        <w:rPr>
          <w:sz w:val="20"/>
          <w:szCs w:val="20"/>
        </w:rPr>
      </w:pPr>
      <w:r>
        <w:rPr>
          <w:sz w:val="20"/>
          <w:szCs w:val="20"/>
        </w:rPr>
        <w:t>None.</w:t>
      </w:r>
    </w:p>
    <w:p w:rsidR="00000000" w:rsidRDefault="00240F6E">
      <w:pPr>
        <w:pStyle w:val="a3"/>
        <w:spacing w:before="160" w:beforeAutospacing="0" w:after="0" w:afterAutospacing="0"/>
        <w:ind w:left="1547" w:hanging="1632"/>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1535267365"/>
        </w:trPr>
        <w:tc>
          <w:tcPr>
            <w:tcW w:w="453" w:type="pct"/>
            <w:noWrap/>
            <w:hideMark/>
          </w:tcPr>
          <w:p w:rsidR="00000000" w:rsidRDefault="00240F6E">
            <w:pPr>
              <w:pStyle w:val="a3"/>
              <w:spacing w:before="0" w:beforeAutospacing="0" w:after="0" w:afterAutospacing="0"/>
              <w:jc w:val="both"/>
              <w:rPr>
                <w:b/>
                <w:bCs/>
                <w:sz w:val="20"/>
                <w:szCs w:val="20"/>
              </w:rPr>
            </w:pPr>
            <w:r>
              <w:rPr>
                <w:b/>
                <w:bCs/>
                <w:sz w:val="20"/>
                <w:szCs w:val="20"/>
              </w:rPr>
              <w:t>ITEM 5.</w:t>
            </w:r>
          </w:p>
        </w:tc>
        <w:tc>
          <w:tcPr>
            <w:tcW w:w="0" w:type="auto"/>
            <w:hideMark/>
          </w:tcPr>
          <w:p w:rsidR="00000000" w:rsidRDefault="00240F6E">
            <w:pPr>
              <w:pStyle w:val="a3"/>
              <w:spacing w:before="0" w:beforeAutospacing="0" w:after="0" w:afterAutospacing="0"/>
              <w:jc w:val="both"/>
              <w:rPr>
                <w:b/>
                <w:bCs/>
                <w:sz w:val="20"/>
                <w:szCs w:val="20"/>
              </w:rPr>
            </w:pPr>
            <w:r>
              <w:rPr>
                <w:b/>
                <w:bCs/>
                <w:sz w:val="20"/>
                <w:szCs w:val="20"/>
              </w:rPr>
              <w:t>OTHER INFORMATION.</w:t>
            </w:r>
          </w:p>
        </w:tc>
      </w:tr>
    </w:tbl>
    <w:p w:rsidR="00000000" w:rsidRDefault="00240F6E">
      <w:pPr>
        <w:pStyle w:val="a3"/>
        <w:spacing w:before="0" w:beforeAutospacing="0" w:after="0" w:afterAutospacing="0"/>
        <w:ind w:left="1547" w:hanging="1632"/>
        <w:jc w:val="both"/>
        <w:rPr>
          <w:sz w:val="12"/>
          <w:szCs w:val="12"/>
        </w:rPr>
      </w:pPr>
      <w:r>
        <w:rPr>
          <w:sz w:val="12"/>
          <w:szCs w:val="12"/>
        </w:rPr>
        <w:t> </w:t>
      </w:r>
    </w:p>
    <w:p w:rsidR="00000000" w:rsidRDefault="00240F6E">
      <w:pPr>
        <w:pStyle w:val="a3"/>
        <w:spacing w:before="0" w:beforeAutospacing="0" w:after="0" w:afterAutospacing="0"/>
        <w:ind w:left="1547" w:hanging="1632"/>
        <w:jc w:val="both"/>
        <w:rPr>
          <w:sz w:val="20"/>
          <w:szCs w:val="20"/>
        </w:rPr>
      </w:pPr>
      <w:r>
        <w:rPr>
          <w:sz w:val="20"/>
          <w:szCs w:val="20"/>
        </w:rPr>
        <w:t>None.</w:t>
      </w:r>
    </w:p>
    <w:p w:rsidR="00000000" w:rsidRDefault="00240F6E">
      <w:pPr>
        <w:pStyle w:val="a3"/>
        <w:spacing w:before="160" w:beforeAutospacing="0" w:after="0" w:afterAutospacing="0"/>
        <w:jc w:val="both"/>
        <w:rPr>
          <w:b/>
          <w:bCs/>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753"/>
        <w:gridCol w:w="7553"/>
      </w:tblGrid>
      <w:tr w:rsidR="00000000">
        <w:trPr>
          <w:divId w:val="1813719221"/>
        </w:trPr>
        <w:tc>
          <w:tcPr>
            <w:tcW w:w="453" w:type="pct"/>
            <w:noWrap/>
            <w:hideMark/>
          </w:tcPr>
          <w:p w:rsidR="00000000" w:rsidRDefault="00240F6E">
            <w:pPr>
              <w:pStyle w:val="a3"/>
              <w:spacing w:before="0" w:beforeAutospacing="0" w:after="0" w:afterAutospacing="0"/>
              <w:jc w:val="both"/>
              <w:rPr>
                <w:b/>
                <w:bCs/>
                <w:sz w:val="20"/>
                <w:szCs w:val="20"/>
              </w:rPr>
            </w:pPr>
            <w:r>
              <w:rPr>
                <w:b/>
                <w:bCs/>
                <w:sz w:val="20"/>
                <w:szCs w:val="20"/>
              </w:rPr>
              <w:t>ITEM 6.</w:t>
            </w:r>
          </w:p>
        </w:tc>
        <w:tc>
          <w:tcPr>
            <w:tcW w:w="0" w:type="auto"/>
            <w:hideMark/>
          </w:tcPr>
          <w:p w:rsidR="00000000" w:rsidRDefault="00240F6E">
            <w:pPr>
              <w:pStyle w:val="a3"/>
              <w:spacing w:before="0" w:beforeAutospacing="0" w:after="0" w:afterAutospacing="0"/>
              <w:jc w:val="both"/>
              <w:rPr>
                <w:b/>
                <w:bCs/>
                <w:sz w:val="20"/>
                <w:szCs w:val="20"/>
              </w:rPr>
            </w:pPr>
            <w:r>
              <w:rPr>
                <w:b/>
                <w:bCs/>
                <w:sz w:val="20"/>
                <w:szCs w:val="20"/>
              </w:rPr>
              <w:t>EXHIBITS.</w:t>
            </w:r>
          </w:p>
        </w:tc>
      </w:tr>
    </w:tbl>
    <w:p w:rsidR="00000000" w:rsidRDefault="00240F6E">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50"/>
        <w:gridCol w:w="163"/>
        <w:gridCol w:w="7293"/>
      </w:tblGrid>
      <w:tr w:rsidR="00000000">
        <w:trPr>
          <w:divId w:val="178549469"/>
        </w:trPr>
        <w:tc>
          <w:tcPr>
            <w:tcW w:w="492" w:type="pct"/>
            <w:vAlign w:val="center"/>
            <w:hideMark/>
          </w:tcPr>
          <w:p w:rsidR="00000000" w:rsidRDefault="00240F6E">
            <w:pPr>
              <w:rPr>
                <w:sz w:val="20"/>
                <w:szCs w:val="20"/>
              </w:rPr>
            </w:pPr>
          </w:p>
        </w:tc>
        <w:tc>
          <w:tcPr>
            <w:tcW w:w="108" w:type="pct"/>
            <w:vAlign w:val="center"/>
            <w:hideMark/>
          </w:tcPr>
          <w:p w:rsidR="00000000" w:rsidRDefault="00240F6E">
            <w:pPr>
              <w:spacing w:before="100" w:beforeAutospacing="1" w:after="100" w:afterAutospacing="1"/>
              <w:rPr>
                <w:rFonts w:eastAsia="Times New Roman"/>
                <w:sz w:val="20"/>
                <w:szCs w:val="20"/>
              </w:rPr>
            </w:pPr>
          </w:p>
        </w:tc>
        <w:tc>
          <w:tcPr>
            <w:tcW w:w="4399" w:type="pct"/>
            <w:vAlign w:val="center"/>
            <w:hideMark/>
          </w:tcPr>
          <w:p w:rsidR="00000000" w:rsidRDefault="00240F6E">
            <w:pPr>
              <w:spacing w:before="100" w:beforeAutospacing="1" w:after="100" w:afterAutospacing="1"/>
              <w:rPr>
                <w:rFonts w:eastAsia="Times New Roman"/>
                <w:sz w:val="20"/>
                <w:szCs w:val="20"/>
              </w:rPr>
            </w:pPr>
          </w:p>
        </w:tc>
      </w:tr>
      <w:tr w:rsidR="00000000">
        <w:trPr>
          <w:divId w:val="178549469"/>
        </w:trPr>
        <w:tc>
          <w:tcPr>
            <w:tcW w:w="0" w:type="auto"/>
            <w:vAlign w:val="bottom"/>
            <w:hideMark/>
          </w:tcPr>
          <w:p w:rsidR="00000000" w:rsidRDefault="00240F6E">
            <w:pPr>
              <w:pStyle w:val="a3"/>
              <w:spacing w:before="0" w:beforeAutospacing="0" w:after="0" w:afterAutospacing="0"/>
              <w:jc w:val="center"/>
              <w:rPr>
                <w:sz w:val="20"/>
                <w:szCs w:val="20"/>
              </w:rPr>
            </w:pPr>
            <w:r>
              <w:rPr>
                <w:sz w:val="20"/>
                <w:szCs w:val="20"/>
              </w:rPr>
              <w:t>Exhibit</w:t>
            </w:r>
          </w:p>
          <w:p w:rsidR="00000000" w:rsidRDefault="00240F6E">
            <w:pPr>
              <w:pStyle w:val="a3"/>
              <w:spacing w:before="0" w:beforeAutospacing="0" w:after="0" w:afterAutospacing="0"/>
              <w:jc w:val="center"/>
              <w:rPr>
                <w:sz w:val="20"/>
                <w:szCs w:val="20"/>
              </w:rPr>
            </w:pPr>
            <w:r>
              <w:rPr>
                <w:sz w:val="20"/>
                <w:szCs w:val="20"/>
                <w:u w:val="single"/>
              </w:rPr>
              <w:t>Number</w:t>
            </w:r>
          </w:p>
        </w:tc>
        <w:tc>
          <w:tcPr>
            <w:tcW w:w="0" w:type="auto"/>
            <w:hideMark/>
          </w:tcPr>
          <w:p w:rsidR="00000000" w:rsidRDefault="00240F6E">
            <w:pPr>
              <w:pStyle w:val="a3"/>
              <w:spacing w:before="0" w:beforeAutospacing="0" w:after="0" w:afterAutospacing="0"/>
              <w:jc w:val="both"/>
              <w:rPr>
                <w:sz w:val="20"/>
                <w:szCs w:val="20"/>
              </w:rPr>
            </w:pPr>
            <w:r>
              <w:rPr>
                <w:sz w:val="20"/>
                <w:szCs w:val="20"/>
              </w:rPr>
              <w:t> </w:t>
            </w:r>
          </w:p>
        </w:tc>
        <w:tc>
          <w:tcPr>
            <w:tcW w:w="0" w:type="auto"/>
            <w:vAlign w:val="bottom"/>
            <w:hideMark/>
          </w:tcPr>
          <w:p w:rsidR="00000000" w:rsidRDefault="00240F6E">
            <w:pPr>
              <w:pStyle w:val="a3"/>
              <w:spacing w:before="0" w:beforeAutospacing="0" w:after="0" w:afterAutospacing="0"/>
              <w:jc w:val="center"/>
              <w:rPr>
                <w:sz w:val="20"/>
                <w:szCs w:val="20"/>
              </w:rPr>
            </w:pPr>
            <w:r>
              <w:rPr>
                <w:sz w:val="20"/>
                <w:szCs w:val="20"/>
                <w:u w:val="single"/>
              </w:rPr>
              <w:t>Description of Exhibits</w:t>
            </w:r>
          </w:p>
        </w:tc>
      </w:tr>
      <w:tr w:rsidR="00000000">
        <w:trPr>
          <w:divId w:val="178549469"/>
        </w:trPr>
        <w:tc>
          <w:tcPr>
            <w:tcW w:w="0" w:type="auto"/>
            <w:hideMark/>
          </w:tcPr>
          <w:p w:rsidR="00000000" w:rsidRDefault="00240F6E">
            <w:pPr>
              <w:pStyle w:val="a3"/>
              <w:spacing w:before="0" w:beforeAutospacing="0" w:after="0" w:afterAutospacing="0"/>
              <w:jc w:val="both"/>
              <w:rPr>
                <w:sz w:val="12"/>
                <w:szCs w:val="12"/>
              </w:rPr>
            </w:pPr>
            <w:r>
              <w:rPr>
                <w:sz w:val="12"/>
                <w:szCs w:val="12"/>
              </w:rPr>
              <w:t> </w:t>
            </w:r>
          </w:p>
        </w:tc>
        <w:tc>
          <w:tcPr>
            <w:tcW w:w="0" w:type="auto"/>
            <w:hideMark/>
          </w:tcPr>
          <w:p w:rsidR="00000000" w:rsidRDefault="00240F6E">
            <w:pPr>
              <w:pStyle w:val="a3"/>
              <w:spacing w:before="0" w:beforeAutospacing="0" w:after="0" w:afterAutospacing="0"/>
              <w:jc w:val="both"/>
              <w:rPr>
                <w:sz w:val="12"/>
                <w:szCs w:val="12"/>
              </w:rPr>
            </w:pPr>
            <w:r>
              <w:rPr>
                <w:sz w:val="12"/>
                <w:szCs w:val="12"/>
              </w:rPr>
              <w:t> </w:t>
            </w:r>
          </w:p>
        </w:tc>
        <w:tc>
          <w:tcPr>
            <w:tcW w:w="0" w:type="auto"/>
            <w:hideMark/>
          </w:tcPr>
          <w:p w:rsidR="00000000" w:rsidRDefault="00240F6E">
            <w:pPr>
              <w:pStyle w:val="a3"/>
              <w:spacing w:before="0" w:beforeAutospacing="0" w:after="0" w:afterAutospacing="0"/>
              <w:jc w:val="both"/>
              <w:rPr>
                <w:sz w:val="12"/>
                <w:szCs w:val="12"/>
              </w:rPr>
            </w:pPr>
            <w:r>
              <w:rPr>
                <w:sz w:val="12"/>
                <w:szCs w:val="12"/>
              </w:rPr>
              <w:t> </w:t>
            </w:r>
          </w:p>
        </w:tc>
      </w:tr>
      <w:tr w:rsidR="00000000">
        <w:trPr>
          <w:divId w:val="178549469"/>
        </w:trPr>
        <w:tc>
          <w:tcPr>
            <w:tcW w:w="0" w:type="auto"/>
            <w:hideMark/>
          </w:tcPr>
          <w:p w:rsidR="00000000" w:rsidRDefault="00240F6E">
            <w:pPr>
              <w:pStyle w:val="a3"/>
              <w:spacing w:before="0" w:beforeAutospacing="0" w:after="0" w:afterAutospacing="0"/>
              <w:jc w:val="both"/>
              <w:rPr>
                <w:sz w:val="20"/>
                <w:szCs w:val="20"/>
              </w:rPr>
            </w:pPr>
            <w:r>
              <w:rPr>
                <w:sz w:val="20"/>
                <w:szCs w:val="20"/>
              </w:rPr>
              <w:t>4.1*</w:t>
            </w:r>
          </w:p>
        </w:tc>
        <w:tc>
          <w:tcPr>
            <w:tcW w:w="0" w:type="auto"/>
            <w:hideMark/>
          </w:tcPr>
          <w:p w:rsidR="00000000" w:rsidRDefault="00240F6E">
            <w:pPr>
              <w:pStyle w:val="a3"/>
              <w:spacing w:before="0" w:beforeAutospacing="0" w:after="0" w:afterAutospacing="0"/>
              <w:jc w:val="both"/>
              <w:rPr>
                <w:sz w:val="20"/>
                <w:szCs w:val="20"/>
              </w:rPr>
            </w:pPr>
            <w:r>
              <w:rPr>
                <w:sz w:val="20"/>
                <w:szCs w:val="20"/>
              </w:rPr>
              <w:t> </w:t>
            </w:r>
          </w:p>
        </w:tc>
        <w:tc>
          <w:tcPr>
            <w:tcW w:w="0" w:type="auto"/>
            <w:hideMark/>
          </w:tcPr>
          <w:p w:rsidR="00000000" w:rsidRDefault="00240F6E">
            <w:pPr>
              <w:pStyle w:val="a3"/>
              <w:spacing w:before="0" w:beforeAutospacing="0" w:after="0" w:afterAutospacing="0"/>
              <w:rPr>
                <w:sz w:val="20"/>
                <w:szCs w:val="20"/>
              </w:rPr>
            </w:pPr>
            <w:hyperlink r:id="rId4" w:history="1">
              <w:r>
                <w:rPr>
                  <w:rStyle w:val="a4"/>
                  <w:sz w:val="20"/>
                  <w:szCs w:val="20"/>
                </w:rPr>
                <w:t>Supplemental Indenture (2020 Notes), dated as of January 7, 2019, by and among the Company, certain of its subsidiaries, and Regions Bank, successor-in-interest to U.S. Bank National Association, as Trustee.</w:t>
              </w:r>
            </w:hyperlink>
          </w:p>
        </w:tc>
      </w:tr>
      <w:tr w:rsidR="00000000">
        <w:trPr>
          <w:divId w:val="178549469"/>
        </w:trPr>
        <w:tc>
          <w:tcPr>
            <w:tcW w:w="0" w:type="auto"/>
            <w:hideMark/>
          </w:tcPr>
          <w:p w:rsidR="00000000" w:rsidRDefault="00240F6E">
            <w:pPr>
              <w:pStyle w:val="a3"/>
              <w:spacing w:before="0" w:beforeAutospacing="0" w:after="0" w:afterAutospacing="0"/>
              <w:jc w:val="both"/>
              <w:rPr>
                <w:sz w:val="20"/>
                <w:szCs w:val="20"/>
              </w:rPr>
            </w:pPr>
            <w:r>
              <w:rPr>
                <w:sz w:val="20"/>
                <w:szCs w:val="20"/>
              </w:rPr>
              <w:t> </w:t>
            </w:r>
          </w:p>
        </w:tc>
        <w:tc>
          <w:tcPr>
            <w:tcW w:w="0" w:type="auto"/>
            <w:hideMark/>
          </w:tcPr>
          <w:p w:rsidR="00000000" w:rsidRDefault="00240F6E">
            <w:pPr>
              <w:pStyle w:val="a3"/>
              <w:spacing w:before="0" w:beforeAutospacing="0" w:after="0" w:afterAutospacing="0"/>
              <w:jc w:val="both"/>
              <w:rPr>
                <w:sz w:val="20"/>
                <w:szCs w:val="20"/>
              </w:rPr>
            </w:pPr>
            <w:r>
              <w:rPr>
                <w:sz w:val="20"/>
                <w:szCs w:val="20"/>
              </w:rPr>
              <w:t> </w:t>
            </w:r>
          </w:p>
        </w:tc>
        <w:tc>
          <w:tcPr>
            <w:tcW w:w="0" w:type="auto"/>
            <w:hideMark/>
          </w:tcPr>
          <w:p w:rsidR="00000000" w:rsidRDefault="00240F6E">
            <w:pPr>
              <w:pStyle w:val="a3"/>
              <w:spacing w:before="0" w:beforeAutospacing="0" w:after="0" w:afterAutospacing="0"/>
              <w:rPr>
                <w:sz w:val="20"/>
                <w:szCs w:val="20"/>
              </w:rPr>
            </w:pPr>
            <w:r>
              <w:rPr>
                <w:sz w:val="20"/>
                <w:szCs w:val="20"/>
              </w:rPr>
              <w:t> </w:t>
            </w:r>
          </w:p>
        </w:tc>
      </w:tr>
      <w:tr w:rsidR="00000000">
        <w:trPr>
          <w:divId w:val="178549469"/>
        </w:trPr>
        <w:tc>
          <w:tcPr>
            <w:tcW w:w="0" w:type="auto"/>
            <w:hideMark/>
          </w:tcPr>
          <w:p w:rsidR="00000000" w:rsidRDefault="00240F6E">
            <w:pPr>
              <w:pStyle w:val="a3"/>
              <w:spacing w:before="0" w:beforeAutospacing="0" w:after="0" w:afterAutospacing="0"/>
              <w:jc w:val="both"/>
              <w:rPr>
                <w:sz w:val="20"/>
                <w:szCs w:val="20"/>
              </w:rPr>
            </w:pPr>
            <w:r>
              <w:rPr>
                <w:sz w:val="20"/>
                <w:szCs w:val="20"/>
              </w:rPr>
              <w:t>4.2*</w:t>
            </w:r>
          </w:p>
        </w:tc>
        <w:tc>
          <w:tcPr>
            <w:tcW w:w="0" w:type="auto"/>
            <w:hideMark/>
          </w:tcPr>
          <w:p w:rsidR="00000000" w:rsidRDefault="00240F6E">
            <w:pPr>
              <w:pStyle w:val="a3"/>
              <w:spacing w:before="0" w:beforeAutospacing="0" w:after="0" w:afterAutospacing="0"/>
              <w:jc w:val="both"/>
              <w:rPr>
                <w:sz w:val="20"/>
                <w:szCs w:val="20"/>
              </w:rPr>
            </w:pPr>
            <w:r>
              <w:rPr>
                <w:sz w:val="20"/>
                <w:szCs w:val="20"/>
              </w:rPr>
              <w:t> </w:t>
            </w:r>
          </w:p>
        </w:tc>
        <w:tc>
          <w:tcPr>
            <w:tcW w:w="0" w:type="auto"/>
            <w:hideMark/>
          </w:tcPr>
          <w:p w:rsidR="00000000" w:rsidRDefault="00240F6E">
            <w:pPr>
              <w:pStyle w:val="a3"/>
              <w:spacing w:before="0" w:beforeAutospacing="0" w:after="0" w:afterAutospacing="0"/>
              <w:rPr>
                <w:sz w:val="20"/>
                <w:szCs w:val="20"/>
              </w:rPr>
            </w:pPr>
            <w:hyperlink r:id="rId5" w:history="1">
              <w:r>
                <w:rPr>
                  <w:rStyle w:val="a4"/>
                  <w:sz w:val="20"/>
                  <w:szCs w:val="20"/>
                </w:rPr>
                <w:t>Supplemental Indenture (2023 Notes), dated as of January 7, 2019, by and among the Company, certain of its subsidiaries, and Regions Bank, successor-in-interest to U.S. Bank National Association, as Trustee.</w:t>
              </w:r>
            </w:hyperlink>
          </w:p>
        </w:tc>
      </w:tr>
      <w:tr w:rsidR="00000000">
        <w:trPr>
          <w:divId w:val="178549469"/>
        </w:trPr>
        <w:tc>
          <w:tcPr>
            <w:tcW w:w="0" w:type="auto"/>
            <w:hideMark/>
          </w:tcPr>
          <w:p w:rsidR="00000000" w:rsidRDefault="00240F6E">
            <w:pPr>
              <w:pStyle w:val="a3"/>
              <w:spacing w:before="0" w:beforeAutospacing="0" w:after="0" w:afterAutospacing="0"/>
              <w:jc w:val="both"/>
              <w:rPr>
                <w:sz w:val="20"/>
                <w:szCs w:val="20"/>
              </w:rPr>
            </w:pPr>
            <w:r>
              <w:rPr>
                <w:sz w:val="20"/>
                <w:szCs w:val="20"/>
              </w:rPr>
              <w:t> </w:t>
            </w:r>
          </w:p>
        </w:tc>
        <w:tc>
          <w:tcPr>
            <w:tcW w:w="0" w:type="auto"/>
            <w:hideMark/>
          </w:tcPr>
          <w:p w:rsidR="00000000" w:rsidRDefault="00240F6E">
            <w:pPr>
              <w:pStyle w:val="a3"/>
              <w:spacing w:before="0" w:beforeAutospacing="0" w:after="0" w:afterAutospacing="0"/>
              <w:jc w:val="both"/>
              <w:rPr>
                <w:sz w:val="20"/>
                <w:szCs w:val="20"/>
              </w:rPr>
            </w:pPr>
            <w:r>
              <w:rPr>
                <w:sz w:val="20"/>
                <w:szCs w:val="20"/>
              </w:rPr>
              <w:t> </w:t>
            </w:r>
          </w:p>
        </w:tc>
        <w:tc>
          <w:tcPr>
            <w:tcW w:w="0" w:type="auto"/>
            <w:hideMark/>
          </w:tcPr>
          <w:p w:rsidR="00000000" w:rsidRDefault="00240F6E">
            <w:pPr>
              <w:pStyle w:val="a3"/>
              <w:spacing w:before="0" w:beforeAutospacing="0" w:after="0" w:afterAutospacing="0"/>
              <w:rPr>
                <w:sz w:val="20"/>
                <w:szCs w:val="20"/>
              </w:rPr>
            </w:pPr>
            <w:r>
              <w:rPr>
                <w:sz w:val="20"/>
                <w:szCs w:val="20"/>
              </w:rPr>
              <w:t> </w:t>
            </w:r>
          </w:p>
        </w:tc>
      </w:tr>
      <w:tr w:rsidR="00000000">
        <w:trPr>
          <w:divId w:val="178549469"/>
        </w:trPr>
        <w:tc>
          <w:tcPr>
            <w:tcW w:w="0" w:type="auto"/>
            <w:hideMark/>
          </w:tcPr>
          <w:p w:rsidR="00000000" w:rsidRDefault="00240F6E">
            <w:pPr>
              <w:pStyle w:val="a3"/>
              <w:spacing w:before="0" w:beforeAutospacing="0" w:after="0" w:afterAutospacing="0"/>
              <w:jc w:val="both"/>
              <w:rPr>
                <w:sz w:val="20"/>
                <w:szCs w:val="20"/>
              </w:rPr>
            </w:pPr>
            <w:r>
              <w:rPr>
                <w:sz w:val="20"/>
                <w:szCs w:val="20"/>
              </w:rPr>
              <w:t>4.3*</w:t>
            </w:r>
          </w:p>
        </w:tc>
        <w:tc>
          <w:tcPr>
            <w:tcW w:w="0" w:type="auto"/>
            <w:hideMark/>
          </w:tcPr>
          <w:p w:rsidR="00000000" w:rsidRDefault="00240F6E">
            <w:pPr>
              <w:pStyle w:val="a3"/>
              <w:spacing w:before="0" w:beforeAutospacing="0" w:after="0" w:afterAutospacing="0"/>
              <w:jc w:val="both"/>
              <w:rPr>
                <w:sz w:val="20"/>
                <w:szCs w:val="20"/>
              </w:rPr>
            </w:pPr>
            <w:r>
              <w:rPr>
                <w:sz w:val="20"/>
                <w:szCs w:val="20"/>
              </w:rPr>
              <w:t> </w:t>
            </w:r>
          </w:p>
        </w:tc>
        <w:tc>
          <w:tcPr>
            <w:tcW w:w="0" w:type="auto"/>
            <w:hideMark/>
          </w:tcPr>
          <w:p w:rsidR="00000000" w:rsidRDefault="00240F6E">
            <w:pPr>
              <w:pStyle w:val="a3"/>
              <w:spacing w:before="0" w:beforeAutospacing="0" w:after="0" w:afterAutospacing="0"/>
              <w:rPr>
                <w:sz w:val="20"/>
                <w:szCs w:val="20"/>
              </w:rPr>
            </w:pPr>
            <w:hyperlink r:id="rId6" w:history="1">
              <w:r>
                <w:rPr>
                  <w:rStyle w:val="a4"/>
                  <w:sz w:val="20"/>
                  <w:szCs w:val="20"/>
                </w:rPr>
                <w:t>Supplemental Indenture (2022 Notes), dated as of January 7, 2019, by and among the Company, certain of its subsidiaries, and Regions Bank, successor-in-interest to U.S. Bank National Association, as Trustee.</w:t>
              </w:r>
            </w:hyperlink>
          </w:p>
        </w:tc>
      </w:tr>
      <w:tr w:rsidR="00000000">
        <w:trPr>
          <w:divId w:val="178549469"/>
        </w:trPr>
        <w:tc>
          <w:tcPr>
            <w:tcW w:w="0" w:type="auto"/>
            <w:hideMark/>
          </w:tcPr>
          <w:p w:rsidR="00000000" w:rsidRDefault="00240F6E">
            <w:pPr>
              <w:pStyle w:val="a3"/>
              <w:spacing w:before="0" w:beforeAutospacing="0" w:after="0" w:afterAutospacing="0"/>
              <w:jc w:val="both"/>
              <w:rPr>
                <w:sz w:val="20"/>
                <w:szCs w:val="20"/>
              </w:rPr>
            </w:pPr>
            <w:r>
              <w:rPr>
                <w:sz w:val="20"/>
                <w:szCs w:val="20"/>
              </w:rPr>
              <w:t> </w:t>
            </w:r>
          </w:p>
        </w:tc>
        <w:tc>
          <w:tcPr>
            <w:tcW w:w="0" w:type="auto"/>
            <w:hideMark/>
          </w:tcPr>
          <w:p w:rsidR="00000000" w:rsidRDefault="00240F6E">
            <w:pPr>
              <w:pStyle w:val="a3"/>
              <w:spacing w:before="0" w:beforeAutospacing="0" w:after="0" w:afterAutospacing="0"/>
              <w:jc w:val="both"/>
              <w:rPr>
                <w:sz w:val="20"/>
                <w:szCs w:val="20"/>
              </w:rPr>
            </w:pPr>
            <w:r>
              <w:rPr>
                <w:sz w:val="20"/>
                <w:szCs w:val="20"/>
              </w:rPr>
              <w:t> </w:t>
            </w:r>
          </w:p>
        </w:tc>
        <w:tc>
          <w:tcPr>
            <w:tcW w:w="0" w:type="auto"/>
            <w:hideMark/>
          </w:tcPr>
          <w:p w:rsidR="00000000" w:rsidRDefault="00240F6E">
            <w:pPr>
              <w:pStyle w:val="a3"/>
              <w:spacing w:before="0" w:beforeAutospacing="0" w:after="0" w:afterAutospacing="0"/>
              <w:rPr>
                <w:sz w:val="20"/>
                <w:szCs w:val="20"/>
              </w:rPr>
            </w:pPr>
            <w:r>
              <w:rPr>
                <w:sz w:val="20"/>
                <w:szCs w:val="20"/>
              </w:rPr>
              <w:t> </w:t>
            </w:r>
          </w:p>
        </w:tc>
      </w:tr>
      <w:tr w:rsidR="00000000">
        <w:trPr>
          <w:divId w:val="178549469"/>
        </w:trPr>
        <w:tc>
          <w:tcPr>
            <w:tcW w:w="0" w:type="auto"/>
            <w:hideMark/>
          </w:tcPr>
          <w:p w:rsidR="00000000" w:rsidRDefault="00240F6E">
            <w:pPr>
              <w:pStyle w:val="a3"/>
              <w:spacing w:before="0" w:beforeAutospacing="0" w:after="0" w:afterAutospacing="0"/>
              <w:jc w:val="both"/>
              <w:rPr>
                <w:sz w:val="20"/>
                <w:szCs w:val="20"/>
              </w:rPr>
            </w:pPr>
            <w:r>
              <w:rPr>
                <w:sz w:val="20"/>
                <w:szCs w:val="20"/>
              </w:rPr>
              <w:t>4.4*</w:t>
            </w:r>
          </w:p>
        </w:tc>
        <w:tc>
          <w:tcPr>
            <w:tcW w:w="0" w:type="auto"/>
            <w:hideMark/>
          </w:tcPr>
          <w:p w:rsidR="00000000" w:rsidRDefault="00240F6E">
            <w:pPr>
              <w:pStyle w:val="a3"/>
              <w:spacing w:before="0" w:beforeAutospacing="0" w:after="0" w:afterAutospacing="0"/>
              <w:jc w:val="both"/>
              <w:rPr>
                <w:sz w:val="20"/>
                <w:szCs w:val="20"/>
              </w:rPr>
            </w:pPr>
            <w:r>
              <w:rPr>
                <w:sz w:val="20"/>
                <w:szCs w:val="20"/>
              </w:rPr>
              <w:t> </w:t>
            </w:r>
          </w:p>
        </w:tc>
        <w:tc>
          <w:tcPr>
            <w:tcW w:w="0" w:type="auto"/>
            <w:hideMark/>
          </w:tcPr>
          <w:p w:rsidR="00000000" w:rsidRDefault="00240F6E">
            <w:pPr>
              <w:pStyle w:val="a3"/>
              <w:spacing w:before="0" w:beforeAutospacing="0" w:after="0" w:afterAutospacing="0"/>
              <w:rPr>
                <w:sz w:val="20"/>
                <w:szCs w:val="20"/>
              </w:rPr>
            </w:pPr>
            <w:hyperlink r:id="rId7" w:history="1">
              <w:r>
                <w:rPr>
                  <w:rStyle w:val="a4"/>
                  <w:sz w:val="20"/>
                  <w:szCs w:val="20"/>
                </w:rPr>
                <w:t>Supplemental Indenture (2027 Notes), dated as of January 7, 2019, by and among the Company, certain of its subsidiaries, and Regions Bank, successor-in-interest to U.S. Bank National Association, as Trustee.</w:t>
              </w:r>
            </w:hyperlink>
          </w:p>
        </w:tc>
      </w:tr>
      <w:tr w:rsidR="00000000">
        <w:trPr>
          <w:divId w:val="178549469"/>
        </w:trPr>
        <w:tc>
          <w:tcPr>
            <w:tcW w:w="0" w:type="auto"/>
            <w:hideMark/>
          </w:tcPr>
          <w:p w:rsidR="00000000" w:rsidRDefault="00240F6E">
            <w:pPr>
              <w:pStyle w:val="a3"/>
              <w:spacing w:before="0" w:beforeAutospacing="0" w:after="0" w:afterAutospacing="0"/>
              <w:jc w:val="both"/>
              <w:rPr>
                <w:sz w:val="20"/>
                <w:szCs w:val="20"/>
              </w:rPr>
            </w:pPr>
            <w:r>
              <w:rPr>
                <w:sz w:val="20"/>
                <w:szCs w:val="20"/>
              </w:rPr>
              <w:t> </w:t>
            </w:r>
          </w:p>
        </w:tc>
        <w:tc>
          <w:tcPr>
            <w:tcW w:w="0" w:type="auto"/>
            <w:hideMark/>
          </w:tcPr>
          <w:p w:rsidR="00000000" w:rsidRDefault="00240F6E">
            <w:pPr>
              <w:pStyle w:val="a3"/>
              <w:spacing w:before="0" w:beforeAutospacing="0" w:after="0" w:afterAutospacing="0"/>
              <w:jc w:val="both"/>
              <w:rPr>
                <w:sz w:val="20"/>
                <w:szCs w:val="20"/>
              </w:rPr>
            </w:pPr>
            <w:r>
              <w:rPr>
                <w:sz w:val="20"/>
                <w:szCs w:val="20"/>
              </w:rPr>
              <w:t> </w:t>
            </w:r>
          </w:p>
        </w:tc>
        <w:tc>
          <w:tcPr>
            <w:tcW w:w="0" w:type="auto"/>
            <w:hideMark/>
          </w:tcPr>
          <w:p w:rsidR="00000000" w:rsidRDefault="00240F6E">
            <w:pPr>
              <w:pStyle w:val="a3"/>
              <w:spacing w:before="0" w:beforeAutospacing="0" w:after="0" w:afterAutospacing="0"/>
              <w:rPr>
                <w:sz w:val="20"/>
                <w:szCs w:val="20"/>
              </w:rPr>
            </w:pPr>
            <w:r>
              <w:rPr>
                <w:sz w:val="20"/>
                <w:szCs w:val="20"/>
              </w:rPr>
              <w:t> </w:t>
            </w:r>
          </w:p>
        </w:tc>
      </w:tr>
      <w:tr w:rsidR="00000000">
        <w:trPr>
          <w:divId w:val="178549469"/>
        </w:trPr>
        <w:tc>
          <w:tcPr>
            <w:tcW w:w="0" w:type="auto"/>
            <w:hideMark/>
          </w:tcPr>
          <w:p w:rsidR="00000000" w:rsidRDefault="00240F6E">
            <w:pPr>
              <w:pStyle w:val="a3"/>
              <w:spacing w:before="0" w:beforeAutospacing="0" w:after="0" w:afterAutospacing="0"/>
              <w:jc w:val="both"/>
              <w:rPr>
                <w:sz w:val="20"/>
                <w:szCs w:val="20"/>
              </w:rPr>
            </w:pPr>
            <w:r>
              <w:rPr>
                <w:sz w:val="20"/>
                <w:szCs w:val="20"/>
              </w:rPr>
              <w:t>31.1*</w:t>
            </w:r>
          </w:p>
        </w:tc>
        <w:tc>
          <w:tcPr>
            <w:tcW w:w="0" w:type="auto"/>
            <w:hideMark/>
          </w:tcPr>
          <w:p w:rsidR="00000000" w:rsidRDefault="00240F6E">
            <w:pPr>
              <w:pStyle w:val="a3"/>
              <w:spacing w:before="0" w:beforeAutospacing="0" w:after="0" w:afterAutospacing="0"/>
              <w:jc w:val="both"/>
              <w:rPr>
                <w:sz w:val="20"/>
                <w:szCs w:val="20"/>
              </w:rPr>
            </w:pPr>
            <w:r>
              <w:rPr>
                <w:sz w:val="20"/>
                <w:szCs w:val="20"/>
              </w:rPr>
              <w:t> </w:t>
            </w:r>
          </w:p>
        </w:tc>
        <w:tc>
          <w:tcPr>
            <w:tcW w:w="0" w:type="auto"/>
            <w:hideMark/>
          </w:tcPr>
          <w:p w:rsidR="00000000" w:rsidRDefault="00240F6E">
            <w:pPr>
              <w:pStyle w:val="a3"/>
              <w:spacing w:before="0" w:beforeAutospacing="0" w:after="0" w:afterAutospacing="0"/>
              <w:rPr>
                <w:sz w:val="20"/>
                <w:szCs w:val="20"/>
              </w:rPr>
            </w:pPr>
            <w:hyperlink r:id="rId8" w:history="1">
              <w:r>
                <w:rPr>
                  <w:rStyle w:val="a4"/>
                  <w:sz w:val="20"/>
                  <w:szCs w:val="20"/>
                </w:rPr>
                <w:t>Certification of the Company's Chief Executive Officer pursuant to Securities and Exchange Act Rules 13a-14(a) and 15d-14(a), as adopted pursuant to Section 302 of the Sarbanes-Oxley Act of 2002</w:t>
              </w:r>
            </w:hyperlink>
            <w:r>
              <w:rPr>
                <w:sz w:val="20"/>
                <w:szCs w:val="20"/>
              </w:rPr>
              <w:t>.</w:t>
            </w:r>
          </w:p>
        </w:tc>
      </w:tr>
      <w:tr w:rsidR="00000000">
        <w:trPr>
          <w:divId w:val="178549469"/>
        </w:trPr>
        <w:tc>
          <w:tcPr>
            <w:tcW w:w="0" w:type="auto"/>
            <w:hideMark/>
          </w:tcPr>
          <w:p w:rsidR="00000000" w:rsidRDefault="00240F6E">
            <w:pPr>
              <w:pStyle w:val="a3"/>
              <w:spacing w:before="0" w:beforeAutospacing="0" w:after="0" w:afterAutospacing="0"/>
              <w:jc w:val="both"/>
              <w:rPr>
                <w:sz w:val="12"/>
                <w:szCs w:val="12"/>
              </w:rPr>
            </w:pPr>
            <w:r>
              <w:rPr>
                <w:sz w:val="12"/>
                <w:szCs w:val="12"/>
              </w:rPr>
              <w:t> </w:t>
            </w:r>
          </w:p>
        </w:tc>
        <w:tc>
          <w:tcPr>
            <w:tcW w:w="0" w:type="auto"/>
            <w:hideMark/>
          </w:tcPr>
          <w:p w:rsidR="00000000" w:rsidRDefault="00240F6E">
            <w:pPr>
              <w:pStyle w:val="a3"/>
              <w:spacing w:before="0" w:beforeAutospacing="0" w:after="0" w:afterAutospacing="0"/>
              <w:jc w:val="both"/>
              <w:rPr>
                <w:sz w:val="12"/>
                <w:szCs w:val="12"/>
              </w:rPr>
            </w:pPr>
            <w:r>
              <w:rPr>
                <w:sz w:val="12"/>
                <w:szCs w:val="12"/>
              </w:rPr>
              <w:t> </w:t>
            </w:r>
          </w:p>
        </w:tc>
        <w:tc>
          <w:tcPr>
            <w:tcW w:w="0" w:type="auto"/>
            <w:hideMark/>
          </w:tcPr>
          <w:p w:rsidR="00000000" w:rsidRDefault="00240F6E">
            <w:pPr>
              <w:pStyle w:val="a3"/>
              <w:spacing w:before="0" w:beforeAutospacing="0" w:after="0" w:afterAutospacing="0"/>
              <w:rPr>
                <w:sz w:val="20"/>
                <w:szCs w:val="20"/>
              </w:rPr>
            </w:pPr>
            <w:r>
              <w:rPr>
                <w:sz w:val="20"/>
                <w:szCs w:val="20"/>
              </w:rPr>
              <w:t> </w:t>
            </w:r>
          </w:p>
        </w:tc>
      </w:tr>
      <w:tr w:rsidR="00000000">
        <w:trPr>
          <w:divId w:val="178549469"/>
        </w:trPr>
        <w:tc>
          <w:tcPr>
            <w:tcW w:w="0" w:type="auto"/>
            <w:hideMark/>
          </w:tcPr>
          <w:p w:rsidR="00000000" w:rsidRDefault="00240F6E">
            <w:pPr>
              <w:pStyle w:val="a3"/>
              <w:spacing w:before="0" w:beforeAutospacing="0" w:after="0" w:afterAutospacing="0"/>
              <w:jc w:val="both"/>
              <w:rPr>
                <w:sz w:val="20"/>
                <w:szCs w:val="20"/>
              </w:rPr>
            </w:pPr>
            <w:r>
              <w:rPr>
                <w:sz w:val="20"/>
                <w:szCs w:val="20"/>
              </w:rPr>
              <w:t>31.2*</w:t>
            </w:r>
          </w:p>
        </w:tc>
        <w:tc>
          <w:tcPr>
            <w:tcW w:w="0" w:type="auto"/>
            <w:hideMark/>
          </w:tcPr>
          <w:p w:rsidR="00000000" w:rsidRDefault="00240F6E">
            <w:pPr>
              <w:pStyle w:val="a3"/>
              <w:spacing w:before="0" w:beforeAutospacing="0" w:after="0" w:afterAutospacing="0"/>
              <w:jc w:val="both"/>
              <w:rPr>
                <w:sz w:val="20"/>
                <w:szCs w:val="20"/>
              </w:rPr>
            </w:pPr>
            <w:r>
              <w:rPr>
                <w:sz w:val="20"/>
                <w:szCs w:val="20"/>
              </w:rPr>
              <w:t> </w:t>
            </w:r>
          </w:p>
        </w:tc>
        <w:tc>
          <w:tcPr>
            <w:tcW w:w="0" w:type="auto"/>
            <w:hideMark/>
          </w:tcPr>
          <w:p w:rsidR="00000000" w:rsidRDefault="00240F6E">
            <w:pPr>
              <w:pStyle w:val="a3"/>
              <w:spacing w:before="0" w:beforeAutospacing="0" w:after="0" w:afterAutospacing="0"/>
              <w:rPr>
                <w:sz w:val="20"/>
                <w:szCs w:val="20"/>
              </w:rPr>
            </w:pPr>
            <w:hyperlink r:id="rId9" w:history="1">
              <w:r>
                <w:rPr>
                  <w:rStyle w:val="a4"/>
                  <w:sz w:val="20"/>
                  <w:szCs w:val="20"/>
                </w:rPr>
                <w:t>Certification of the Company's Chief Financial Officer pursuant to Securities and Exchange Act Rules 13a-14(a) and 15d-14(a), as adopted pursuant to Section 302 of the Sarbanes-Oxley Act of 2002</w:t>
              </w:r>
            </w:hyperlink>
            <w:r>
              <w:rPr>
                <w:sz w:val="20"/>
                <w:szCs w:val="20"/>
              </w:rPr>
              <w:t>.</w:t>
            </w:r>
          </w:p>
        </w:tc>
      </w:tr>
      <w:tr w:rsidR="00000000">
        <w:trPr>
          <w:divId w:val="178549469"/>
        </w:trPr>
        <w:tc>
          <w:tcPr>
            <w:tcW w:w="0" w:type="auto"/>
            <w:hideMark/>
          </w:tcPr>
          <w:p w:rsidR="00000000" w:rsidRDefault="00240F6E">
            <w:pPr>
              <w:pStyle w:val="a3"/>
              <w:spacing w:before="0" w:beforeAutospacing="0" w:after="0" w:afterAutospacing="0"/>
              <w:jc w:val="both"/>
              <w:rPr>
                <w:sz w:val="12"/>
                <w:szCs w:val="12"/>
              </w:rPr>
            </w:pPr>
            <w:r>
              <w:rPr>
                <w:sz w:val="12"/>
                <w:szCs w:val="12"/>
              </w:rPr>
              <w:t> </w:t>
            </w:r>
          </w:p>
        </w:tc>
        <w:tc>
          <w:tcPr>
            <w:tcW w:w="0" w:type="auto"/>
            <w:hideMark/>
          </w:tcPr>
          <w:p w:rsidR="00000000" w:rsidRDefault="00240F6E">
            <w:pPr>
              <w:pStyle w:val="a3"/>
              <w:spacing w:before="0" w:beforeAutospacing="0" w:after="0" w:afterAutospacing="0"/>
              <w:jc w:val="both"/>
              <w:rPr>
                <w:sz w:val="12"/>
                <w:szCs w:val="12"/>
              </w:rPr>
            </w:pPr>
            <w:r>
              <w:rPr>
                <w:sz w:val="12"/>
                <w:szCs w:val="12"/>
              </w:rPr>
              <w:t> </w:t>
            </w:r>
          </w:p>
        </w:tc>
        <w:tc>
          <w:tcPr>
            <w:tcW w:w="0" w:type="auto"/>
            <w:hideMark/>
          </w:tcPr>
          <w:p w:rsidR="00000000" w:rsidRDefault="00240F6E">
            <w:pPr>
              <w:pStyle w:val="a3"/>
              <w:spacing w:before="0" w:beforeAutospacing="0" w:after="0" w:afterAutospacing="0"/>
              <w:rPr>
                <w:sz w:val="20"/>
                <w:szCs w:val="20"/>
              </w:rPr>
            </w:pPr>
            <w:r>
              <w:rPr>
                <w:sz w:val="20"/>
                <w:szCs w:val="20"/>
              </w:rPr>
              <w:t> </w:t>
            </w:r>
          </w:p>
        </w:tc>
      </w:tr>
      <w:tr w:rsidR="00000000">
        <w:trPr>
          <w:divId w:val="178549469"/>
        </w:trPr>
        <w:tc>
          <w:tcPr>
            <w:tcW w:w="0" w:type="auto"/>
            <w:hideMark/>
          </w:tcPr>
          <w:p w:rsidR="00000000" w:rsidRDefault="00240F6E">
            <w:pPr>
              <w:pStyle w:val="a3"/>
              <w:spacing w:before="0" w:beforeAutospacing="0" w:after="0" w:afterAutospacing="0"/>
              <w:jc w:val="both"/>
              <w:rPr>
                <w:sz w:val="20"/>
                <w:szCs w:val="20"/>
              </w:rPr>
            </w:pPr>
            <w:r>
              <w:rPr>
                <w:sz w:val="20"/>
                <w:szCs w:val="20"/>
              </w:rPr>
              <w:t>32.1**</w:t>
            </w:r>
          </w:p>
        </w:tc>
        <w:tc>
          <w:tcPr>
            <w:tcW w:w="0" w:type="auto"/>
            <w:hideMark/>
          </w:tcPr>
          <w:p w:rsidR="00000000" w:rsidRDefault="00240F6E">
            <w:pPr>
              <w:pStyle w:val="a3"/>
              <w:spacing w:before="0" w:beforeAutospacing="0" w:after="0" w:afterAutospacing="0"/>
              <w:jc w:val="both"/>
              <w:rPr>
                <w:sz w:val="20"/>
                <w:szCs w:val="20"/>
              </w:rPr>
            </w:pPr>
            <w:r>
              <w:rPr>
                <w:sz w:val="20"/>
                <w:szCs w:val="20"/>
              </w:rPr>
              <w:t> </w:t>
            </w:r>
          </w:p>
        </w:tc>
        <w:tc>
          <w:tcPr>
            <w:tcW w:w="0" w:type="auto"/>
            <w:hideMark/>
          </w:tcPr>
          <w:p w:rsidR="00000000" w:rsidRDefault="00240F6E">
            <w:pPr>
              <w:pStyle w:val="a3"/>
              <w:spacing w:before="0" w:beforeAutospacing="0" w:after="0" w:afterAutospacing="0"/>
              <w:rPr>
                <w:sz w:val="20"/>
                <w:szCs w:val="20"/>
              </w:rPr>
            </w:pPr>
            <w:hyperlink r:id="rId10" w:history="1">
              <w:r>
                <w:rPr>
                  <w:rStyle w:val="a4"/>
                  <w:sz w:val="20"/>
                  <w:szCs w:val="20"/>
                </w:rPr>
                <w:t>Certification of the Company's Chief Executive Officer pursuant to 18 U.S.C. Section 1350, as adopted pursuant to Section 906 of the Sarbanes-Oxley Act of 2002</w:t>
              </w:r>
            </w:hyperlink>
            <w:r>
              <w:rPr>
                <w:sz w:val="20"/>
                <w:szCs w:val="20"/>
              </w:rPr>
              <w:t>.</w:t>
            </w:r>
          </w:p>
        </w:tc>
      </w:tr>
      <w:tr w:rsidR="00000000">
        <w:trPr>
          <w:divId w:val="178549469"/>
        </w:trPr>
        <w:tc>
          <w:tcPr>
            <w:tcW w:w="0" w:type="auto"/>
            <w:hideMark/>
          </w:tcPr>
          <w:p w:rsidR="00000000" w:rsidRDefault="00240F6E">
            <w:pPr>
              <w:pStyle w:val="a3"/>
              <w:spacing w:before="0" w:beforeAutospacing="0" w:after="0" w:afterAutospacing="0"/>
              <w:jc w:val="both"/>
              <w:rPr>
                <w:sz w:val="12"/>
                <w:szCs w:val="12"/>
              </w:rPr>
            </w:pPr>
            <w:r>
              <w:rPr>
                <w:sz w:val="12"/>
                <w:szCs w:val="12"/>
              </w:rPr>
              <w:t> </w:t>
            </w:r>
          </w:p>
        </w:tc>
        <w:tc>
          <w:tcPr>
            <w:tcW w:w="0" w:type="auto"/>
            <w:hideMark/>
          </w:tcPr>
          <w:p w:rsidR="00000000" w:rsidRDefault="00240F6E">
            <w:pPr>
              <w:pStyle w:val="a3"/>
              <w:spacing w:before="0" w:beforeAutospacing="0" w:after="0" w:afterAutospacing="0"/>
              <w:jc w:val="both"/>
              <w:rPr>
                <w:sz w:val="12"/>
                <w:szCs w:val="12"/>
              </w:rPr>
            </w:pPr>
            <w:r>
              <w:rPr>
                <w:sz w:val="12"/>
                <w:szCs w:val="12"/>
              </w:rPr>
              <w:t> </w:t>
            </w:r>
          </w:p>
        </w:tc>
        <w:tc>
          <w:tcPr>
            <w:tcW w:w="0" w:type="auto"/>
            <w:hideMark/>
          </w:tcPr>
          <w:p w:rsidR="00000000" w:rsidRDefault="00240F6E">
            <w:pPr>
              <w:pStyle w:val="a3"/>
              <w:spacing w:before="0" w:beforeAutospacing="0" w:after="0" w:afterAutospacing="0"/>
              <w:rPr>
                <w:sz w:val="20"/>
                <w:szCs w:val="20"/>
              </w:rPr>
            </w:pPr>
            <w:r>
              <w:rPr>
                <w:sz w:val="20"/>
                <w:szCs w:val="20"/>
              </w:rPr>
              <w:t> </w:t>
            </w:r>
          </w:p>
        </w:tc>
      </w:tr>
      <w:tr w:rsidR="00000000">
        <w:trPr>
          <w:divId w:val="178549469"/>
        </w:trPr>
        <w:tc>
          <w:tcPr>
            <w:tcW w:w="0" w:type="auto"/>
            <w:hideMark/>
          </w:tcPr>
          <w:p w:rsidR="00000000" w:rsidRDefault="00240F6E">
            <w:pPr>
              <w:pStyle w:val="a3"/>
              <w:spacing w:before="0" w:beforeAutospacing="0" w:after="0" w:afterAutospacing="0"/>
              <w:jc w:val="both"/>
              <w:rPr>
                <w:sz w:val="20"/>
                <w:szCs w:val="20"/>
              </w:rPr>
            </w:pPr>
            <w:r>
              <w:rPr>
                <w:sz w:val="20"/>
                <w:szCs w:val="20"/>
              </w:rPr>
              <w:t>32.2**</w:t>
            </w:r>
          </w:p>
        </w:tc>
        <w:tc>
          <w:tcPr>
            <w:tcW w:w="0" w:type="auto"/>
            <w:hideMark/>
          </w:tcPr>
          <w:p w:rsidR="00000000" w:rsidRDefault="00240F6E">
            <w:pPr>
              <w:pStyle w:val="a3"/>
              <w:spacing w:before="0" w:beforeAutospacing="0" w:after="0" w:afterAutospacing="0"/>
              <w:jc w:val="both"/>
              <w:rPr>
                <w:sz w:val="20"/>
                <w:szCs w:val="20"/>
              </w:rPr>
            </w:pPr>
            <w:r>
              <w:rPr>
                <w:sz w:val="20"/>
                <w:szCs w:val="20"/>
              </w:rPr>
              <w:t> </w:t>
            </w:r>
          </w:p>
        </w:tc>
        <w:tc>
          <w:tcPr>
            <w:tcW w:w="0" w:type="auto"/>
            <w:hideMark/>
          </w:tcPr>
          <w:p w:rsidR="00000000" w:rsidRDefault="00240F6E">
            <w:pPr>
              <w:pStyle w:val="a3"/>
              <w:spacing w:before="0" w:beforeAutospacing="0" w:after="0" w:afterAutospacing="0"/>
              <w:rPr>
                <w:sz w:val="20"/>
                <w:szCs w:val="20"/>
              </w:rPr>
            </w:pPr>
            <w:hyperlink r:id="rId11" w:history="1">
              <w:r>
                <w:rPr>
                  <w:rStyle w:val="a4"/>
                  <w:sz w:val="20"/>
                  <w:szCs w:val="20"/>
                </w:rPr>
                <w:t>Certification of the Comp</w:t>
              </w:r>
              <w:r>
                <w:rPr>
                  <w:rStyle w:val="a4"/>
                  <w:sz w:val="20"/>
                  <w:szCs w:val="20"/>
                </w:rPr>
                <w:t>any's Chief Financial Officer pursuant to 18 U.S.C. Section 1350, as adopted pursuant to Section 906 of the Sarbanes-Oxley Act of 2002</w:t>
              </w:r>
            </w:hyperlink>
            <w:r>
              <w:rPr>
                <w:sz w:val="20"/>
                <w:szCs w:val="20"/>
              </w:rPr>
              <w:t>.</w:t>
            </w:r>
          </w:p>
        </w:tc>
      </w:tr>
      <w:tr w:rsidR="00000000">
        <w:trPr>
          <w:divId w:val="178549469"/>
        </w:trPr>
        <w:tc>
          <w:tcPr>
            <w:tcW w:w="0" w:type="auto"/>
            <w:hideMark/>
          </w:tcPr>
          <w:p w:rsidR="00000000" w:rsidRDefault="00240F6E">
            <w:pPr>
              <w:pStyle w:val="a3"/>
              <w:spacing w:before="0" w:beforeAutospacing="0" w:after="0" w:afterAutospacing="0"/>
              <w:jc w:val="both"/>
              <w:rPr>
                <w:sz w:val="12"/>
                <w:szCs w:val="12"/>
              </w:rPr>
            </w:pPr>
            <w:r>
              <w:rPr>
                <w:sz w:val="12"/>
                <w:szCs w:val="12"/>
              </w:rPr>
              <w:t> </w:t>
            </w:r>
          </w:p>
        </w:tc>
        <w:tc>
          <w:tcPr>
            <w:tcW w:w="0" w:type="auto"/>
            <w:hideMark/>
          </w:tcPr>
          <w:p w:rsidR="00000000" w:rsidRDefault="00240F6E">
            <w:pPr>
              <w:pStyle w:val="a3"/>
              <w:spacing w:before="0" w:beforeAutospacing="0" w:after="0" w:afterAutospacing="0"/>
              <w:jc w:val="both"/>
              <w:rPr>
                <w:sz w:val="12"/>
                <w:szCs w:val="12"/>
              </w:rPr>
            </w:pPr>
            <w:r>
              <w:rPr>
                <w:sz w:val="12"/>
                <w:szCs w:val="12"/>
              </w:rPr>
              <w:t> </w:t>
            </w:r>
          </w:p>
        </w:tc>
        <w:tc>
          <w:tcPr>
            <w:tcW w:w="0" w:type="auto"/>
            <w:hideMark/>
          </w:tcPr>
          <w:p w:rsidR="00000000" w:rsidRDefault="00240F6E">
            <w:pPr>
              <w:pStyle w:val="a3"/>
              <w:spacing w:before="0" w:beforeAutospacing="0" w:after="0" w:afterAutospacing="0"/>
              <w:jc w:val="both"/>
              <w:rPr>
                <w:sz w:val="12"/>
                <w:szCs w:val="12"/>
              </w:rPr>
            </w:pPr>
            <w:r>
              <w:rPr>
                <w:sz w:val="12"/>
                <w:szCs w:val="12"/>
              </w:rPr>
              <w:t> </w:t>
            </w:r>
          </w:p>
        </w:tc>
      </w:tr>
      <w:tr w:rsidR="00000000">
        <w:trPr>
          <w:divId w:val="178549469"/>
        </w:trPr>
        <w:tc>
          <w:tcPr>
            <w:tcW w:w="0" w:type="auto"/>
            <w:hideMark/>
          </w:tcPr>
          <w:p w:rsidR="00000000" w:rsidRDefault="00240F6E">
            <w:pPr>
              <w:pStyle w:val="a3"/>
              <w:spacing w:before="0" w:beforeAutospacing="0" w:after="0" w:afterAutospacing="0"/>
              <w:jc w:val="both"/>
              <w:rPr>
                <w:sz w:val="20"/>
                <w:szCs w:val="20"/>
              </w:rPr>
            </w:pPr>
            <w:r>
              <w:rPr>
                <w:sz w:val="20"/>
                <w:szCs w:val="20"/>
              </w:rPr>
              <w:t>101.INS*</w:t>
            </w:r>
          </w:p>
        </w:tc>
        <w:tc>
          <w:tcPr>
            <w:tcW w:w="0" w:type="auto"/>
            <w:hideMark/>
          </w:tcPr>
          <w:p w:rsidR="00000000" w:rsidRDefault="00240F6E">
            <w:pPr>
              <w:pStyle w:val="a3"/>
              <w:spacing w:before="0" w:beforeAutospacing="0" w:after="0" w:afterAutospacing="0"/>
              <w:rPr>
                <w:sz w:val="20"/>
                <w:szCs w:val="20"/>
              </w:rPr>
            </w:pPr>
            <w:r>
              <w:rPr>
                <w:sz w:val="20"/>
                <w:szCs w:val="20"/>
              </w:rPr>
              <w:t> </w:t>
            </w:r>
          </w:p>
        </w:tc>
        <w:tc>
          <w:tcPr>
            <w:tcW w:w="0" w:type="auto"/>
            <w:hideMark/>
          </w:tcPr>
          <w:p w:rsidR="00000000" w:rsidRDefault="00240F6E">
            <w:pPr>
              <w:pStyle w:val="a3"/>
              <w:spacing w:before="0" w:beforeAutospacing="0" w:after="0" w:afterAutospacing="0"/>
              <w:rPr>
                <w:sz w:val="20"/>
                <w:szCs w:val="20"/>
              </w:rPr>
            </w:pPr>
            <w:r>
              <w:rPr>
                <w:sz w:val="20"/>
                <w:szCs w:val="20"/>
              </w:rPr>
              <w:t>XBRL Instance Document - The instance document does not appear in the interactive data file because its XBRL tags are embedded within the inline XBRL document.</w:t>
            </w:r>
          </w:p>
        </w:tc>
      </w:tr>
      <w:tr w:rsidR="00000000">
        <w:trPr>
          <w:divId w:val="178549469"/>
          <w:trHeight w:val="180"/>
        </w:trPr>
        <w:tc>
          <w:tcPr>
            <w:tcW w:w="0" w:type="auto"/>
            <w:hideMark/>
          </w:tcPr>
          <w:p w:rsidR="00000000" w:rsidRDefault="00240F6E">
            <w:pPr>
              <w:pStyle w:val="a3"/>
              <w:spacing w:before="0" w:beforeAutospacing="0" w:after="0" w:afterAutospacing="0"/>
              <w:jc w:val="both"/>
              <w:rPr>
                <w:sz w:val="12"/>
                <w:szCs w:val="12"/>
              </w:rPr>
            </w:pPr>
            <w:r>
              <w:rPr>
                <w:sz w:val="12"/>
                <w:szCs w:val="12"/>
              </w:rPr>
              <w:t> </w:t>
            </w:r>
          </w:p>
        </w:tc>
        <w:tc>
          <w:tcPr>
            <w:tcW w:w="0" w:type="auto"/>
            <w:hideMark/>
          </w:tcPr>
          <w:p w:rsidR="00000000" w:rsidRDefault="00240F6E">
            <w:pPr>
              <w:pStyle w:val="a3"/>
              <w:spacing w:before="0" w:beforeAutospacing="0" w:after="0" w:afterAutospacing="0"/>
              <w:jc w:val="both"/>
              <w:rPr>
                <w:sz w:val="12"/>
                <w:szCs w:val="12"/>
              </w:rPr>
            </w:pPr>
            <w:r>
              <w:rPr>
                <w:sz w:val="12"/>
                <w:szCs w:val="12"/>
              </w:rPr>
              <w:t> </w:t>
            </w:r>
          </w:p>
        </w:tc>
        <w:tc>
          <w:tcPr>
            <w:tcW w:w="0" w:type="auto"/>
            <w:hideMark/>
          </w:tcPr>
          <w:p w:rsidR="00000000" w:rsidRDefault="00240F6E">
            <w:pPr>
              <w:pStyle w:val="a3"/>
              <w:spacing w:before="0" w:beforeAutospacing="0" w:after="0" w:afterAutospacing="0"/>
              <w:jc w:val="both"/>
              <w:rPr>
                <w:sz w:val="12"/>
                <w:szCs w:val="12"/>
              </w:rPr>
            </w:pPr>
            <w:r>
              <w:rPr>
                <w:sz w:val="12"/>
                <w:szCs w:val="12"/>
              </w:rPr>
              <w:t> </w:t>
            </w:r>
          </w:p>
        </w:tc>
      </w:tr>
      <w:tr w:rsidR="00000000">
        <w:trPr>
          <w:divId w:val="178549469"/>
        </w:trPr>
        <w:tc>
          <w:tcPr>
            <w:tcW w:w="0" w:type="auto"/>
            <w:hideMark/>
          </w:tcPr>
          <w:p w:rsidR="00000000" w:rsidRDefault="00240F6E">
            <w:pPr>
              <w:pStyle w:val="a3"/>
              <w:spacing w:before="0" w:beforeAutospacing="0" w:after="0" w:afterAutospacing="0"/>
              <w:jc w:val="both"/>
              <w:rPr>
                <w:sz w:val="20"/>
                <w:szCs w:val="20"/>
              </w:rPr>
            </w:pPr>
            <w:r>
              <w:rPr>
                <w:sz w:val="20"/>
                <w:szCs w:val="20"/>
              </w:rPr>
              <w:t>101.SCH*</w:t>
            </w:r>
          </w:p>
        </w:tc>
        <w:tc>
          <w:tcPr>
            <w:tcW w:w="0" w:type="auto"/>
            <w:hideMark/>
          </w:tcPr>
          <w:p w:rsidR="00000000" w:rsidRDefault="00240F6E">
            <w:pPr>
              <w:pStyle w:val="a3"/>
              <w:spacing w:before="0" w:beforeAutospacing="0" w:after="0" w:afterAutospacing="0"/>
              <w:rPr>
                <w:sz w:val="20"/>
                <w:szCs w:val="20"/>
              </w:rPr>
            </w:pPr>
            <w:r>
              <w:rPr>
                <w:sz w:val="20"/>
                <w:szCs w:val="20"/>
              </w:rPr>
              <w:t> </w:t>
            </w:r>
          </w:p>
        </w:tc>
        <w:tc>
          <w:tcPr>
            <w:tcW w:w="0" w:type="auto"/>
            <w:hideMark/>
          </w:tcPr>
          <w:p w:rsidR="00000000" w:rsidRDefault="00240F6E">
            <w:pPr>
              <w:pStyle w:val="a3"/>
              <w:spacing w:before="0" w:beforeAutospacing="0" w:after="0" w:afterAutospacing="0"/>
              <w:rPr>
                <w:sz w:val="20"/>
                <w:szCs w:val="20"/>
              </w:rPr>
            </w:pPr>
            <w:r>
              <w:rPr>
                <w:sz w:val="20"/>
                <w:szCs w:val="20"/>
              </w:rPr>
              <w:t>XBRL Taxonomy Extension Schema</w:t>
            </w:r>
          </w:p>
        </w:tc>
      </w:tr>
      <w:tr w:rsidR="00000000">
        <w:trPr>
          <w:divId w:val="178549469"/>
        </w:trPr>
        <w:tc>
          <w:tcPr>
            <w:tcW w:w="0" w:type="auto"/>
            <w:hideMark/>
          </w:tcPr>
          <w:p w:rsidR="00000000" w:rsidRDefault="00240F6E">
            <w:pPr>
              <w:pStyle w:val="a3"/>
              <w:spacing w:before="0" w:beforeAutospacing="0" w:after="0" w:afterAutospacing="0"/>
              <w:jc w:val="both"/>
              <w:rPr>
                <w:sz w:val="12"/>
                <w:szCs w:val="12"/>
              </w:rPr>
            </w:pPr>
            <w:r>
              <w:rPr>
                <w:sz w:val="12"/>
                <w:szCs w:val="12"/>
              </w:rPr>
              <w:t> </w:t>
            </w:r>
          </w:p>
        </w:tc>
        <w:tc>
          <w:tcPr>
            <w:tcW w:w="0" w:type="auto"/>
            <w:hideMark/>
          </w:tcPr>
          <w:p w:rsidR="00000000" w:rsidRDefault="00240F6E">
            <w:pPr>
              <w:pStyle w:val="a3"/>
              <w:spacing w:before="0" w:beforeAutospacing="0" w:after="0" w:afterAutospacing="0"/>
              <w:jc w:val="both"/>
              <w:rPr>
                <w:sz w:val="12"/>
                <w:szCs w:val="12"/>
              </w:rPr>
            </w:pPr>
            <w:r>
              <w:rPr>
                <w:sz w:val="12"/>
                <w:szCs w:val="12"/>
              </w:rPr>
              <w:t> </w:t>
            </w:r>
          </w:p>
        </w:tc>
        <w:tc>
          <w:tcPr>
            <w:tcW w:w="0" w:type="auto"/>
            <w:hideMark/>
          </w:tcPr>
          <w:p w:rsidR="00000000" w:rsidRDefault="00240F6E">
            <w:pPr>
              <w:pStyle w:val="a3"/>
              <w:spacing w:before="0" w:beforeAutospacing="0" w:after="0" w:afterAutospacing="0"/>
              <w:jc w:val="both"/>
              <w:rPr>
                <w:sz w:val="12"/>
                <w:szCs w:val="12"/>
              </w:rPr>
            </w:pPr>
            <w:r>
              <w:rPr>
                <w:sz w:val="12"/>
                <w:szCs w:val="12"/>
              </w:rPr>
              <w:t> </w:t>
            </w:r>
          </w:p>
        </w:tc>
      </w:tr>
      <w:tr w:rsidR="00000000">
        <w:trPr>
          <w:divId w:val="178549469"/>
        </w:trPr>
        <w:tc>
          <w:tcPr>
            <w:tcW w:w="0" w:type="auto"/>
            <w:hideMark/>
          </w:tcPr>
          <w:p w:rsidR="00000000" w:rsidRDefault="00240F6E">
            <w:pPr>
              <w:pStyle w:val="a3"/>
              <w:spacing w:before="0" w:beforeAutospacing="0" w:after="0" w:afterAutospacing="0"/>
              <w:jc w:val="both"/>
              <w:rPr>
                <w:sz w:val="20"/>
                <w:szCs w:val="20"/>
              </w:rPr>
            </w:pPr>
            <w:r>
              <w:rPr>
                <w:sz w:val="20"/>
                <w:szCs w:val="20"/>
              </w:rPr>
              <w:t>101.CAL*</w:t>
            </w:r>
          </w:p>
        </w:tc>
        <w:tc>
          <w:tcPr>
            <w:tcW w:w="0" w:type="auto"/>
            <w:hideMark/>
          </w:tcPr>
          <w:p w:rsidR="00000000" w:rsidRDefault="00240F6E">
            <w:pPr>
              <w:pStyle w:val="a3"/>
              <w:spacing w:before="0" w:beforeAutospacing="0" w:after="0" w:afterAutospacing="0"/>
              <w:rPr>
                <w:sz w:val="20"/>
                <w:szCs w:val="20"/>
              </w:rPr>
            </w:pPr>
            <w:r>
              <w:rPr>
                <w:sz w:val="20"/>
                <w:szCs w:val="20"/>
              </w:rPr>
              <w:t> </w:t>
            </w:r>
          </w:p>
        </w:tc>
        <w:tc>
          <w:tcPr>
            <w:tcW w:w="0" w:type="auto"/>
            <w:hideMark/>
          </w:tcPr>
          <w:p w:rsidR="00000000" w:rsidRDefault="00240F6E">
            <w:pPr>
              <w:pStyle w:val="a3"/>
              <w:spacing w:before="0" w:beforeAutospacing="0" w:after="0" w:afterAutospacing="0"/>
              <w:rPr>
                <w:sz w:val="20"/>
                <w:szCs w:val="20"/>
              </w:rPr>
            </w:pPr>
            <w:r>
              <w:rPr>
                <w:sz w:val="20"/>
                <w:szCs w:val="20"/>
              </w:rPr>
              <w:t>XBRL Taxonomy Extension Cal</w:t>
            </w:r>
            <w:r>
              <w:rPr>
                <w:sz w:val="20"/>
                <w:szCs w:val="20"/>
              </w:rPr>
              <w:t>culation Linkbase</w:t>
            </w:r>
          </w:p>
        </w:tc>
      </w:tr>
      <w:tr w:rsidR="00000000">
        <w:trPr>
          <w:divId w:val="178549469"/>
        </w:trPr>
        <w:tc>
          <w:tcPr>
            <w:tcW w:w="0" w:type="auto"/>
            <w:hideMark/>
          </w:tcPr>
          <w:p w:rsidR="00000000" w:rsidRDefault="00240F6E">
            <w:pPr>
              <w:pStyle w:val="a3"/>
              <w:spacing w:before="0" w:beforeAutospacing="0" w:after="0" w:afterAutospacing="0"/>
              <w:jc w:val="both"/>
              <w:rPr>
                <w:sz w:val="12"/>
                <w:szCs w:val="12"/>
              </w:rPr>
            </w:pPr>
            <w:r>
              <w:rPr>
                <w:sz w:val="12"/>
                <w:szCs w:val="12"/>
              </w:rPr>
              <w:t> </w:t>
            </w:r>
          </w:p>
        </w:tc>
        <w:tc>
          <w:tcPr>
            <w:tcW w:w="0" w:type="auto"/>
            <w:hideMark/>
          </w:tcPr>
          <w:p w:rsidR="00000000" w:rsidRDefault="00240F6E">
            <w:pPr>
              <w:pStyle w:val="a3"/>
              <w:spacing w:before="0" w:beforeAutospacing="0" w:after="0" w:afterAutospacing="0"/>
              <w:jc w:val="both"/>
              <w:rPr>
                <w:sz w:val="12"/>
                <w:szCs w:val="12"/>
              </w:rPr>
            </w:pPr>
            <w:r>
              <w:rPr>
                <w:sz w:val="12"/>
                <w:szCs w:val="12"/>
              </w:rPr>
              <w:t> </w:t>
            </w:r>
          </w:p>
        </w:tc>
        <w:tc>
          <w:tcPr>
            <w:tcW w:w="0" w:type="auto"/>
            <w:hideMark/>
          </w:tcPr>
          <w:p w:rsidR="00000000" w:rsidRDefault="00240F6E">
            <w:pPr>
              <w:pStyle w:val="a3"/>
              <w:spacing w:before="0" w:beforeAutospacing="0" w:after="0" w:afterAutospacing="0"/>
              <w:jc w:val="both"/>
              <w:rPr>
                <w:sz w:val="12"/>
                <w:szCs w:val="12"/>
              </w:rPr>
            </w:pPr>
            <w:r>
              <w:rPr>
                <w:sz w:val="12"/>
                <w:szCs w:val="12"/>
              </w:rPr>
              <w:t> </w:t>
            </w:r>
          </w:p>
        </w:tc>
      </w:tr>
      <w:tr w:rsidR="00000000">
        <w:trPr>
          <w:divId w:val="178549469"/>
        </w:trPr>
        <w:tc>
          <w:tcPr>
            <w:tcW w:w="0" w:type="auto"/>
            <w:hideMark/>
          </w:tcPr>
          <w:p w:rsidR="00000000" w:rsidRDefault="00240F6E">
            <w:pPr>
              <w:pStyle w:val="a3"/>
              <w:spacing w:before="0" w:beforeAutospacing="0" w:after="0" w:afterAutospacing="0"/>
              <w:jc w:val="both"/>
              <w:rPr>
                <w:sz w:val="20"/>
                <w:szCs w:val="20"/>
              </w:rPr>
            </w:pPr>
            <w:r>
              <w:rPr>
                <w:sz w:val="20"/>
                <w:szCs w:val="20"/>
              </w:rPr>
              <w:t>101.DEF*</w:t>
            </w:r>
          </w:p>
        </w:tc>
        <w:tc>
          <w:tcPr>
            <w:tcW w:w="0" w:type="auto"/>
            <w:hideMark/>
          </w:tcPr>
          <w:p w:rsidR="00000000" w:rsidRDefault="00240F6E">
            <w:pPr>
              <w:pStyle w:val="a3"/>
              <w:spacing w:before="0" w:beforeAutospacing="0" w:after="0" w:afterAutospacing="0"/>
              <w:jc w:val="both"/>
              <w:rPr>
                <w:sz w:val="20"/>
                <w:szCs w:val="20"/>
              </w:rPr>
            </w:pPr>
            <w:r>
              <w:rPr>
                <w:sz w:val="20"/>
                <w:szCs w:val="20"/>
              </w:rPr>
              <w:t> </w:t>
            </w:r>
          </w:p>
        </w:tc>
        <w:tc>
          <w:tcPr>
            <w:tcW w:w="0" w:type="auto"/>
            <w:hideMark/>
          </w:tcPr>
          <w:p w:rsidR="00000000" w:rsidRDefault="00240F6E">
            <w:pPr>
              <w:pStyle w:val="a3"/>
              <w:spacing w:before="0" w:beforeAutospacing="0" w:after="0" w:afterAutospacing="0"/>
              <w:jc w:val="both"/>
              <w:rPr>
                <w:sz w:val="20"/>
                <w:szCs w:val="20"/>
              </w:rPr>
            </w:pPr>
            <w:r>
              <w:rPr>
                <w:sz w:val="20"/>
                <w:szCs w:val="20"/>
              </w:rPr>
              <w:t>XBRL Taxonomy Extension Definition Linkbase</w:t>
            </w:r>
          </w:p>
        </w:tc>
      </w:tr>
      <w:tr w:rsidR="00000000">
        <w:trPr>
          <w:divId w:val="178549469"/>
        </w:trPr>
        <w:tc>
          <w:tcPr>
            <w:tcW w:w="0" w:type="auto"/>
            <w:hideMark/>
          </w:tcPr>
          <w:p w:rsidR="00000000" w:rsidRDefault="00240F6E">
            <w:pPr>
              <w:pStyle w:val="a3"/>
              <w:spacing w:before="0" w:beforeAutospacing="0" w:after="0" w:afterAutospacing="0"/>
              <w:jc w:val="both"/>
              <w:rPr>
                <w:sz w:val="12"/>
                <w:szCs w:val="12"/>
              </w:rPr>
            </w:pPr>
            <w:r>
              <w:rPr>
                <w:sz w:val="12"/>
                <w:szCs w:val="12"/>
              </w:rPr>
              <w:t> </w:t>
            </w:r>
          </w:p>
        </w:tc>
        <w:tc>
          <w:tcPr>
            <w:tcW w:w="0" w:type="auto"/>
            <w:hideMark/>
          </w:tcPr>
          <w:p w:rsidR="00000000" w:rsidRDefault="00240F6E">
            <w:pPr>
              <w:pStyle w:val="a3"/>
              <w:spacing w:before="0" w:beforeAutospacing="0" w:after="0" w:afterAutospacing="0"/>
              <w:jc w:val="both"/>
              <w:rPr>
                <w:sz w:val="12"/>
                <w:szCs w:val="12"/>
              </w:rPr>
            </w:pPr>
            <w:r>
              <w:rPr>
                <w:sz w:val="12"/>
                <w:szCs w:val="12"/>
              </w:rPr>
              <w:t> </w:t>
            </w:r>
          </w:p>
        </w:tc>
        <w:tc>
          <w:tcPr>
            <w:tcW w:w="0" w:type="auto"/>
            <w:hideMark/>
          </w:tcPr>
          <w:p w:rsidR="00000000" w:rsidRDefault="00240F6E">
            <w:pPr>
              <w:pStyle w:val="a3"/>
              <w:spacing w:before="0" w:beforeAutospacing="0" w:after="0" w:afterAutospacing="0"/>
              <w:jc w:val="both"/>
              <w:rPr>
                <w:sz w:val="12"/>
                <w:szCs w:val="12"/>
              </w:rPr>
            </w:pPr>
            <w:r>
              <w:rPr>
                <w:sz w:val="12"/>
                <w:szCs w:val="12"/>
              </w:rPr>
              <w:t> </w:t>
            </w:r>
          </w:p>
        </w:tc>
      </w:tr>
      <w:tr w:rsidR="00000000">
        <w:trPr>
          <w:divId w:val="178549469"/>
        </w:trPr>
        <w:tc>
          <w:tcPr>
            <w:tcW w:w="0" w:type="auto"/>
            <w:hideMark/>
          </w:tcPr>
          <w:p w:rsidR="00000000" w:rsidRDefault="00240F6E">
            <w:pPr>
              <w:pStyle w:val="a3"/>
              <w:spacing w:before="0" w:beforeAutospacing="0" w:after="0" w:afterAutospacing="0"/>
              <w:jc w:val="both"/>
              <w:rPr>
                <w:sz w:val="20"/>
                <w:szCs w:val="20"/>
              </w:rPr>
            </w:pPr>
            <w:r>
              <w:rPr>
                <w:sz w:val="20"/>
                <w:szCs w:val="20"/>
              </w:rPr>
              <w:t>101.LAB*</w:t>
            </w:r>
          </w:p>
        </w:tc>
        <w:tc>
          <w:tcPr>
            <w:tcW w:w="0" w:type="auto"/>
            <w:hideMark/>
          </w:tcPr>
          <w:p w:rsidR="00000000" w:rsidRDefault="00240F6E">
            <w:pPr>
              <w:pStyle w:val="a3"/>
              <w:spacing w:before="0" w:beforeAutospacing="0" w:after="0" w:afterAutospacing="0"/>
              <w:rPr>
                <w:sz w:val="20"/>
                <w:szCs w:val="20"/>
              </w:rPr>
            </w:pPr>
            <w:r>
              <w:rPr>
                <w:sz w:val="20"/>
                <w:szCs w:val="20"/>
              </w:rPr>
              <w:t> </w:t>
            </w:r>
          </w:p>
        </w:tc>
        <w:tc>
          <w:tcPr>
            <w:tcW w:w="0" w:type="auto"/>
            <w:hideMark/>
          </w:tcPr>
          <w:p w:rsidR="00000000" w:rsidRDefault="00240F6E">
            <w:pPr>
              <w:pStyle w:val="a3"/>
              <w:spacing w:before="0" w:beforeAutospacing="0" w:after="0" w:afterAutospacing="0"/>
              <w:rPr>
                <w:sz w:val="20"/>
                <w:szCs w:val="20"/>
              </w:rPr>
            </w:pPr>
            <w:r>
              <w:rPr>
                <w:sz w:val="20"/>
                <w:szCs w:val="20"/>
              </w:rPr>
              <w:t>XBRL Taxonomy Extension Label Linkbase</w:t>
            </w:r>
          </w:p>
        </w:tc>
      </w:tr>
      <w:tr w:rsidR="00000000">
        <w:trPr>
          <w:divId w:val="178549469"/>
        </w:trPr>
        <w:tc>
          <w:tcPr>
            <w:tcW w:w="0" w:type="auto"/>
            <w:hideMark/>
          </w:tcPr>
          <w:p w:rsidR="00000000" w:rsidRDefault="00240F6E">
            <w:pPr>
              <w:pStyle w:val="a3"/>
              <w:spacing w:before="0" w:beforeAutospacing="0" w:after="0" w:afterAutospacing="0"/>
              <w:jc w:val="both"/>
              <w:rPr>
                <w:sz w:val="12"/>
                <w:szCs w:val="12"/>
              </w:rPr>
            </w:pPr>
            <w:r>
              <w:rPr>
                <w:sz w:val="12"/>
                <w:szCs w:val="12"/>
              </w:rPr>
              <w:t> </w:t>
            </w:r>
          </w:p>
        </w:tc>
        <w:tc>
          <w:tcPr>
            <w:tcW w:w="0" w:type="auto"/>
            <w:hideMark/>
          </w:tcPr>
          <w:p w:rsidR="00000000" w:rsidRDefault="00240F6E">
            <w:pPr>
              <w:pStyle w:val="a3"/>
              <w:spacing w:before="0" w:beforeAutospacing="0" w:after="0" w:afterAutospacing="0"/>
              <w:jc w:val="both"/>
              <w:rPr>
                <w:sz w:val="12"/>
                <w:szCs w:val="12"/>
              </w:rPr>
            </w:pPr>
            <w:r>
              <w:rPr>
                <w:sz w:val="12"/>
                <w:szCs w:val="12"/>
              </w:rPr>
              <w:t> </w:t>
            </w:r>
          </w:p>
        </w:tc>
        <w:tc>
          <w:tcPr>
            <w:tcW w:w="0" w:type="auto"/>
            <w:hideMark/>
          </w:tcPr>
          <w:p w:rsidR="00000000" w:rsidRDefault="00240F6E">
            <w:pPr>
              <w:pStyle w:val="a3"/>
              <w:spacing w:before="0" w:beforeAutospacing="0" w:after="0" w:afterAutospacing="0"/>
              <w:jc w:val="both"/>
              <w:rPr>
                <w:sz w:val="12"/>
                <w:szCs w:val="12"/>
              </w:rPr>
            </w:pPr>
            <w:r>
              <w:rPr>
                <w:sz w:val="12"/>
                <w:szCs w:val="12"/>
              </w:rPr>
              <w:t> </w:t>
            </w:r>
          </w:p>
        </w:tc>
      </w:tr>
      <w:tr w:rsidR="00000000">
        <w:trPr>
          <w:divId w:val="178549469"/>
        </w:trPr>
        <w:tc>
          <w:tcPr>
            <w:tcW w:w="0" w:type="auto"/>
            <w:hideMark/>
          </w:tcPr>
          <w:p w:rsidR="00000000" w:rsidRDefault="00240F6E">
            <w:pPr>
              <w:pStyle w:val="a3"/>
              <w:spacing w:before="0" w:beforeAutospacing="0" w:after="0" w:afterAutospacing="0"/>
              <w:jc w:val="both"/>
              <w:rPr>
                <w:sz w:val="20"/>
                <w:szCs w:val="20"/>
              </w:rPr>
            </w:pPr>
            <w:r>
              <w:rPr>
                <w:sz w:val="20"/>
                <w:szCs w:val="20"/>
              </w:rPr>
              <w:t>101.PRE*</w:t>
            </w:r>
          </w:p>
        </w:tc>
        <w:tc>
          <w:tcPr>
            <w:tcW w:w="0" w:type="auto"/>
            <w:hideMark/>
          </w:tcPr>
          <w:p w:rsidR="00000000" w:rsidRDefault="00240F6E">
            <w:pPr>
              <w:pStyle w:val="a3"/>
              <w:spacing w:before="0" w:beforeAutospacing="0" w:after="0" w:afterAutospacing="0"/>
              <w:jc w:val="both"/>
              <w:rPr>
                <w:sz w:val="20"/>
                <w:szCs w:val="20"/>
              </w:rPr>
            </w:pPr>
            <w:r>
              <w:rPr>
                <w:sz w:val="20"/>
                <w:szCs w:val="20"/>
              </w:rPr>
              <w:t> </w:t>
            </w:r>
          </w:p>
        </w:tc>
        <w:tc>
          <w:tcPr>
            <w:tcW w:w="0" w:type="auto"/>
            <w:hideMark/>
          </w:tcPr>
          <w:p w:rsidR="00000000" w:rsidRDefault="00240F6E">
            <w:pPr>
              <w:pStyle w:val="a3"/>
              <w:spacing w:before="0" w:beforeAutospacing="0" w:after="0" w:afterAutospacing="0"/>
              <w:jc w:val="both"/>
              <w:rPr>
                <w:sz w:val="20"/>
                <w:szCs w:val="20"/>
              </w:rPr>
            </w:pPr>
            <w:r>
              <w:rPr>
                <w:sz w:val="20"/>
                <w:szCs w:val="20"/>
              </w:rPr>
              <w:t>XBRL Taxonomy Extension Presentation Linkbase</w:t>
            </w:r>
          </w:p>
        </w:tc>
      </w:tr>
    </w:tbl>
    <w:p w:rsidR="00000000" w:rsidRDefault="00240F6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81227192"/>
        </w:trPr>
        <w:tc>
          <w:tcPr>
            <w:tcW w:w="227" w:type="pct"/>
            <w:noWrap/>
            <w:hideMark/>
          </w:tcPr>
          <w:p w:rsidR="00000000" w:rsidRDefault="00240F6E">
            <w:pPr>
              <w:pStyle w:val="a3"/>
              <w:spacing w:before="0" w:beforeAutospacing="0" w:after="0" w:afterAutospacing="0"/>
              <w:rPr>
                <w:sz w:val="20"/>
                <w:szCs w:val="20"/>
              </w:rPr>
            </w:pPr>
            <w:r>
              <w:rPr>
                <w:sz w:val="20"/>
                <w:szCs w:val="20"/>
              </w:rPr>
              <w:t>*</w:t>
            </w:r>
          </w:p>
        </w:tc>
        <w:tc>
          <w:tcPr>
            <w:tcW w:w="0" w:type="auto"/>
            <w:hideMark/>
          </w:tcPr>
          <w:p w:rsidR="00000000" w:rsidRDefault="00240F6E">
            <w:pPr>
              <w:pStyle w:val="a3"/>
              <w:spacing w:before="0" w:beforeAutospacing="0" w:after="0" w:afterAutospacing="0"/>
              <w:rPr>
                <w:sz w:val="20"/>
                <w:szCs w:val="20"/>
              </w:rPr>
            </w:pPr>
            <w:r>
              <w:rPr>
                <w:sz w:val="20"/>
                <w:szCs w:val="20"/>
              </w:rPr>
              <w:t>Filed herewith.</w:t>
            </w:r>
          </w:p>
        </w:tc>
      </w:tr>
    </w:tbl>
    <w:p w:rsidR="00000000" w:rsidRDefault="00240F6E">
      <w:pPr>
        <w:pStyle w:val="a3"/>
        <w:spacing w:before="0" w:beforeAutospacing="0" w:after="0" w:afterAutospacing="0"/>
        <w:ind w:left="476" w:hanging="556"/>
        <w:rPr>
          <w:sz w:val="12"/>
          <w:szCs w:val="12"/>
        </w:rPr>
      </w:pPr>
      <w:r>
        <w:rPr>
          <w:sz w:val="12"/>
          <w:szCs w:val="12"/>
        </w:rPr>
        <w:t> </w:t>
      </w:r>
    </w:p>
    <w:tbl>
      <w:tblPr>
        <w:tblW w:w="5000" w:type="pct"/>
        <w:tblCellMar>
          <w:left w:w="0" w:type="dxa"/>
          <w:right w:w="0" w:type="dxa"/>
        </w:tblCellMar>
        <w:tblLook w:val="04A0" w:firstRow="1" w:lastRow="0" w:firstColumn="1" w:lastColumn="0" w:noHBand="0" w:noVBand="1"/>
      </w:tblPr>
      <w:tblGrid>
        <w:gridCol w:w="377"/>
        <w:gridCol w:w="7929"/>
      </w:tblGrid>
      <w:tr w:rsidR="00000000">
        <w:trPr>
          <w:divId w:val="1307932867"/>
        </w:trPr>
        <w:tc>
          <w:tcPr>
            <w:tcW w:w="227" w:type="pct"/>
            <w:noWrap/>
            <w:hideMark/>
          </w:tcPr>
          <w:p w:rsidR="00000000" w:rsidRDefault="00240F6E">
            <w:pPr>
              <w:pStyle w:val="a3"/>
              <w:spacing w:before="0" w:beforeAutospacing="0" w:after="0" w:afterAutospacing="0"/>
              <w:jc w:val="both"/>
              <w:rPr>
                <w:sz w:val="20"/>
                <w:szCs w:val="20"/>
              </w:rPr>
            </w:pPr>
            <w:r>
              <w:rPr>
                <w:sz w:val="20"/>
                <w:szCs w:val="20"/>
              </w:rPr>
              <w:t>**</w:t>
            </w:r>
          </w:p>
        </w:tc>
        <w:tc>
          <w:tcPr>
            <w:tcW w:w="0" w:type="auto"/>
            <w:hideMark/>
          </w:tcPr>
          <w:p w:rsidR="00000000" w:rsidRDefault="00240F6E">
            <w:pPr>
              <w:pStyle w:val="a3"/>
              <w:spacing w:before="0" w:beforeAutospacing="0" w:after="0" w:afterAutospacing="0"/>
              <w:jc w:val="both"/>
              <w:rPr>
                <w:sz w:val="20"/>
                <w:szCs w:val="20"/>
              </w:rPr>
            </w:pPr>
            <w:r>
              <w:rPr>
                <w:sz w:val="20"/>
                <w:szCs w:val="20"/>
              </w:rPr>
              <w:t xml:space="preserve">Furnished herewith. </w:t>
            </w:r>
          </w:p>
        </w:tc>
      </w:tr>
    </w:tbl>
    <w:p w:rsidR="00000000" w:rsidRDefault="00240F6E">
      <w:pPr>
        <w:pStyle w:val="a3"/>
        <w:spacing w:before="240" w:beforeAutospacing="0" w:after="0" w:afterAutospacing="0"/>
        <w:jc w:val="center"/>
        <w:rPr>
          <w:sz w:val="20"/>
          <w:szCs w:val="20"/>
        </w:rPr>
      </w:pPr>
      <w:r>
        <w:rPr>
          <w:sz w:val="20"/>
          <w:szCs w:val="20"/>
        </w:rPr>
        <w:t>42</w:t>
      </w:r>
    </w:p>
    <w:p w:rsidR="00000000" w:rsidRDefault="00240F6E">
      <w:pPr>
        <w:rPr>
          <w:rFonts w:eastAsia="Times New Roman"/>
        </w:rPr>
      </w:pPr>
      <w:r>
        <w:rPr>
          <w:rFonts w:eastAsia="Times New Roman"/>
        </w:rPr>
        <w:pict>
          <v:rect id="_x0000_i1068" style="width:0;height:1.5pt" o:hralign="center" o:hrstd="t" o:hr="t" fillcolor="#a0a0a0" stroked="f"/>
        </w:pict>
      </w:r>
    </w:p>
    <w:p w:rsidR="00000000" w:rsidRDefault="00240F6E">
      <w:pPr>
        <w:pStyle w:val="a3"/>
        <w:spacing w:before="0" w:beforeAutospacing="0" w:after="0" w:afterAutospacing="0"/>
        <w:rPr>
          <w:sz w:val="20"/>
          <w:szCs w:val="20"/>
        </w:rPr>
      </w:pPr>
      <w:r>
        <w:rPr>
          <w:sz w:val="20"/>
          <w:szCs w:val="20"/>
        </w:rPr>
        <w:t> </w:t>
      </w:r>
    </w:p>
    <w:p w:rsidR="00000000" w:rsidRDefault="00240F6E">
      <w:pPr>
        <w:pStyle w:val="a3"/>
        <w:spacing w:before="0" w:beforeAutospacing="0" w:after="0" w:afterAutospacing="0"/>
        <w:jc w:val="center"/>
        <w:rPr>
          <w:b/>
          <w:bCs/>
          <w:sz w:val="20"/>
          <w:szCs w:val="20"/>
        </w:rPr>
      </w:pPr>
      <w:r>
        <w:rPr>
          <w:b/>
          <w:bCs/>
          <w:sz w:val="20"/>
          <w:szCs w:val="20"/>
        </w:rPr>
        <w:t>SIGNATURES</w:t>
      </w:r>
    </w:p>
    <w:p w:rsidR="00000000" w:rsidRDefault="00240F6E">
      <w:pPr>
        <w:pStyle w:val="a3"/>
        <w:spacing w:before="240" w:beforeAutospacing="0" w:after="0" w:afterAutospacing="0"/>
        <w:jc w:val="both"/>
        <w:rPr>
          <w:sz w:val="20"/>
          <w:szCs w:val="20"/>
        </w:rPr>
      </w:pPr>
      <w:r>
        <w:rPr>
          <w:sz w:val="20"/>
          <w:szCs w:val="20"/>
        </w:rPr>
        <w:t>Pursuant to the requirements of the Securities Exchange Act of 1934, the registrant has duly caused this report to be signed on its behalf by the undersigned, thereunto duly authorized.</w:t>
      </w:r>
    </w:p>
    <w:p w:rsidR="00000000" w:rsidRDefault="00240F6E">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153"/>
        <w:gridCol w:w="415"/>
        <w:gridCol w:w="3738"/>
      </w:tblGrid>
      <w:tr w:rsidR="00000000">
        <w:trPr>
          <w:divId w:val="1614287274"/>
        </w:trPr>
        <w:tc>
          <w:tcPr>
            <w:tcW w:w="2500" w:type="pct"/>
            <w:hideMark/>
          </w:tcPr>
          <w:p w:rsidR="00000000" w:rsidRDefault="00240F6E">
            <w:pPr>
              <w:pStyle w:val="a3"/>
              <w:spacing w:before="0" w:beforeAutospacing="0" w:after="0" w:afterAutospacing="0"/>
              <w:rPr>
                <w:sz w:val="20"/>
                <w:szCs w:val="20"/>
              </w:rPr>
            </w:pPr>
            <w:r>
              <w:rPr>
                <w:sz w:val="20"/>
                <w:szCs w:val="20"/>
              </w:rPr>
              <w:t> </w:t>
            </w:r>
          </w:p>
        </w:tc>
        <w:tc>
          <w:tcPr>
            <w:tcW w:w="250" w:type="pct"/>
            <w:gridSpan w:val="2"/>
            <w:hideMark/>
          </w:tcPr>
          <w:p w:rsidR="00000000" w:rsidRDefault="00240F6E">
            <w:pPr>
              <w:pStyle w:val="a3"/>
              <w:spacing w:before="0" w:beforeAutospacing="0" w:after="0" w:afterAutospacing="0"/>
              <w:rPr>
                <w:b/>
                <w:bCs/>
                <w:sz w:val="20"/>
                <w:szCs w:val="20"/>
              </w:rPr>
            </w:pPr>
            <w:r>
              <w:rPr>
                <w:b/>
                <w:bCs/>
                <w:sz w:val="20"/>
                <w:szCs w:val="20"/>
              </w:rPr>
              <w:t>CORECIVIC, INC.</w:t>
            </w:r>
          </w:p>
        </w:tc>
      </w:tr>
      <w:tr w:rsidR="00000000">
        <w:trPr>
          <w:divId w:val="1614287274"/>
        </w:trPr>
        <w:tc>
          <w:tcPr>
            <w:tcW w:w="2500" w:type="pct"/>
            <w:hideMark/>
          </w:tcPr>
          <w:p w:rsidR="00000000" w:rsidRDefault="00240F6E">
            <w:pPr>
              <w:pStyle w:val="a3"/>
              <w:spacing w:before="0" w:beforeAutospacing="0" w:after="0" w:afterAutospacing="0"/>
              <w:rPr>
                <w:sz w:val="20"/>
                <w:szCs w:val="20"/>
              </w:rPr>
            </w:pPr>
            <w:r>
              <w:rPr>
                <w:sz w:val="20"/>
                <w:szCs w:val="20"/>
              </w:rPr>
              <w:t> </w:t>
            </w:r>
          </w:p>
        </w:tc>
        <w:tc>
          <w:tcPr>
            <w:tcW w:w="250" w:type="pct"/>
            <w:hideMark/>
          </w:tcPr>
          <w:p w:rsidR="00000000" w:rsidRDefault="00240F6E">
            <w:pPr>
              <w:pStyle w:val="a3"/>
              <w:spacing w:before="0" w:beforeAutospacing="0" w:after="0" w:afterAutospacing="0"/>
              <w:rPr>
                <w:sz w:val="20"/>
                <w:szCs w:val="20"/>
              </w:rPr>
            </w:pPr>
            <w:r>
              <w:rPr>
                <w:sz w:val="20"/>
                <w:szCs w:val="20"/>
              </w:rPr>
              <w:t> </w:t>
            </w:r>
          </w:p>
        </w:tc>
        <w:tc>
          <w:tcPr>
            <w:tcW w:w="2250" w:type="pct"/>
            <w:hideMark/>
          </w:tcPr>
          <w:p w:rsidR="00000000" w:rsidRDefault="00240F6E">
            <w:pPr>
              <w:pStyle w:val="a3"/>
              <w:spacing w:before="0" w:beforeAutospacing="0" w:after="0" w:afterAutospacing="0"/>
              <w:rPr>
                <w:sz w:val="20"/>
                <w:szCs w:val="20"/>
              </w:rPr>
            </w:pPr>
            <w:r>
              <w:rPr>
                <w:sz w:val="20"/>
                <w:szCs w:val="20"/>
              </w:rPr>
              <w:t> </w:t>
            </w:r>
          </w:p>
        </w:tc>
      </w:tr>
      <w:tr w:rsidR="00000000">
        <w:trPr>
          <w:divId w:val="1614287274"/>
        </w:trPr>
        <w:tc>
          <w:tcPr>
            <w:tcW w:w="2500" w:type="pct"/>
            <w:hideMark/>
          </w:tcPr>
          <w:p w:rsidR="00000000" w:rsidRDefault="00240F6E">
            <w:pPr>
              <w:pStyle w:val="a3"/>
              <w:spacing w:before="0" w:beforeAutospacing="0" w:after="0" w:afterAutospacing="0"/>
              <w:rPr>
                <w:sz w:val="20"/>
                <w:szCs w:val="20"/>
              </w:rPr>
            </w:pPr>
            <w:r>
              <w:rPr>
                <w:sz w:val="20"/>
                <w:szCs w:val="20"/>
              </w:rPr>
              <w:t>Date:  May 9, 2019</w:t>
            </w:r>
          </w:p>
        </w:tc>
        <w:tc>
          <w:tcPr>
            <w:tcW w:w="250" w:type="pct"/>
            <w:hideMark/>
          </w:tcPr>
          <w:p w:rsidR="00000000" w:rsidRDefault="00240F6E">
            <w:pPr>
              <w:pStyle w:val="a3"/>
              <w:spacing w:before="0" w:beforeAutospacing="0" w:after="0" w:afterAutospacing="0"/>
              <w:rPr>
                <w:sz w:val="20"/>
                <w:szCs w:val="20"/>
              </w:rPr>
            </w:pPr>
            <w:r>
              <w:rPr>
                <w:sz w:val="20"/>
                <w:szCs w:val="20"/>
              </w:rPr>
              <w:t> </w:t>
            </w:r>
          </w:p>
        </w:tc>
        <w:tc>
          <w:tcPr>
            <w:tcW w:w="2250" w:type="pct"/>
            <w:hideMark/>
          </w:tcPr>
          <w:p w:rsidR="00000000" w:rsidRDefault="00240F6E">
            <w:pPr>
              <w:pStyle w:val="a3"/>
              <w:spacing w:before="0" w:beforeAutospacing="0" w:after="0" w:afterAutospacing="0"/>
              <w:rPr>
                <w:sz w:val="20"/>
                <w:szCs w:val="20"/>
              </w:rPr>
            </w:pPr>
            <w:r>
              <w:rPr>
                <w:sz w:val="20"/>
                <w:szCs w:val="20"/>
              </w:rPr>
              <w:t> </w:t>
            </w:r>
          </w:p>
        </w:tc>
      </w:tr>
      <w:tr w:rsidR="00000000">
        <w:trPr>
          <w:divId w:val="1614287274"/>
        </w:trPr>
        <w:tc>
          <w:tcPr>
            <w:tcW w:w="2500" w:type="pct"/>
            <w:hideMark/>
          </w:tcPr>
          <w:p w:rsidR="00000000" w:rsidRDefault="00240F6E">
            <w:pPr>
              <w:pStyle w:val="a3"/>
              <w:spacing w:before="0" w:beforeAutospacing="0" w:after="0" w:afterAutospacing="0"/>
              <w:rPr>
                <w:sz w:val="20"/>
                <w:szCs w:val="20"/>
              </w:rPr>
            </w:pPr>
            <w:r>
              <w:rPr>
                <w:sz w:val="20"/>
                <w:szCs w:val="20"/>
              </w:rPr>
              <w:t> </w:t>
            </w:r>
          </w:p>
        </w:tc>
        <w:tc>
          <w:tcPr>
            <w:tcW w:w="250" w:type="pct"/>
            <w:hideMark/>
          </w:tcPr>
          <w:p w:rsidR="00000000" w:rsidRDefault="00240F6E">
            <w:pPr>
              <w:pStyle w:val="a3"/>
              <w:spacing w:before="0" w:beforeAutospacing="0" w:after="0" w:afterAutospacing="0"/>
              <w:rPr>
                <w:sz w:val="20"/>
                <w:szCs w:val="20"/>
              </w:rPr>
            </w:pPr>
            <w:r>
              <w:rPr>
                <w:sz w:val="20"/>
                <w:szCs w:val="20"/>
              </w:rPr>
              <w:t> </w:t>
            </w:r>
          </w:p>
        </w:tc>
        <w:tc>
          <w:tcPr>
            <w:tcW w:w="2250" w:type="pct"/>
            <w:tcBorders>
              <w:bottom w:val="single" w:sz="6" w:space="0" w:color="000000"/>
            </w:tcBorders>
            <w:hideMark/>
          </w:tcPr>
          <w:p w:rsidR="00000000" w:rsidRDefault="00240F6E">
            <w:pPr>
              <w:pStyle w:val="a3"/>
              <w:spacing w:before="0" w:beforeAutospacing="0" w:after="0" w:afterAutospacing="0"/>
              <w:rPr>
                <w:sz w:val="20"/>
                <w:szCs w:val="20"/>
              </w:rPr>
            </w:pPr>
            <w:r>
              <w:rPr>
                <w:sz w:val="20"/>
                <w:szCs w:val="20"/>
              </w:rPr>
              <w:t>/s/ Damon T. Hininger</w:t>
            </w:r>
          </w:p>
        </w:tc>
      </w:tr>
      <w:tr w:rsidR="00000000">
        <w:trPr>
          <w:divId w:val="1614287274"/>
        </w:trPr>
        <w:tc>
          <w:tcPr>
            <w:tcW w:w="2500" w:type="pct"/>
            <w:hideMark/>
          </w:tcPr>
          <w:p w:rsidR="00000000" w:rsidRDefault="00240F6E">
            <w:pPr>
              <w:pStyle w:val="a3"/>
              <w:spacing w:before="0" w:beforeAutospacing="0" w:after="0" w:afterAutospacing="0"/>
              <w:rPr>
                <w:sz w:val="20"/>
                <w:szCs w:val="20"/>
              </w:rPr>
            </w:pPr>
            <w:r>
              <w:rPr>
                <w:sz w:val="20"/>
                <w:szCs w:val="20"/>
              </w:rPr>
              <w:t> </w:t>
            </w:r>
          </w:p>
        </w:tc>
        <w:tc>
          <w:tcPr>
            <w:tcW w:w="250" w:type="pct"/>
            <w:hideMark/>
          </w:tcPr>
          <w:p w:rsidR="00000000" w:rsidRDefault="00240F6E">
            <w:pPr>
              <w:pStyle w:val="a3"/>
              <w:spacing w:before="0" w:beforeAutospacing="0" w:after="0" w:afterAutospacing="0"/>
              <w:rPr>
                <w:sz w:val="20"/>
                <w:szCs w:val="20"/>
              </w:rPr>
            </w:pPr>
            <w:r>
              <w:rPr>
                <w:sz w:val="20"/>
                <w:szCs w:val="20"/>
              </w:rPr>
              <w:t> </w:t>
            </w:r>
          </w:p>
        </w:tc>
        <w:tc>
          <w:tcPr>
            <w:tcW w:w="2250" w:type="pct"/>
            <w:tcBorders>
              <w:top w:val="single" w:sz="6" w:space="0" w:color="000000"/>
            </w:tcBorders>
            <w:hideMark/>
          </w:tcPr>
          <w:p w:rsidR="00000000" w:rsidRDefault="00240F6E">
            <w:pPr>
              <w:pStyle w:val="a3"/>
              <w:spacing w:before="0" w:beforeAutospacing="0" w:after="0" w:afterAutospacing="0"/>
              <w:rPr>
                <w:sz w:val="20"/>
                <w:szCs w:val="20"/>
              </w:rPr>
            </w:pPr>
            <w:r>
              <w:rPr>
                <w:sz w:val="20"/>
                <w:szCs w:val="20"/>
              </w:rPr>
              <w:t>Damon T. Hininger</w:t>
            </w:r>
          </w:p>
        </w:tc>
      </w:tr>
      <w:tr w:rsidR="00000000">
        <w:trPr>
          <w:divId w:val="1614287274"/>
        </w:trPr>
        <w:tc>
          <w:tcPr>
            <w:tcW w:w="2500" w:type="pct"/>
            <w:hideMark/>
          </w:tcPr>
          <w:p w:rsidR="00000000" w:rsidRDefault="00240F6E">
            <w:pPr>
              <w:pStyle w:val="a3"/>
              <w:spacing w:before="0" w:beforeAutospacing="0" w:after="0" w:afterAutospacing="0"/>
              <w:rPr>
                <w:sz w:val="20"/>
                <w:szCs w:val="20"/>
              </w:rPr>
            </w:pPr>
            <w:r>
              <w:rPr>
                <w:sz w:val="20"/>
                <w:szCs w:val="20"/>
              </w:rPr>
              <w:t> </w:t>
            </w:r>
          </w:p>
        </w:tc>
        <w:tc>
          <w:tcPr>
            <w:tcW w:w="250" w:type="pct"/>
            <w:hideMark/>
          </w:tcPr>
          <w:p w:rsidR="00000000" w:rsidRDefault="00240F6E">
            <w:pPr>
              <w:pStyle w:val="a3"/>
              <w:spacing w:before="0" w:beforeAutospacing="0" w:after="0" w:afterAutospacing="0"/>
              <w:rPr>
                <w:sz w:val="20"/>
                <w:szCs w:val="20"/>
              </w:rPr>
            </w:pPr>
            <w:r>
              <w:rPr>
                <w:sz w:val="20"/>
                <w:szCs w:val="20"/>
              </w:rPr>
              <w:t> </w:t>
            </w:r>
          </w:p>
        </w:tc>
        <w:tc>
          <w:tcPr>
            <w:tcW w:w="2250" w:type="pct"/>
            <w:hideMark/>
          </w:tcPr>
          <w:p w:rsidR="00000000" w:rsidRDefault="00240F6E">
            <w:pPr>
              <w:pStyle w:val="a3"/>
              <w:spacing w:before="0" w:beforeAutospacing="0" w:after="0" w:afterAutospacing="0"/>
              <w:rPr>
                <w:sz w:val="20"/>
                <w:szCs w:val="20"/>
              </w:rPr>
            </w:pPr>
            <w:r>
              <w:rPr>
                <w:sz w:val="20"/>
                <w:szCs w:val="20"/>
              </w:rPr>
              <w:t>President and Chief Executive Officer</w:t>
            </w:r>
          </w:p>
        </w:tc>
      </w:tr>
      <w:tr w:rsidR="00000000">
        <w:trPr>
          <w:divId w:val="1614287274"/>
        </w:trPr>
        <w:tc>
          <w:tcPr>
            <w:tcW w:w="2500" w:type="pct"/>
            <w:hideMark/>
          </w:tcPr>
          <w:p w:rsidR="00000000" w:rsidRDefault="00240F6E">
            <w:pPr>
              <w:pStyle w:val="a3"/>
              <w:spacing w:before="0" w:beforeAutospacing="0" w:after="0" w:afterAutospacing="0"/>
              <w:rPr>
                <w:sz w:val="20"/>
                <w:szCs w:val="20"/>
              </w:rPr>
            </w:pPr>
            <w:r>
              <w:rPr>
                <w:sz w:val="20"/>
                <w:szCs w:val="20"/>
              </w:rPr>
              <w:t> </w:t>
            </w:r>
          </w:p>
        </w:tc>
        <w:tc>
          <w:tcPr>
            <w:tcW w:w="250" w:type="pct"/>
            <w:hideMark/>
          </w:tcPr>
          <w:p w:rsidR="00000000" w:rsidRDefault="00240F6E">
            <w:pPr>
              <w:pStyle w:val="a3"/>
              <w:spacing w:before="0" w:beforeAutospacing="0" w:after="0" w:afterAutospacing="0"/>
              <w:rPr>
                <w:sz w:val="20"/>
                <w:szCs w:val="20"/>
              </w:rPr>
            </w:pPr>
            <w:r>
              <w:rPr>
                <w:sz w:val="20"/>
                <w:szCs w:val="20"/>
              </w:rPr>
              <w:t> </w:t>
            </w:r>
          </w:p>
        </w:tc>
        <w:tc>
          <w:tcPr>
            <w:tcW w:w="2250" w:type="pct"/>
            <w:hideMark/>
          </w:tcPr>
          <w:p w:rsidR="00000000" w:rsidRDefault="00240F6E">
            <w:pPr>
              <w:pStyle w:val="a3"/>
              <w:spacing w:before="0" w:beforeAutospacing="0" w:after="0" w:afterAutospacing="0"/>
              <w:rPr>
                <w:sz w:val="20"/>
                <w:szCs w:val="20"/>
              </w:rPr>
            </w:pPr>
            <w:r>
              <w:rPr>
                <w:sz w:val="20"/>
                <w:szCs w:val="20"/>
              </w:rPr>
              <w:t> </w:t>
            </w:r>
          </w:p>
        </w:tc>
      </w:tr>
      <w:tr w:rsidR="00000000">
        <w:trPr>
          <w:divId w:val="1614287274"/>
        </w:trPr>
        <w:tc>
          <w:tcPr>
            <w:tcW w:w="2500" w:type="pct"/>
            <w:hideMark/>
          </w:tcPr>
          <w:p w:rsidR="00000000" w:rsidRDefault="00240F6E">
            <w:pPr>
              <w:pStyle w:val="a3"/>
              <w:spacing w:before="0" w:beforeAutospacing="0" w:after="0" w:afterAutospacing="0"/>
              <w:rPr>
                <w:sz w:val="20"/>
                <w:szCs w:val="20"/>
              </w:rPr>
            </w:pPr>
            <w:r>
              <w:rPr>
                <w:sz w:val="20"/>
                <w:szCs w:val="20"/>
              </w:rPr>
              <w:t> </w:t>
            </w:r>
          </w:p>
        </w:tc>
        <w:tc>
          <w:tcPr>
            <w:tcW w:w="250" w:type="pct"/>
            <w:hideMark/>
          </w:tcPr>
          <w:p w:rsidR="00000000" w:rsidRDefault="00240F6E">
            <w:pPr>
              <w:pStyle w:val="a3"/>
              <w:spacing w:before="0" w:beforeAutospacing="0" w:after="0" w:afterAutospacing="0"/>
              <w:rPr>
                <w:sz w:val="20"/>
                <w:szCs w:val="20"/>
              </w:rPr>
            </w:pPr>
            <w:r>
              <w:rPr>
                <w:sz w:val="20"/>
                <w:szCs w:val="20"/>
              </w:rPr>
              <w:t> </w:t>
            </w:r>
          </w:p>
        </w:tc>
        <w:tc>
          <w:tcPr>
            <w:tcW w:w="2250" w:type="pct"/>
            <w:tcBorders>
              <w:bottom w:val="single" w:sz="6" w:space="0" w:color="000000"/>
            </w:tcBorders>
            <w:hideMark/>
          </w:tcPr>
          <w:p w:rsidR="00000000" w:rsidRDefault="00240F6E">
            <w:pPr>
              <w:pStyle w:val="a3"/>
              <w:spacing w:before="0" w:beforeAutospacing="0" w:after="0" w:afterAutospacing="0"/>
              <w:rPr>
                <w:sz w:val="20"/>
                <w:szCs w:val="20"/>
              </w:rPr>
            </w:pPr>
            <w:r>
              <w:rPr>
                <w:sz w:val="20"/>
                <w:szCs w:val="20"/>
              </w:rPr>
              <w:t>/s/ David M. Garfinkle</w:t>
            </w:r>
          </w:p>
        </w:tc>
      </w:tr>
      <w:tr w:rsidR="00000000">
        <w:trPr>
          <w:divId w:val="1614287274"/>
        </w:trPr>
        <w:tc>
          <w:tcPr>
            <w:tcW w:w="2500" w:type="pct"/>
            <w:hideMark/>
          </w:tcPr>
          <w:p w:rsidR="00000000" w:rsidRDefault="00240F6E">
            <w:pPr>
              <w:pStyle w:val="a3"/>
              <w:spacing w:before="0" w:beforeAutospacing="0" w:after="0" w:afterAutospacing="0"/>
              <w:rPr>
                <w:sz w:val="20"/>
                <w:szCs w:val="20"/>
              </w:rPr>
            </w:pPr>
            <w:r>
              <w:rPr>
                <w:sz w:val="20"/>
                <w:szCs w:val="20"/>
              </w:rPr>
              <w:t> </w:t>
            </w:r>
          </w:p>
        </w:tc>
        <w:tc>
          <w:tcPr>
            <w:tcW w:w="250" w:type="pct"/>
            <w:hideMark/>
          </w:tcPr>
          <w:p w:rsidR="00000000" w:rsidRDefault="00240F6E">
            <w:pPr>
              <w:pStyle w:val="a3"/>
              <w:spacing w:before="0" w:beforeAutospacing="0" w:after="0" w:afterAutospacing="0"/>
              <w:rPr>
                <w:sz w:val="20"/>
                <w:szCs w:val="20"/>
              </w:rPr>
            </w:pPr>
            <w:r>
              <w:rPr>
                <w:sz w:val="20"/>
                <w:szCs w:val="20"/>
              </w:rPr>
              <w:t> </w:t>
            </w:r>
          </w:p>
        </w:tc>
        <w:tc>
          <w:tcPr>
            <w:tcW w:w="2250" w:type="pct"/>
            <w:tcBorders>
              <w:top w:val="single" w:sz="6" w:space="0" w:color="000000"/>
            </w:tcBorders>
            <w:hideMark/>
          </w:tcPr>
          <w:p w:rsidR="00000000" w:rsidRDefault="00240F6E">
            <w:pPr>
              <w:pStyle w:val="a3"/>
              <w:spacing w:before="0" w:beforeAutospacing="0" w:after="0" w:afterAutospacing="0"/>
              <w:rPr>
                <w:sz w:val="20"/>
                <w:szCs w:val="20"/>
              </w:rPr>
            </w:pPr>
            <w:r>
              <w:rPr>
                <w:sz w:val="20"/>
                <w:szCs w:val="20"/>
              </w:rPr>
              <w:t>David M. Garfinkle</w:t>
            </w:r>
          </w:p>
        </w:tc>
      </w:tr>
      <w:tr w:rsidR="00000000">
        <w:trPr>
          <w:divId w:val="1614287274"/>
        </w:trPr>
        <w:tc>
          <w:tcPr>
            <w:tcW w:w="2500" w:type="pct"/>
            <w:hideMark/>
          </w:tcPr>
          <w:p w:rsidR="00000000" w:rsidRDefault="00240F6E">
            <w:pPr>
              <w:pStyle w:val="a3"/>
              <w:spacing w:before="0" w:beforeAutospacing="0" w:after="0" w:afterAutospacing="0"/>
              <w:rPr>
                <w:sz w:val="20"/>
                <w:szCs w:val="20"/>
              </w:rPr>
            </w:pPr>
            <w:r>
              <w:rPr>
                <w:sz w:val="20"/>
                <w:szCs w:val="20"/>
              </w:rPr>
              <w:t> </w:t>
            </w:r>
          </w:p>
        </w:tc>
        <w:tc>
          <w:tcPr>
            <w:tcW w:w="250" w:type="pct"/>
            <w:hideMark/>
          </w:tcPr>
          <w:p w:rsidR="00000000" w:rsidRDefault="00240F6E">
            <w:pPr>
              <w:pStyle w:val="a3"/>
              <w:spacing w:before="0" w:beforeAutospacing="0" w:after="0" w:afterAutospacing="0"/>
              <w:rPr>
                <w:sz w:val="20"/>
                <w:szCs w:val="20"/>
              </w:rPr>
            </w:pPr>
            <w:r>
              <w:rPr>
                <w:sz w:val="20"/>
                <w:szCs w:val="20"/>
              </w:rPr>
              <w:t> </w:t>
            </w:r>
          </w:p>
        </w:tc>
        <w:tc>
          <w:tcPr>
            <w:tcW w:w="2250" w:type="pct"/>
            <w:hideMark/>
          </w:tcPr>
          <w:p w:rsidR="00000000" w:rsidRDefault="00240F6E">
            <w:pPr>
              <w:pStyle w:val="a3"/>
              <w:spacing w:before="0" w:beforeAutospacing="0" w:after="0" w:afterAutospacing="0"/>
              <w:rPr>
                <w:sz w:val="20"/>
                <w:szCs w:val="20"/>
              </w:rPr>
            </w:pPr>
            <w:r>
              <w:rPr>
                <w:sz w:val="20"/>
                <w:szCs w:val="20"/>
              </w:rPr>
              <w:t>Executive Vice President, Chief Financial Officer, and Principal Accounting Officer</w:t>
            </w:r>
          </w:p>
        </w:tc>
      </w:tr>
    </w:tbl>
    <w:p w:rsidR="00000000" w:rsidRDefault="00240F6E">
      <w:pPr>
        <w:pStyle w:val="a3"/>
        <w:spacing w:before="0" w:beforeAutospacing="0" w:after="0" w:afterAutospacing="0"/>
        <w:rPr>
          <w:sz w:val="20"/>
          <w:szCs w:val="20"/>
        </w:rPr>
      </w:pPr>
      <w:r>
        <w:rPr>
          <w:sz w:val="20"/>
          <w:szCs w:val="20"/>
        </w:rPr>
        <w:t> </w:t>
      </w:r>
    </w:p>
    <w:p w:rsidR="00240F6E" w:rsidRDefault="00240F6E">
      <w:pPr>
        <w:pStyle w:val="a3"/>
        <w:spacing w:before="240" w:beforeAutospacing="0" w:after="0" w:afterAutospacing="0"/>
        <w:jc w:val="center"/>
        <w:rPr>
          <w:sz w:val="20"/>
          <w:szCs w:val="20"/>
        </w:rPr>
      </w:pPr>
      <w:r>
        <w:rPr>
          <w:sz w:val="20"/>
          <w:szCs w:val="20"/>
        </w:rPr>
        <w:t>43</w:t>
      </w:r>
    </w:p>
    <w:sectPr w:rsidR="00240F6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MS Mincho"/>
    <w:panose1 w:val="02020609040205080304"/>
    <w:charset w:val="80"/>
    <w:family w:val="modern"/>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40F6E"/>
    <w:rsid w:val="00240F6E"/>
  </w:rsids>
  <m:mathPr>
    <m:mathFont m:val="Cambria Math"/>
    <m:brkBin m:val="before"/>
    <m:brkBinSub m:val="--"/>
    <m:smallFrac m:val="0"/>
    <m:dispDef/>
    <m:lMargin m:val="0"/>
    <m:rMargin m:val="0"/>
    <m:defJc m:val="centerGroup"/>
    <m:wrapIndent m:val="1440"/>
    <m:intLim m:val="subSup"/>
    <m:naryLim m:val="undOvr"/>
  </m:mathPr>
  <w:attachedSchema w:val="http://www.xbrl.org/2003/linkbase"/>
  <w:attachedSchema w:val="http://www.xbrl.org/2003/instance"/>
  <w:attachedSchema w:val="http://xbrl.org/2006/xbrldi"/>
  <w:attachedSchema w:val="http://xbrl.sec.gov/naics/2017-01-31"/>
  <w:attachedSchema w:val="http://xbrl.sec.gov/sic/2011-01-31"/>
  <w:attachedSchema w:val="http://xbrl.sec.gov/stpr/2018-01-31"/>
  <w:attachedSchema w:val="http://xbrl.sec.gov/invest/2013-01-31"/>
  <w:attachedSchema w:val="http://xbrl.sec.gov/exch/2018-01-31"/>
  <w:attachedSchema w:val="http://xbrl.sec.gov/currency/2017-01-31"/>
  <w:attachedSchema w:val="http://xbrl.sec.gov/country/2017-01-31"/>
  <w:attachedSchema w:val="http://xbrl.sec.gov/dei/2018-01-31"/>
  <w:attachedSchema w:val="http://fasb.org/srt/2018-01-31"/>
  <w:attachedSchema w:val="http://fasb.org/us-gaap/2018-01-31"/>
  <w:attachedSchema w:val="http://fasb.org/srt-types/2018-01-31"/>
  <w:attachedSchema w:val="http://fasb.org/us-types/2018-01-31"/>
  <w:attachedSchema w:val="http://xbrl.org/2005/xbrldt"/>
  <w:attachedSchema w:val="http://www.xbrl.org/dtr/type/numeric"/>
  <w:attachedSchema w:val="http://www.xbrl.org/dtr/type/non-numeric"/>
  <w:attachedSchema w:val="http://www.w3.org/1999/xlink"/>
  <w:attachedSchema w:val="http://www.cca.com/20190331"/>
  <w:attachedSchema w:val="http://www.xbrl.org/2003/iso4217"/>
  <w:attachedSchema w:val="http://www.xbrl.org/2009/utr"/>
  <w:attachedSchema w:val="http://www.xbrl.org/2013/inlineXBRL"/>
  <w:attachedSchema w:val="http://www.xbrl.org/inlineXBRL/transformation/2015-02-26"/>
  <w:attachedSchema w:val="http://www.sec.gov/inlineXBRL/transformation/2015-08-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0D689AB-C5EC-4653-81AD-D79EC822E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11061">
      <w:marLeft w:val="0"/>
      <w:marRight w:val="0"/>
      <w:marTop w:val="0"/>
      <w:marBottom w:val="0"/>
      <w:divBdr>
        <w:top w:val="none" w:sz="0" w:space="0" w:color="auto"/>
        <w:left w:val="none" w:sz="0" w:space="0" w:color="auto"/>
        <w:bottom w:val="none" w:sz="0" w:space="0" w:color="auto"/>
        <w:right w:val="none" w:sz="0" w:space="0" w:color="auto"/>
      </w:divBdr>
    </w:div>
    <w:div w:id="57018982">
      <w:marLeft w:val="0"/>
      <w:marRight w:val="0"/>
      <w:marTop w:val="0"/>
      <w:marBottom w:val="0"/>
      <w:divBdr>
        <w:top w:val="none" w:sz="0" w:space="0" w:color="auto"/>
        <w:left w:val="none" w:sz="0" w:space="0" w:color="auto"/>
        <w:bottom w:val="none" w:sz="0" w:space="0" w:color="auto"/>
        <w:right w:val="none" w:sz="0" w:space="0" w:color="auto"/>
      </w:divBdr>
    </w:div>
    <w:div w:id="78907896">
      <w:marLeft w:val="0"/>
      <w:marRight w:val="0"/>
      <w:marTop w:val="0"/>
      <w:marBottom w:val="0"/>
      <w:divBdr>
        <w:top w:val="none" w:sz="0" w:space="0" w:color="auto"/>
        <w:left w:val="none" w:sz="0" w:space="0" w:color="auto"/>
        <w:bottom w:val="none" w:sz="0" w:space="0" w:color="auto"/>
        <w:right w:val="none" w:sz="0" w:space="0" w:color="auto"/>
      </w:divBdr>
    </w:div>
    <w:div w:id="81227192">
      <w:marLeft w:val="0"/>
      <w:marRight w:val="0"/>
      <w:marTop w:val="0"/>
      <w:marBottom w:val="0"/>
      <w:divBdr>
        <w:top w:val="none" w:sz="0" w:space="0" w:color="auto"/>
        <w:left w:val="none" w:sz="0" w:space="0" w:color="auto"/>
        <w:bottom w:val="none" w:sz="0" w:space="0" w:color="auto"/>
        <w:right w:val="none" w:sz="0" w:space="0" w:color="auto"/>
      </w:divBdr>
    </w:div>
    <w:div w:id="85464583">
      <w:marLeft w:val="0"/>
      <w:marRight w:val="0"/>
      <w:marTop w:val="0"/>
      <w:marBottom w:val="0"/>
      <w:divBdr>
        <w:top w:val="none" w:sz="0" w:space="0" w:color="auto"/>
        <w:left w:val="none" w:sz="0" w:space="0" w:color="auto"/>
        <w:bottom w:val="none" w:sz="0" w:space="0" w:color="auto"/>
        <w:right w:val="none" w:sz="0" w:space="0" w:color="auto"/>
      </w:divBdr>
    </w:div>
    <w:div w:id="142701535">
      <w:marLeft w:val="0"/>
      <w:marRight w:val="0"/>
      <w:marTop w:val="0"/>
      <w:marBottom w:val="0"/>
      <w:divBdr>
        <w:top w:val="none" w:sz="0" w:space="0" w:color="auto"/>
        <w:left w:val="none" w:sz="0" w:space="0" w:color="auto"/>
        <w:bottom w:val="none" w:sz="0" w:space="0" w:color="auto"/>
        <w:right w:val="none" w:sz="0" w:space="0" w:color="auto"/>
      </w:divBdr>
    </w:div>
    <w:div w:id="158887422">
      <w:marLeft w:val="0"/>
      <w:marRight w:val="0"/>
      <w:marTop w:val="0"/>
      <w:marBottom w:val="0"/>
      <w:divBdr>
        <w:top w:val="none" w:sz="0" w:space="0" w:color="auto"/>
        <w:left w:val="none" w:sz="0" w:space="0" w:color="auto"/>
        <w:bottom w:val="none" w:sz="0" w:space="0" w:color="auto"/>
        <w:right w:val="none" w:sz="0" w:space="0" w:color="auto"/>
      </w:divBdr>
    </w:div>
    <w:div w:id="158929607">
      <w:marLeft w:val="0"/>
      <w:marRight w:val="0"/>
      <w:marTop w:val="0"/>
      <w:marBottom w:val="0"/>
      <w:divBdr>
        <w:top w:val="none" w:sz="0" w:space="0" w:color="auto"/>
        <w:left w:val="none" w:sz="0" w:space="0" w:color="auto"/>
        <w:bottom w:val="none" w:sz="0" w:space="0" w:color="auto"/>
        <w:right w:val="none" w:sz="0" w:space="0" w:color="auto"/>
      </w:divBdr>
    </w:div>
    <w:div w:id="160052718">
      <w:marLeft w:val="0"/>
      <w:marRight w:val="0"/>
      <w:marTop w:val="0"/>
      <w:marBottom w:val="0"/>
      <w:divBdr>
        <w:top w:val="none" w:sz="0" w:space="0" w:color="auto"/>
        <w:left w:val="none" w:sz="0" w:space="0" w:color="auto"/>
        <w:bottom w:val="none" w:sz="0" w:space="0" w:color="auto"/>
        <w:right w:val="none" w:sz="0" w:space="0" w:color="auto"/>
      </w:divBdr>
    </w:div>
    <w:div w:id="178549469">
      <w:marLeft w:val="0"/>
      <w:marRight w:val="0"/>
      <w:marTop w:val="0"/>
      <w:marBottom w:val="0"/>
      <w:divBdr>
        <w:top w:val="none" w:sz="0" w:space="0" w:color="auto"/>
        <w:left w:val="none" w:sz="0" w:space="0" w:color="auto"/>
        <w:bottom w:val="none" w:sz="0" w:space="0" w:color="auto"/>
        <w:right w:val="none" w:sz="0" w:space="0" w:color="auto"/>
      </w:divBdr>
    </w:div>
    <w:div w:id="179777653">
      <w:marLeft w:val="0"/>
      <w:marRight w:val="0"/>
      <w:marTop w:val="0"/>
      <w:marBottom w:val="0"/>
      <w:divBdr>
        <w:top w:val="none" w:sz="0" w:space="0" w:color="auto"/>
        <w:left w:val="none" w:sz="0" w:space="0" w:color="auto"/>
        <w:bottom w:val="none" w:sz="0" w:space="0" w:color="auto"/>
        <w:right w:val="none" w:sz="0" w:space="0" w:color="auto"/>
      </w:divBdr>
    </w:div>
    <w:div w:id="185677997">
      <w:marLeft w:val="0"/>
      <w:marRight w:val="0"/>
      <w:marTop w:val="0"/>
      <w:marBottom w:val="0"/>
      <w:divBdr>
        <w:top w:val="none" w:sz="0" w:space="0" w:color="auto"/>
        <w:left w:val="none" w:sz="0" w:space="0" w:color="auto"/>
        <w:bottom w:val="none" w:sz="0" w:space="0" w:color="auto"/>
        <w:right w:val="none" w:sz="0" w:space="0" w:color="auto"/>
      </w:divBdr>
    </w:div>
    <w:div w:id="222716882">
      <w:marLeft w:val="0"/>
      <w:marRight w:val="0"/>
      <w:marTop w:val="0"/>
      <w:marBottom w:val="0"/>
      <w:divBdr>
        <w:top w:val="none" w:sz="0" w:space="0" w:color="auto"/>
        <w:left w:val="none" w:sz="0" w:space="0" w:color="auto"/>
        <w:bottom w:val="none" w:sz="0" w:space="0" w:color="auto"/>
        <w:right w:val="none" w:sz="0" w:space="0" w:color="auto"/>
      </w:divBdr>
    </w:div>
    <w:div w:id="224949994">
      <w:marLeft w:val="0"/>
      <w:marRight w:val="0"/>
      <w:marTop w:val="0"/>
      <w:marBottom w:val="0"/>
      <w:divBdr>
        <w:top w:val="none" w:sz="0" w:space="0" w:color="auto"/>
        <w:left w:val="none" w:sz="0" w:space="0" w:color="auto"/>
        <w:bottom w:val="none" w:sz="0" w:space="0" w:color="auto"/>
        <w:right w:val="none" w:sz="0" w:space="0" w:color="auto"/>
      </w:divBdr>
    </w:div>
    <w:div w:id="239292538">
      <w:marLeft w:val="0"/>
      <w:marRight w:val="0"/>
      <w:marTop w:val="0"/>
      <w:marBottom w:val="0"/>
      <w:divBdr>
        <w:top w:val="none" w:sz="0" w:space="0" w:color="auto"/>
        <w:left w:val="none" w:sz="0" w:space="0" w:color="auto"/>
        <w:bottom w:val="none" w:sz="0" w:space="0" w:color="auto"/>
        <w:right w:val="none" w:sz="0" w:space="0" w:color="auto"/>
      </w:divBdr>
    </w:div>
    <w:div w:id="240455603">
      <w:marLeft w:val="0"/>
      <w:marRight w:val="0"/>
      <w:marTop w:val="0"/>
      <w:marBottom w:val="0"/>
      <w:divBdr>
        <w:top w:val="none" w:sz="0" w:space="0" w:color="auto"/>
        <w:left w:val="none" w:sz="0" w:space="0" w:color="auto"/>
        <w:bottom w:val="none" w:sz="0" w:space="0" w:color="auto"/>
        <w:right w:val="none" w:sz="0" w:space="0" w:color="auto"/>
      </w:divBdr>
    </w:div>
    <w:div w:id="249122046">
      <w:marLeft w:val="0"/>
      <w:marRight w:val="0"/>
      <w:marTop w:val="0"/>
      <w:marBottom w:val="0"/>
      <w:divBdr>
        <w:top w:val="none" w:sz="0" w:space="0" w:color="auto"/>
        <w:left w:val="none" w:sz="0" w:space="0" w:color="auto"/>
        <w:bottom w:val="none" w:sz="0" w:space="0" w:color="auto"/>
        <w:right w:val="none" w:sz="0" w:space="0" w:color="auto"/>
      </w:divBdr>
    </w:div>
    <w:div w:id="268512072">
      <w:marLeft w:val="0"/>
      <w:marRight w:val="0"/>
      <w:marTop w:val="0"/>
      <w:marBottom w:val="0"/>
      <w:divBdr>
        <w:top w:val="none" w:sz="0" w:space="0" w:color="auto"/>
        <w:left w:val="none" w:sz="0" w:space="0" w:color="auto"/>
        <w:bottom w:val="none" w:sz="0" w:space="0" w:color="auto"/>
        <w:right w:val="none" w:sz="0" w:space="0" w:color="auto"/>
      </w:divBdr>
    </w:div>
    <w:div w:id="333999968">
      <w:marLeft w:val="0"/>
      <w:marRight w:val="0"/>
      <w:marTop w:val="0"/>
      <w:marBottom w:val="0"/>
      <w:divBdr>
        <w:top w:val="none" w:sz="0" w:space="0" w:color="auto"/>
        <w:left w:val="none" w:sz="0" w:space="0" w:color="auto"/>
        <w:bottom w:val="none" w:sz="0" w:space="0" w:color="auto"/>
        <w:right w:val="none" w:sz="0" w:space="0" w:color="auto"/>
      </w:divBdr>
    </w:div>
    <w:div w:id="350571797">
      <w:marLeft w:val="0"/>
      <w:marRight w:val="0"/>
      <w:marTop w:val="0"/>
      <w:marBottom w:val="0"/>
      <w:divBdr>
        <w:top w:val="none" w:sz="0" w:space="0" w:color="auto"/>
        <w:left w:val="none" w:sz="0" w:space="0" w:color="auto"/>
        <w:bottom w:val="none" w:sz="0" w:space="0" w:color="auto"/>
        <w:right w:val="none" w:sz="0" w:space="0" w:color="auto"/>
      </w:divBdr>
    </w:div>
    <w:div w:id="356734657">
      <w:marLeft w:val="0"/>
      <w:marRight w:val="0"/>
      <w:marTop w:val="0"/>
      <w:marBottom w:val="0"/>
      <w:divBdr>
        <w:top w:val="none" w:sz="0" w:space="0" w:color="auto"/>
        <w:left w:val="none" w:sz="0" w:space="0" w:color="auto"/>
        <w:bottom w:val="none" w:sz="0" w:space="0" w:color="auto"/>
        <w:right w:val="none" w:sz="0" w:space="0" w:color="auto"/>
      </w:divBdr>
    </w:div>
    <w:div w:id="372654337">
      <w:marLeft w:val="0"/>
      <w:marRight w:val="0"/>
      <w:marTop w:val="0"/>
      <w:marBottom w:val="0"/>
      <w:divBdr>
        <w:top w:val="none" w:sz="0" w:space="0" w:color="auto"/>
        <w:left w:val="none" w:sz="0" w:space="0" w:color="auto"/>
        <w:bottom w:val="none" w:sz="0" w:space="0" w:color="auto"/>
        <w:right w:val="none" w:sz="0" w:space="0" w:color="auto"/>
      </w:divBdr>
    </w:div>
    <w:div w:id="387412885">
      <w:marLeft w:val="0"/>
      <w:marRight w:val="0"/>
      <w:marTop w:val="0"/>
      <w:marBottom w:val="0"/>
      <w:divBdr>
        <w:top w:val="none" w:sz="0" w:space="0" w:color="auto"/>
        <w:left w:val="none" w:sz="0" w:space="0" w:color="auto"/>
        <w:bottom w:val="none" w:sz="0" w:space="0" w:color="auto"/>
        <w:right w:val="none" w:sz="0" w:space="0" w:color="auto"/>
      </w:divBdr>
    </w:div>
    <w:div w:id="477961646">
      <w:marLeft w:val="0"/>
      <w:marRight w:val="0"/>
      <w:marTop w:val="0"/>
      <w:marBottom w:val="0"/>
      <w:divBdr>
        <w:top w:val="none" w:sz="0" w:space="0" w:color="auto"/>
        <w:left w:val="none" w:sz="0" w:space="0" w:color="auto"/>
        <w:bottom w:val="none" w:sz="0" w:space="0" w:color="auto"/>
        <w:right w:val="none" w:sz="0" w:space="0" w:color="auto"/>
      </w:divBdr>
    </w:div>
    <w:div w:id="517546070">
      <w:marLeft w:val="0"/>
      <w:marRight w:val="0"/>
      <w:marTop w:val="0"/>
      <w:marBottom w:val="0"/>
      <w:divBdr>
        <w:top w:val="none" w:sz="0" w:space="0" w:color="auto"/>
        <w:left w:val="none" w:sz="0" w:space="0" w:color="auto"/>
        <w:bottom w:val="none" w:sz="0" w:space="0" w:color="auto"/>
        <w:right w:val="none" w:sz="0" w:space="0" w:color="auto"/>
      </w:divBdr>
    </w:div>
    <w:div w:id="542253687">
      <w:marLeft w:val="0"/>
      <w:marRight w:val="0"/>
      <w:marTop w:val="0"/>
      <w:marBottom w:val="0"/>
      <w:divBdr>
        <w:top w:val="none" w:sz="0" w:space="0" w:color="auto"/>
        <w:left w:val="none" w:sz="0" w:space="0" w:color="auto"/>
        <w:bottom w:val="none" w:sz="0" w:space="0" w:color="auto"/>
        <w:right w:val="none" w:sz="0" w:space="0" w:color="auto"/>
      </w:divBdr>
    </w:div>
    <w:div w:id="543517706">
      <w:marLeft w:val="0"/>
      <w:marRight w:val="0"/>
      <w:marTop w:val="0"/>
      <w:marBottom w:val="0"/>
      <w:divBdr>
        <w:top w:val="none" w:sz="0" w:space="0" w:color="auto"/>
        <w:left w:val="none" w:sz="0" w:space="0" w:color="auto"/>
        <w:bottom w:val="none" w:sz="0" w:space="0" w:color="auto"/>
        <w:right w:val="none" w:sz="0" w:space="0" w:color="auto"/>
      </w:divBdr>
    </w:div>
    <w:div w:id="620109686">
      <w:marLeft w:val="0"/>
      <w:marRight w:val="0"/>
      <w:marTop w:val="0"/>
      <w:marBottom w:val="0"/>
      <w:divBdr>
        <w:top w:val="none" w:sz="0" w:space="0" w:color="auto"/>
        <w:left w:val="none" w:sz="0" w:space="0" w:color="auto"/>
        <w:bottom w:val="none" w:sz="0" w:space="0" w:color="auto"/>
        <w:right w:val="none" w:sz="0" w:space="0" w:color="auto"/>
      </w:divBdr>
    </w:div>
    <w:div w:id="641809418">
      <w:marLeft w:val="0"/>
      <w:marRight w:val="0"/>
      <w:marTop w:val="0"/>
      <w:marBottom w:val="0"/>
      <w:divBdr>
        <w:top w:val="none" w:sz="0" w:space="0" w:color="auto"/>
        <w:left w:val="none" w:sz="0" w:space="0" w:color="auto"/>
        <w:bottom w:val="none" w:sz="0" w:space="0" w:color="auto"/>
        <w:right w:val="none" w:sz="0" w:space="0" w:color="auto"/>
      </w:divBdr>
    </w:div>
    <w:div w:id="646395774">
      <w:marLeft w:val="0"/>
      <w:marRight w:val="0"/>
      <w:marTop w:val="0"/>
      <w:marBottom w:val="0"/>
      <w:divBdr>
        <w:top w:val="none" w:sz="0" w:space="0" w:color="auto"/>
        <w:left w:val="none" w:sz="0" w:space="0" w:color="auto"/>
        <w:bottom w:val="none" w:sz="0" w:space="0" w:color="auto"/>
        <w:right w:val="none" w:sz="0" w:space="0" w:color="auto"/>
      </w:divBdr>
    </w:div>
    <w:div w:id="661012319">
      <w:marLeft w:val="0"/>
      <w:marRight w:val="0"/>
      <w:marTop w:val="0"/>
      <w:marBottom w:val="0"/>
      <w:divBdr>
        <w:top w:val="none" w:sz="0" w:space="0" w:color="auto"/>
        <w:left w:val="none" w:sz="0" w:space="0" w:color="auto"/>
        <w:bottom w:val="none" w:sz="0" w:space="0" w:color="auto"/>
        <w:right w:val="none" w:sz="0" w:space="0" w:color="auto"/>
      </w:divBdr>
    </w:div>
    <w:div w:id="784621967">
      <w:marLeft w:val="0"/>
      <w:marRight w:val="0"/>
      <w:marTop w:val="0"/>
      <w:marBottom w:val="0"/>
      <w:divBdr>
        <w:top w:val="none" w:sz="0" w:space="0" w:color="auto"/>
        <w:left w:val="none" w:sz="0" w:space="0" w:color="auto"/>
        <w:bottom w:val="none" w:sz="0" w:space="0" w:color="auto"/>
        <w:right w:val="none" w:sz="0" w:space="0" w:color="auto"/>
      </w:divBdr>
    </w:div>
    <w:div w:id="812674100">
      <w:marLeft w:val="0"/>
      <w:marRight w:val="0"/>
      <w:marTop w:val="0"/>
      <w:marBottom w:val="0"/>
      <w:divBdr>
        <w:top w:val="none" w:sz="0" w:space="0" w:color="auto"/>
        <w:left w:val="none" w:sz="0" w:space="0" w:color="auto"/>
        <w:bottom w:val="none" w:sz="0" w:space="0" w:color="auto"/>
        <w:right w:val="none" w:sz="0" w:space="0" w:color="auto"/>
      </w:divBdr>
    </w:div>
    <w:div w:id="818770248">
      <w:marLeft w:val="0"/>
      <w:marRight w:val="0"/>
      <w:marTop w:val="0"/>
      <w:marBottom w:val="0"/>
      <w:divBdr>
        <w:top w:val="none" w:sz="0" w:space="0" w:color="auto"/>
        <w:left w:val="none" w:sz="0" w:space="0" w:color="auto"/>
        <w:bottom w:val="none" w:sz="0" w:space="0" w:color="auto"/>
        <w:right w:val="none" w:sz="0" w:space="0" w:color="auto"/>
      </w:divBdr>
    </w:div>
    <w:div w:id="901863495">
      <w:marLeft w:val="0"/>
      <w:marRight w:val="0"/>
      <w:marTop w:val="0"/>
      <w:marBottom w:val="0"/>
      <w:divBdr>
        <w:top w:val="none" w:sz="0" w:space="0" w:color="auto"/>
        <w:left w:val="none" w:sz="0" w:space="0" w:color="auto"/>
        <w:bottom w:val="none" w:sz="0" w:space="0" w:color="auto"/>
        <w:right w:val="none" w:sz="0" w:space="0" w:color="auto"/>
      </w:divBdr>
    </w:div>
    <w:div w:id="902571032">
      <w:marLeft w:val="0"/>
      <w:marRight w:val="0"/>
      <w:marTop w:val="0"/>
      <w:marBottom w:val="0"/>
      <w:divBdr>
        <w:top w:val="none" w:sz="0" w:space="0" w:color="auto"/>
        <w:left w:val="none" w:sz="0" w:space="0" w:color="auto"/>
        <w:bottom w:val="none" w:sz="0" w:space="0" w:color="auto"/>
        <w:right w:val="none" w:sz="0" w:space="0" w:color="auto"/>
      </w:divBdr>
    </w:div>
    <w:div w:id="931815119">
      <w:marLeft w:val="0"/>
      <w:marRight w:val="0"/>
      <w:marTop w:val="0"/>
      <w:marBottom w:val="0"/>
      <w:divBdr>
        <w:top w:val="none" w:sz="0" w:space="0" w:color="auto"/>
        <w:left w:val="none" w:sz="0" w:space="0" w:color="auto"/>
        <w:bottom w:val="none" w:sz="0" w:space="0" w:color="auto"/>
        <w:right w:val="none" w:sz="0" w:space="0" w:color="auto"/>
      </w:divBdr>
    </w:div>
    <w:div w:id="940915904">
      <w:marLeft w:val="0"/>
      <w:marRight w:val="0"/>
      <w:marTop w:val="0"/>
      <w:marBottom w:val="0"/>
      <w:divBdr>
        <w:top w:val="none" w:sz="0" w:space="0" w:color="auto"/>
        <w:left w:val="none" w:sz="0" w:space="0" w:color="auto"/>
        <w:bottom w:val="none" w:sz="0" w:space="0" w:color="auto"/>
        <w:right w:val="none" w:sz="0" w:space="0" w:color="auto"/>
      </w:divBdr>
    </w:div>
    <w:div w:id="966475721">
      <w:marLeft w:val="0"/>
      <w:marRight w:val="0"/>
      <w:marTop w:val="0"/>
      <w:marBottom w:val="0"/>
      <w:divBdr>
        <w:top w:val="none" w:sz="0" w:space="0" w:color="auto"/>
        <w:left w:val="none" w:sz="0" w:space="0" w:color="auto"/>
        <w:bottom w:val="none" w:sz="0" w:space="0" w:color="auto"/>
        <w:right w:val="none" w:sz="0" w:space="0" w:color="auto"/>
      </w:divBdr>
    </w:div>
    <w:div w:id="997617227">
      <w:marLeft w:val="0"/>
      <w:marRight w:val="0"/>
      <w:marTop w:val="0"/>
      <w:marBottom w:val="0"/>
      <w:divBdr>
        <w:top w:val="none" w:sz="0" w:space="0" w:color="auto"/>
        <w:left w:val="none" w:sz="0" w:space="0" w:color="auto"/>
        <w:bottom w:val="none" w:sz="0" w:space="0" w:color="auto"/>
        <w:right w:val="none" w:sz="0" w:space="0" w:color="auto"/>
      </w:divBdr>
    </w:div>
    <w:div w:id="1032653576">
      <w:marLeft w:val="0"/>
      <w:marRight w:val="0"/>
      <w:marTop w:val="0"/>
      <w:marBottom w:val="0"/>
      <w:divBdr>
        <w:top w:val="none" w:sz="0" w:space="0" w:color="auto"/>
        <w:left w:val="none" w:sz="0" w:space="0" w:color="auto"/>
        <w:bottom w:val="none" w:sz="0" w:space="0" w:color="auto"/>
        <w:right w:val="none" w:sz="0" w:space="0" w:color="auto"/>
      </w:divBdr>
    </w:div>
    <w:div w:id="1140801261">
      <w:marLeft w:val="0"/>
      <w:marRight w:val="0"/>
      <w:marTop w:val="0"/>
      <w:marBottom w:val="0"/>
      <w:divBdr>
        <w:top w:val="none" w:sz="0" w:space="0" w:color="auto"/>
        <w:left w:val="none" w:sz="0" w:space="0" w:color="auto"/>
        <w:bottom w:val="none" w:sz="0" w:space="0" w:color="auto"/>
        <w:right w:val="none" w:sz="0" w:space="0" w:color="auto"/>
      </w:divBdr>
    </w:div>
    <w:div w:id="1158613972">
      <w:marLeft w:val="0"/>
      <w:marRight w:val="0"/>
      <w:marTop w:val="0"/>
      <w:marBottom w:val="0"/>
      <w:divBdr>
        <w:top w:val="none" w:sz="0" w:space="0" w:color="auto"/>
        <w:left w:val="none" w:sz="0" w:space="0" w:color="auto"/>
        <w:bottom w:val="none" w:sz="0" w:space="0" w:color="auto"/>
        <w:right w:val="none" w:sz="0" w:space="0" w:color="auto"/>
      </w:divBdr>
    </w:div>
    <w:div w:id="1159615508">
      <w:marLeft w:val="0"/>
      <w:marRight w:val="0"/>
      <w:marTop w:val="0"/>
      <w:marBottom w:val="0"/>
      <w:divBdr>
        <w:top w:val="none" w:sz="0" w:space="0" w:color="auto"/>
        <w:left w:val="none" w:sz="0" w:space="0" w:color="auto"/>
        <w:bottom w:val="none" w:sz="0" w:space="0" w:color="auto"/>
        <w:right w:val="none" w:sz="0" w:space="0" w:color="auto"/>
      </w:divBdr>
    </w:div>
    <w:div w:id="1161119285">
      <w:marLeft w:val="0"/>
      <w:marRight w:val="0"/>
      <w:marTop w:val="0"/>
      <w:marBottom w:val="0"/>
      <w:divBdr>
        <w:top w:val="none" w:sz="0" w:space="0" w:color="auto"/>
        <w:left w:val="none" w:sz="0" w:space="0" w:color="auto"/>
        <w:bottom w:val="none" w:sz="0" w:space="0" w:color="auto"/>
        <w:right w:val="none" w:sz="0" w:space="0" w:color="auto"/>
      </w:divBdr>
    </w:div>
    <w:div w:id="1172378572">
      <w:marLeft w:val="0"/>
      <w:marRight w:val="0"/>
      <w:marTop w:val="0"/>
      <w:marBottom w:val="0"/>
      <w:divBdr>
        <w:top w:val="none" w:sz="0" w:space="0" w:color="auto"/>
        <w:left w:val="none" w:sz="0" w:space="0" w:color="auto"/>
        <w:bottom w:val="none" w:sz="0" w:space="0" w:color="auto"/>
        <w:right w:val="none" w:sz="0" w:space="0" w:color="auto"/>
      </w:divBdr>
    </w:div>
    <w:div w:id="1174421552">
      <w:marLeft w:val="0"/>
      <w:marRight w:val="0"/>
      <w:marTop w:val="0"/>
      <w:marBottom w:val="0"/>
      <w:divBdr>
        <w:top w:val="none" w:sz="0" w:space="0" w:color="auto"/>
        <w:left w:val="none" w:sz="0" w:space="0" w:color="auto"/>
        <w:bottom w:val="none" w:sz="0" w:space="0" w:color="auto"/>
        <w:right w:val="none" w:sz="0" w:space="0" w:color="auto"/>
      </w:divBdr>
    </w:div>
    <w:div w:id="1205755433">
      <w:marLeft w:val="0"/>
      <w:marRight w:val="0"/>
      <w:marTop w:val="0"/>
      <w:marBottom w:val="0"/>
      <w:divBdr>
        <w:top w:val="none" w:sz="0" w:space="0" w:color="auto"/>
        <w:left w:val="none" w:sz="0" w:space="0" w:color="auto"/>
        <w:bottom w:val="none" w:sz="0" w:space="0" w:color="auto"/>
        <w:right w:val="none" w:sz="0" w:space="0" w:color="auto"/>
      </w:divBdr>
    </w:div>
    <w:div w:id="1307932867">
      <w:marLeft w:val="0"/>
      <w:marRight w:val="0"/>
      <w:marTop w:val="0"/>
      <w:marBottom w:val="0"/>
      <w:divBdr>
        <w:top w:val="none" w:sz="0" w:space="0" w:color="auto"/>
        <w:left w:val="none" w:sz="0" w:space="0" w:color="auto"/>
        <w:bottom w:val="none" w:sz="0" w:space="0" w:color="auto"/>
        <w:right w:val="none" w:sz="0" w:space="0" w:color="auto"/>
      </w:divBdr>
    </w:div>
    <w:div w:id="1328367336">
      <w:marLeft w:val="0"/>
      <w:marRight w:val="0"/>
      <w:marTop w:val="0"/>
      <w:marBottom w:val="0"/>
      <w:divBdr>
        <w:top w:val="none" w:sz="0" w:space="0" w:color="auto"/>
        <w:left w:val="none" w:sz="0" w:space="0" w:color="auto"/>
        <w:bottom w:val="none" w:sz="0" w:space="0" w:color="auto"/>
        <w:right w:val="none" w:sz="0" w:space="0" w:color="auto"/>
      </w:divBdr>
    </w:div>
    <w:div w:id="1437948290">
      <w:marLeft w:val="0"/>
      <w:marRight w:val="0"/>
      <w:marTop w:val="0"/>
      <w:marBottom w:val="0"/>
      <w:divBdr>
        <w:top w:val="none" w:sz="0" w:space="0" w:color="auto"/>
        <w:left w:val="none" w:sz="0" w:space="0" w:color="auto"/>
        <w:bottom w:val="none" w:sz="0" w:space="0" w:color="auto"/>
        <w:right w:val="none" w:sz="0" w:space="0" w:color="auto"/>
      </w:divBdr>
    </w:div>
    <w:div w:id="1455245082">
      <w:marLeft w:val="0"/>
      <w:marRight w:val="0"/>
      <w:marTop w:val="0"/>
      <w:marBottom w:val="0"/>
      <w:divBdr>
        <w:top w:val="none" w:sz="0" w:space="0" w:color="auto"/>
        <w:left w:val="none" w:sz="0" w:space="0" w:color="auto"/>
        <w:bottom w:val="none" w:sz="0" w:space="0" w:color="auto"/>
        <w:right w:val="none" w:sz="0" w:space="0" w:color="auto"/>
      </w:divBdr>
    </w:div>
    <w:div w:id="1495418484">
      <w:marLeft w:val="0"/>
      <w:marRight w:val="0"/>
      <w:marTop w:val="0"/>
      <w:marBottom w:val="0"/>
      <w:divBdr>
        <w:top w:val="none" w:sz="0" w:space="0" w:color="auto"/>
        <w:left w:val="none" w:sz="0" w:space="0" w:color="auto"/>
        <w:bottom w:val="none" w:sz="0" w:space="0" w:color="auto"/>
        <w:right w:val="none" w:sz="0" w:space="0" w:color="auto"/>
      </w:divBdr>
    </w:div>
    <w:div w:id="1535267365">
      <w:marLeft w:val="0"/>
      <w:marRight w:val="0"/>
      <w:marTop w:val="0"/>
      <w:marBottom w:val="0"/>
      <w:divBdr>
        <w:top w:val="none" w:sz="0" w:space="0" w:color="auto"/>
        <w:left w:val="none" w:sz="0" w:space="0" w:color="auto"/>
        <w:bottom w:val="none" w:sz="0" w:space="0" w:color="auto"/>
        <w:right w:val="none" w:sz="0" w:space="0" w:color="auto"/>
      </w:divBdr>
    </w:div>
    <w:div w:id="1546793212">
      <w:marLeft w:val="0"/>
      <w:marRight w:val="0"/>
      <w:marTop w:val="0"/>
      <w:marBottom w:val="0"/>
      <w:divBdr>
        <w:top w:val="none" w:sz="0" w:space="0" w:color="auto"/>
        <w:left w:val="none" w:sz="0" w:space="0" w:color="auto"/>
        <w:bottom w:val="none" w:sz="0" w:space="0" w:color="auto"/>
        <w:right w:val="none" w:sz="0" w:space="0" w:color="auto"/>
      </w:divBdr>
    </w:div>
    <w:div w:id="1577788955">
      <w:marLeft w:val="0"/>
      <w:marRight w:val="0"/>
      <w:marTop w:val="0"/>
      <w:marBottom w:val="0"/>
      <w:divBdr>
        <w:top w:val="none" w:sz="0" w:space="0" w:color="auto"/>
        <w:left w:val="none" w:sz="0" w:space="0" w:color="auto"/>
        <w:bottom w:val="none" w:sz="0" w:space="0" w:color="auto"/>
        <w:right w:val="none" w:sz="0" w:space="0" w:color="auto"/>
      </w:divBdr>
    </w:div>
    <w:div w:id="1578323625">
      <w:marLeft w:val="0"/>
      <w:marRight w:val="0"/>
      <w:marTop w:val="0"/>
      <w:marBottom w:val="0"/>
      <w:divBdr>
        <w:top w:val="none" w:sz="0" w:space="0" w:color="auto"/>
        <w:left w:val="none" w:sz="0" w:space="0" w:color="auto"/>
        <w:bottom w:val="none" w:sz="0" w:space="0" w:color="auto"/>
        <w:right w:val="none" w:sz="0" w:space="0" w:color="auto"/>
      </w:divBdr>
    </w:div>
    <w:div w:id="1614287274">
      <w:marLeft w:val="0"/>
      <w:marRight w:val="0"/>
      <w:marTop w:val="0"/>
      <w:marBottom w:val="0"/>
      <w:divBdr>
        <w:top w:val="none" w:sz="0" w:space="0" w:color="auto"/>
        <w:left w:val="none" w:sz="0" w:space="0" w:color="auto"/>
        <w:bottom w:val="none" w:sz="0" w:space="0" w:color="auto"/>
        <w:right w:val="none" w:sz="0" w:space="0" w:color="auto"/>
      </w:divBdr>
    </w:div>
    <w:div w:id="1630551151">
      <w:marLeft w:val="0"/>
      <w:marRight w:val="0"/>
      <w:marTop w:val="0"/>
      <w:marBottom w:val="0"/>
      <w:divBdr>
        <w:top w:val="none" w:sz="0" w:space="0" w:color="auto"/>
        <w:left w:val="none" w:sz="0" w:space="0" w:color="auto"/>
        <w:bottom w:val="none" w:sz="0" w:space="0" w:color="auto"/>
        <w:right w:val="none" w:sz="0" w:space="0" w:color="auto"/>
      </w:divBdr>
    </w:div>
    <w:div w:id="1634866985">
      <w:marLeft w:val="0"/>
      <w:marRight w:val="0"/>
      <w:marTop w:val="0"/>
      <w:marBottom w:val="0"/>
      <w:divBdr>
        <w:top w:val="none" w:sz="0" w:space="0" w:color="auto"/>
        <w:left w:val="none" w:sz="0" w:space="0" w:color="auto"/>
        <w:bottom w:val="none" w:sz="0" w:space="0" w:color="auto"/>
        <w:right w:val="none" w:sz="0" w:space="0" w:color="auto"/>
      </w:divBdr>
    </w:div>
    <w:div w:id="1673029082">
      <w:marLeft w:val="0"/>
      <w:marRight w:val="0"/>
      <w:marTop w:val="0"/>
      <w:marBottom w:val="0"/>
      <w:divBdr>
        <w:top w:val="none" w:sz="0" w:space="0" w:color="auto"/>
        <w:left w:val="none" w:sz="0" w:space="0" w:color="auto"/>
        <w:bottom w:val="none" w:sz="0" w:space="0" w:color="auto"/>
        <w:right w:val="none" w:sz="0" w:space="0" w:color="auto"/>
      </w:divBdr>
    </w:div>
    <w:div w:id="1736855562">
      <w:marLeft w:val="0"/>
      <w:marRight w:val="0"/>
      <w:marTop w:val="0"/>
      <w:marBottom w:val="0"/>
      <w:divBdr>
        <w:top w:val="none" w:sz="0" w:space="0" w:color="auto"/>
        <w:left w:val="none" w:sz="0" w:space="0" w:color="auto"/>
        <w:bottom w:val="none" w:sz="0" w:space="0" w:color="auto"/>
        <w:right w:val="none" w:sz="0" w:space="0" w:color="auto"/>
      </w:divBdr>
    </w:div>
    <w:div w:id="1748111604">
      <w:marLeft w:val="0"/>
      <w:marRight w:val="0"/>
      <w:marTop w:val="0"/>
      <w:marBottom w:val="0"/>
      <w:divBdr>
        <w:top w:val="none" w:sz="0" w:space="0" w:color="auto"/>
        <w:left w:val="none" w:sz="0" w:space="0" w:color="auto"/>
        <w:bottom w:val="none" w:sz="0" w:space="0" w:color="auto"/>
        <w:right w:val="none" w:sz="0" w:space="0" w:color="auto"/>
      </w:divBdr>
    </w:div>
    <w:div w:id="1800222941">
      <w:marLeft w:val="0"/>
      <w:marRight w:val="0"/>
      <w:marTop w:val="0"/>
      <w:marBottom w:val="0"/>
      <w:divBdr>
        <w:top w:val="none" w:sz="0" w:space="0" w:color="auto"/>
        <w:left w:val="none" w:sz="0" w:space="0" w:color="auto"/>
        <w:bottom w:val="none" w:sz="0" w:space="0" w:color="auto"/>
        <w:right w:val="none" w:sz="0" w:space="0" w:color="auto"/>
      </w:divBdr>
    </w:div>
    <w:div w:id="1813719221">
      <w:marLeft w:val="0"/>
      <w:marRight w:val="0"/>
      <w:marTop w:val="0"/>
      <w:marBottom w:val="0"/>
      <w:divBdr>
        <w:top w:val="none" w:sz="0" w:space="0" w:color="auto"/>
        <w:left w:val="none" w:sz="0" w:space="0" w:color="auto"/>
        <w:bottom w:val="none" w:sz="0" w:space="0" w:color="auto"/>
        <w:right w:val="none" w:sz="0" w:space="0" w:color="auto"/>
      </w:divBdr>
    </w:div>
    <w:div w:id="1834300957">
      <w:marLeft w:val="0"/>
      <w:marRight w:val="0"/>
      <w:marTop w:val="0"/>
      <w:marBottom w:val="0"/>
      <w:divBdr>
        <w:top w:val="none" w:sz="0" w:space="0" w:color="auto"/>
        <w:left w:val="none" w:sz="0" w:space="0" w:color="auto"/>
        <w:bottom w:val="none" w:sz="0" w:space="0" w:color="auto"/>
        <w:right w:val="none" w:sz="0" w:space="0" w:color="auto"/>
      </w:divBdr>
    </w:div>
    <w:div w:id="1874732351">
      <w:marLeft w:val="0"/>
      <w:marRight w:val="0"/>
      <w:marTop w:val="0"/>
      <w:marBottom w:val="0"/>
      <w:divBdr>
        <w:top w:val="none" w:sz="0" w:space="0" w:color="auto"/>
        <w:left w:val="none" w:sz="0" w:space="0" w:color="auto"/>
        <w:bottom w:val="none" w:sz="0" w:space="0" w:color="auto"/>
        <w:right w:val="none" w:sz="0" w:space="0" w:color="auto"/>
      </w:divBdr>
    </w:div>
    <w:div w:id="1877346371">
      <w:marLeft w:val="0"/>
      <w:marRight w:val="0"/>
      <w:marTop w:val="0"/>
      <w:marBottom w:val="0"/>
      <w:divBdr>
        <w:top w:val="none" w:sz="0" w:space="0" w:color="auto"/>
        <w:left w:val="none" w:sz="0" w:space="0" w:color="auto"/>
        <w:bottom w:val="none" w:sz="0" w:space="0" w:color="auto"/>
        <w:right w:val="none" w:sz="0" w:space="0" w:color="auto"/>
      </w:divBdr>
    </w:div>
    <w:div w:id="1970433142">
      <w:marLeft w:val="0"/>
      <w:marRight w:val="0"/>
      <w:marTop w:val="0"/>
      <w:marBottom w:val="0"/>
      <w:divBdr>
        <w:top w:val="none" w:sz="0" w:space="0" w:color="auto"/>
        <w:left w:val="none" w:sz="0" w:space="0" w:color="auto"/>
        <w:bottom w:val="none" w:sz="0" w:space="0" w:color="auto"/>
        <w:right w:val="none" w:sz="0" w:space="0" w:color="auto"/>
      </w:divBdr>
    </w:div>
    <w:div w:id="1978729025">
      <w:marLeft w:val="0"/>
      <w:marRight w:val="0"/>
      <w:marTop w:val="0"/>
      <w:marBottom w:val="0"/>
      <w:divBdr>
        <w:top w:val="none" w:sz="0" w:space="0" w:color="auto"/>
        <w:left w:val="none" w:sz="0" w:space="0" w:color="auto"/>
        <w:bottom w:val="none" w:sz="0" w:space="0" w:color="auto"/>
        <w:right w:val="none" w:sz="0" w:space="0" w:color="auto"/>
      </w:divBdr>
    </w:div>
    <w:div w:id="1988507012">
      <w:marLeft w:val="0"/>
      <w:marRight w:val="0"/>
      <w:marTop w:val="0"/>
      <w:marBottom w:val="0"/>
      <w:divBdr>
        <w:top w:val="none" w:sz="0" w:space="0" w:color="auto"/>
        <w:left w:val="none" w:sz="0" w:space="0" w:color="auto"/>
        <w:bottom w:val="none" w:sz="0" w:space="0" w:color="auto"/>
        <w:right w:val="none" w:sz="0" w:space="0" w:color="auto"/>
      </w:divBdr>
    </w:div>
    <w:div w:id="2133938810">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xw-ex311_7.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cxw-ex44_155.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xw-ex43_154.htm" TargetMode="External"/><Relationship Id="rId11" Type="http://schemas.openxmlformats.org/officeDocument/2006/relationships/hyperlink" Target="cxw-ex322_6.htm" TargetMode="External"/><Relationship Id="rId5" Type="http://schemas.openxmlformats.org/officeDocument/2006/relationships/hyperlink" Target="cxw-ex42_153.htm" TargetMode="External"/><Relationship Id="rId10" Type="http://schemas.openxmlformats.org/officeDocument/2006/relationships/hyperlink" Target="cxw-ex321_9.htm" TargetMode="External"/><Relationship Id="rId4" Type="http://schemas.openxmlformats.org/officeDocument/2006/relationships/hyperlink" Target="cxw-ex41_152.htm" TargetMode="External"/><Relationship Id="rId9" Type="http://schemas.openxmlformats.org/officeDocument/2006/relationships/hyperlink" Target="cxw-ex312_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27635</Words>
  <Characters>157520</Characters>
  <Application>Microsoft Office Word</Application>
  <DocSecurity>0</DocSecurity>
  <Lines>1312</Lines>
  <Paragraphs>369</Paragraphs>
  <ScaleCrop>false</ScaleCrop>
  <Company/>
  <LinksUpToDate>false</LinksUpToDate>
  <CharactersWithSpaces>184786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cxw-10q_20190331.htm </dc:title>
  <dc:subject/>
  <dc:creator>Chongjian.Yue</dc:creator>
  <cp:keywords/>
  <dc:description/>
  <cp:lastModifiedBy>Yue Chongjian</cp:lastModifiedBy>
  <cp:revision>1</cp:revision>
  <dcterms:created xsi:type="dcterms:W3CDTF">2024-01-04T16:28:00Z</dcterms:created>
  <dcterms:modified xsi:type="dcterms:W3CDTF">2024-01-04T16:28:00Z</dcterms:modified>
</cp:coreProperties>
</file>