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F13FD">
      <w:pPr>
        <w:divId w:val="1541547663"/>
        <w:rPr>
          <w:rFonts w:eastAsia="Times New Roman"/>
          <w:vanish/>
        </w:rPr>
      </w:pPr>
      <w:r>
        <w:rPr>
          <w:rFonts w:eastAsia="Times New Roman"/>
          <w:vanish/>
        </w:rPr>
        <w:t xml:space="preserve">false Q3 0001070985 --12-31 TN MD P60D Interest payable periodically at variable interest rates. Interest payable periodically at variable interest rates. </w:t>
      </w:r>
      <w:r>
        <w:rPr>
          <w:rFonts w:eastAsia="Times New Roman"/>
          <w:vanish/>
        </w:rPr>
        <w:t>Interest payable periodically at variable interest rates. 2040-01-31 0.3333 P3Y 3300000 P2Y 2023-04-30 2023-04-30 2024-12-31 2023-05-31 2022-10-31 2027-10-31 2033-01-31 2040-01-31 2034-02-28 2025-11-30 2023-04-30 2023-04-30 2023-04-30 P5Y 2024-12-31 2034-0</w:t>
      </w:r>
      <w:r>
        <w:rPr>
          <w:rFonts w:eastAsia="Times New Roman"/>
          <w:vanish/>
        </w:rPr>
        <w:t>2-28 2025-11-30 P3Y 0.3333 P20Y 0001070985 2020-01-01 2020-09-30 xbrli:shares 0001070985 2020-10-30 iso4217:USD 0001070985 2020-09-30 0001070985 2019-12-31 iso4217:USD xbrli:shares 0001070985 2020-07-01 2020-09-30 0001070985 2019-07-01 2019-09-30 000107098</w:t>
      </w:r>
      <w:r>
        <w:rPr>
          <w:rFonts w:eastAsia="Times New Roman"/>
          <w:vanish/>
        </w:rPr>
        <w:t>5 2019-01-01 2019-09-30 0001070985 2018-12-31 0001070985 2019-09-30 0001070985 us-gaap:CommonStockMember 2019-12-31 0001070985 us-gaap:AdditionalPaidInCapitalMember 2019-12-31 0001070985 us-gaap:RetainedEarningsMember 2019-12-31 0001070985 us-gaap:ParentMe</w:t>
      </w:r>
      <w:r>
        <w:rPr>
          <w:rFonts w:eastAsia="Times New Roman"/>
          <w:vanish/>
        </w:rPr>
        <w:t>mber 2019-12-31 0001070985 us-gaap:RetainedEarningsMember 2020-01-01 2020-03-31 0001070985 us-gaap:ParentMember 2020-01-01 2020-03-31 0001070985 us-gaap:NoncontrollingInterestMember 2020-01-01 2020-03-31 0001070985 2020-01-01 2020-03-31 0001070985 us-gaap:</w:t>
      </w:r>
      <w:r>
        <w:rPr>
          <w:rFonts w:eastAsia="Times New Roman"/>
          <w:vanish/>
        </w:rPr>
        <w:t>CommonStockMember 2020-01-01 2020-03-31 0001070985 us-gaap:AdditionalPaidInCapitalMember 2020-01-01 2020-03-31 0001070985 us-gaap:RetainedEarningsMember srt:CumulativeEffectPeriodOfAdoptionAdjustmentMember 2020-03-31 0001070985 us-gaap:ParentMember srt:Cum</w:t>
      </w:r>
      <w:r>
        <w:rPr>
          <w:rFonts w:eastAsia="Times New Roman"/>
          <w:vanish/>
        </w:rPr>
        <w:t>ulativeEffectPeriodOfAdoptionAdjustmentMember 2020-03-31 0001070985 srt:CumulativeEffectPeriodOfAdoptionAdjustmentMember 2020-03-31 0001070985 us-gaap:CommonStockMember 2020-03-31 0001070985 us-gaap:AdditionalPaidInCapitalMember 2020-03-31 0001070985 us-ga</w:t>
      </w:r>
      <w:r>
        <w:rPr>
          <w:rFonts w:eastAsia="Times New Roman"/>
          <w:vanish/>
        </w:rPr>
        <w:t>ap:RetainedEarningsMember 2020-03-31 0001070985 us-gaap:ParentMember 2020-03-31 0001070985 us-gaap:NoncontrollingInterestMember 2020-03-31 0001070985 2020-03-31 0001070985 us-gaap:RetainedEarningsMember 2020-04-01 2020-06-30 0001070985 us-gaap:ParentMember</w:t>
      </w:r>
      <w:r>
        <w:rPr>
          <w:rFonts w:eastAsia="Times New Roman"/>
          <w:vanish/>
        </w:rPr>
        <w:t xml:space="preserve"> 2020-04-01 2020-06-30 0001070985 2020-04-01 2020-06-30 0001070985 us-gaap:AdditionalPaidInCapitalMember 2020-04-01 2020-06-30 0001070985 us-gaap:CommonStockMember 2020-04-01 2020-06-30 0001070985 us-gaap:CommonStockMember 2020-06-30 0001070985 us-gaap:Add</w:t>
      </w:r>
      <w:r>
        <w:rPr>
          <w:rFonts w:eastAsia="Times New Roman"/>
          <w:vanish/>
        </w:rPr>
        <w:t>itionalPaidInCapitalMember 2020-06-30 0001070985 us-gaap:RetainedEarningsMember 2020-06-30 0001070985 us-gaap:ParentMember 2020-06-30 0001070985 us-gaap:NoncontrollingInterestMember 2020-06-30 0001070985 2020-06-30 0001070985 us-gaap:RetainedEarningsMember</w:t>
      </w:r>
      <w:r>
        <w:rPr>
          <w:rFonts w:eastAsia="Times New Roman"/>
          <w:vanish/>
        </w:rPr>
        <w:t xml:space="preserve"> 2020-07-01 2020-09-30 0001070985 us-gaap:ParentMember 2020-07-01 2020-09-30 0001070985 us-gaap:CommonStockMember 2020-07-01 2020-09-30 0001070985 us-gaap:AdditionalPaidInCapitalMember 2020-07-01 2020-09-30 0001070985 us-gaap:CommonStockMember 2020-09-30 0</w:t>
      </w:r>
      <w:r>
        <w:rPr>
          <w:rFonts w:eastAsia="Times New Roman"/>
          <w:vanish/>
        </w:rPr>
        <w:t>001070985 us-gaap:AdditionalPaidInCapitalMember 2020-09-30 0001070985 us-gaap:RetainedEarningsMember 2020-09-30 0001070985 us-gaap:ParentMember 2020-09-30 0001070985 us-gaap:NoncontrollingInterestMember 2020-09-30 0001070985 us-gaap:CommonStockMember 2018-</w:t>
      </w:r>
      <w:r>
        <w:rPr>
          <w:rFonts w:eastAsia="Times New Roman"/>
          <w:vanish/>
        </w:rPr>
        <w:t>12-31 0001070985 us-gaap:AdditionalPaidInCapitalMember 2018-12-31 0001070985 us-gaap:RetainedEarningsMember 2018-12-31 0001070985 us-gaap:RetainedEarningsMember 2019-01-01 2019-03-31 0001070985 2019-01-01 2019-03-31 0001070985 us-gaap:CommonStockMember 201</w:t>
      </w:r>
      <w:r>
        <w:rPr>
          <w:rFonts w:eastAsia="Times New Roman"/>
          <w:vanish/>
        </w:rPr>
        <w:t>9-01-01 2019-03-31 0001070985 us-gaap:AdditionalPaidInCapitalMember 2019-01-01 2019-03-31 0001070985 us-gaap:RetainedEarningsMember srt:CumulativeEffectPeriodOfAdoptionAdjustmentMember 2019-03-31 0001070985 srt:CumulativeEffectPeriodOfAdoptionAdjustmentMem</w:t>
      </w:r>
      <w:r>
        <w:rPr>
          <w:rFonts w:eastAsia="Times New Roman"/>
          <w:vanish/>
        </w:rPr>
        <w:t>ber 2019-03-31 0001070985 us-gaap:CommonStockMember 2019-03-31 0001070985 us-gaap:AdditionalPaidInCapitalMember 2019-03-31 0001070985 us-gaap:RetainedEarningsMember 2019-03-31 0001070985 2019-03-31 0001070985 us-gaap:RetainedEarningsMember 2019-04-01 2019-</w:t>
      </w:r>
      <w:r>
        <w:rPr>
          <w:rFonts w:eastAsia="Times New Roman"/>
          <w:vanish/>
        </w:rPr>
        <w:t>06-30 0001070985 2019-04-01 2019-06-30 0001070985 us-gaap:CommonStockMember 2019-04-01 2019-06-30 0001070985 us-gaap:AdditionalPaidInCapitalMember 2019-04-01 2019-06-30 0001070985 us-gaap:CommonStockMember 2019-06-30 0001070985 us-gaap:AdditionalPaidInCapi</w:t>
      </w:r>
      <w:r>
        <w:rPr>
          <w:rFonts w:eastAsia="Times New Roman"/>
          <w:vanish/>
        </w:rPr>
        <w:t>talMember 2019-06-30 0001070985 us-gaap:RetainedEarningsMember 2019-06-30 0001070985 2019-06-30 0001070985 us-gaap:RetainedEarningsMember 2019-07-01 2019-09-30 0001070985 us-gaap:AdditionalPaidInCapitalMember 2019-07-01 2019-09-30 0001070985 us-gaap:Common</w:t>
      </w:r>
      <w:r>
        <w:rPr>
          <w:rFonts w:eastAsia="Times New Roman"/>
          <w:vanish/>
        </w:rPr>
        <w:t>StockMember 2019-09-30 0001070985 us-gaap:AdditionalPaidInCapitalMember 2019-09-30 0001070985 us-gaap:RetainedEarningsMember 2019-09-30 cxw:Segment cxw:Facility 0001070985 cxw:SafetySegmentMember 2020-09-30 cxw:Bed 0001070985 cxw:CommunitySegmentMember 202</w:t>
      </w:r>
      <w:r>
        <w:rPr>
          <w:rFonts w:eastAsia="Times New Roman"/>
          <w:vanish/>
        </w:rPr>
        <w:t>0-09-30 cxw:Property 0001070985 cxw:PropertiesSegmentMember 2020-09-30 utr:sqft xbrli:pure 0001070985 us-gaap:AccountingStandardsUpdate201613Member srt:RevisionOfPriorPeriodAccountingStandardsUpdateAdjustmentMember 2020-09-30 0001070985 cxw:SafetySegmentMe</w:t>
      </w:r>
      <w:r>
        <w:rPr>
          <w:rFonts w:eastAsia="Times New Roman"/>
          <w:vanish/>
        </w:rPr>
        <w:t>mber 2019-12-31 0001070985 cxw:CommunitySegmentMember 2019-12-31 0001070985 cxw:SilverdaleDetentionCenterMember srt:ScenarioForecastMember 2020-12-31 0001070985 cxw:MetroDavidsonCountyDetentionFacilityMember us-gaap:SubsequentEventMember 2020-10-31 0001070</w:t>
      </w:r>
      <w:r>
        <w:rPr>
          <w:rFonts w:eastAsia="Times New Roman"/>
          <w:vanish/>
        </w:rPr>
        <w:t>985 cxw:TwoManagedOnlyFacilitiesMember 2020-04-01 2020-06-30 0001070985 2020-01-02 0001070985 us-gaap:PartnershipMember 2020-01-02 0001070985 2020-01-02 2020-01-02 0001070985 cxw:GovernmentRealEstateSolutionsLLCMember 2020-01-02 0001070985 cxw:GovernmentRe</w:t>
      </w:r>
      <w:r>
        <w:rPr>
          <w:rFonts w:eastAsia="Times New Roman"/>
          <w:vanish/>
        </w:rPr>
        <w:t>alEstateSolutionsLLCMember 2020-01-02 2020-01-02 0001070985 cxw:GovernmentRealEstateSolutionsLLCMember 2020-09-30 0001070985 cxw:GovernmentRealEstateSolutionsLLCMember 2020-01-01 2020-09-30 0001070985 cxw:KansasDepartmentOfCorrectionsMember 2018-01-24 0001</w:t>
      </w:r>
      <w:r>
        <w:rPr>
          <w:rFonts w:eastAsia="Times New Roman"/>
          <w:vanish/>
        </w:rPr>
        <w:t>070985 cxw:KansasDepartmentOfCorrectionsMember 2020-01-01 2020-09-30 0001070985 us-gaap:OtherAssetsMember 2020-09-30 0001070985 us-gaap:OtherAssetsMember 2019-12-31 0001070985 srt:MaximumMember cxw:SouthTexasFamilyResidentialCenterMember 2020-09-30 0001070</w:t>
      </w:r>
      <w:r>
        <w:rPr>
          <w:rFonts w:eastAsia="Times New Roman"/>
          <w:vanish/>
        </w:rPr>
        <w:t>985 srt:MinimumMember cxw:SouthTexasFamilyResidentialCenterMember 2020-09-01 2020-09-30 0001070985 cxw:SouthTexasFamilyResidentialCenterMember 2020-09-01 2020-09-30 0001070985 cxw:SouthTexasFamilyResidentialCenterMember 2020-09-30 0001070985 cxw:IdledCorre</w:t>
      </w:r>
      <w:r>
        <w:rPr>
          <w:rFonts w:eastAsia="Times New Roman"/>
          <w:vanish/>
        </w:rPr>
        <w:t>ctionalFacilitiesMember 2020-01-01 2020-09-30 0001070985 cxw:PrairieCorrectionalFacilityMember 2020-09-30 0001070985 cxw:HuerfanoCountyCorrectionalCenterMember 2020-09-30 0001070985 cxw:DiamondbackCorrectionalFacilityMember 2020-09-30 0001070985 cxw:Marion</w:t>
      </w:r>
      <w:r>
        <w:rPr>
          <w:rFonts w:eastAsia="Times New Roman"/>
          <w:vanish/>
        </w:rPr>
        <w:t>AdjustmentCenterMember 2020-09-30 0001070985 cxw:KitCarsonCorrectionalCenterMember 2020-09-30 0001070985 cxw:IdleFacilitiesMember 2020-09-30 0001070985 cxw:PrairieCorrectionalFacilityMember 2020-09-29 2020-09-30 0001070985 cxw:HuerfanoCountyCorrectionalCen</w:t>
      </w:r>
      <w:r>
        <w:rPr>
          <w:rFonts w:eastAsia="Times New Roman"/>
          <w:vanish/>
        </w:rPr>
        <w:t>terMember 2020-09-29 2020-09-30 0001070985 cxw:DiamondbackCorrectionalFacilityMember 2020-09-29 2020-09-30 0001070985 cxw:MarionAdjustmentCenterMember 2020-09-29 2020-09-30 0001070985 cxw:KitCarsonCorrectionalCenterMember 2020-09-29 2020-09-30 0001070985 c</w:t>
      </w:r>
      <w:r>
        <w:rPr>
          <w:rFonts w:eastAsia="Times New Roman"/>
          <w:vanish/>
        </w:rPr>
        <w:t>xw:PrairieCorrectionalFacilityMember 2019-12-31 0001070985 cxw:HuerfanoCountyCorrectionalCenterMember 2019-12-31 0001070985 cxw:DiamondbackCorrectionalFacilityMember 2019-12-31 0001070985 cxw:MarionAdjustmentCenterMember 2019-12-31 0001070985 cxw:KitCarson</w:t>
      </w:r>
      <w:r>
        <w:rPr>
          <w:rFonts w:eastAsia="Times New Roman"/>
          <w:vanish/>
        </w:rPr>
        <w:t>CorrectionalCenterMember 2019-12-31 0001070985 cxw:IdleFacilitiesMember 2019-12-31 0001070985 cxw:IdledNonCoreFacilitiesMember cxw:SafetySegmentMember 2020-01-01 2020-09-30 0001070985 cxw:IdledNonCoreFacilitiesMember cxw:SafetySegmentMember 2020-09-30 0001</w:t>
      </w:r>
      <w:r>
        <w:rPr>
          <w:rFonts w:eastAsia="Times New Roman"/>
          <w:vanish/>
        </w:rPr>
        <w:t>070985 cxw:IdleFacilitiesMember cxw:CommunitySegmentMember 2020-09-29 2020-09-30 0001070985 cxw:IdleFacilitiesMember cxw:CommunitySegmentMember 2020-01-01 2020-09-30 0001070985 cxw:IdleFacilitiesMember cxw:CommunitySegmentMember 2020-09-30 0001070985 cxw:I</w:t>
      </w:r>
      <w:r>
        <w:rPr>
          <w:rFonts w:eastAsia="Times New Roman"/>
          <w:vanish/>
        </w:rPr>
        <w:t>dledResidentialReentryFacilityMember cxw:PropertiesSegmentMember 2020-01-01 2020-09-30 0001070985 cxw:IdledResidentialReentryFacilityMember cxw:PropertiesSegmentMember 2020-09-30 0001070985 cxw:IdleFacilitiesMember 2020-07-01 2020-09-30 0001070985 cxw:Idle</w:t>
      </w:r>
      <w:r>
        <w:rPr>
          <w:rFonts w:eastAsia="Times New Roman"/>
          <w:vanish/>
        </w:rPr>
        <w:t>FacilitiesMember 2019-07-01 2019-09-30 0001070985 cxw:IdleFacilitiesMember 2020-01-01 2020-09-30 0001070985 cxw:IdleFacilitiesMember 2019-01-01 2019-09-30 0001070985 cxw:IdledNonCoreFacilitiesMember cxw:SafetySegmentMember 2020-05-26 0001070985 cxw:IdledNo</w:t>
      </w:r>
      <w:r>
        <w:rPr>
          <w:rFonts w:eastAsia="Times New Roman"/>
          <w:vanish/>
        </w:rPr>
        <w:t>nCoreFacilitiesMember cxw:SafetySegmentMember 2020-05-26 2020-05-26 0001070985 cxw:IdledNonCoreFacilitiesMember cxw:SafetySegmentMember 2020-04-01 2020-06-30 0001070985 cxw:IdleFacilitiesMember cxw:CommunitySegmentMember 2020-04-15 0001070985 cxw:IdleFacil</w:t>
      </w:r>
      <w:r>
        <w:rPr>
          <w:rFonts w:eastAsia="Times New Roman"/>
          <w:vanish/>
        </w:rPr>
        <w:t>itiesMember cxw:CommunitySegmentMember 2020-04-15 2020-04-15 0001070985 cxw:CimarronCorrectionalFacilityMember cxw:SafetySegmentMember 2020-09-15 0001070985 cxw:CimarronCorrectionalFacilityMember cxw:SafetySegmentMember 2020-09-15 2020-09-15 0001070985 cxw</w:t>
      </w:r>
      <w:r>
        <w:rPr>
          <w:rFonts w:eastAsia="Times New Roman"/>
          <w:vanish/>
        </w:rPr>
        <w:t xml:space="preserve">:CimarronCorrectionalFacilityMember cxw:SafetySegmentMember 2020-09-30 0001070985 cxw:TulsaTransitionalCenterOklahomaMember cxw:COVID19Member 2020-09-30 0001070985 cxw:OklahomaCityTransitionalCenterMember cxw:COVID19Member 2020-04-01 2020-06-30 0001070985 </w:t>
      </w:r>
      <w:r>
        <w:rPr>
          <w:rFonts w:eastAsia="Times New Roman"/>
          <w:vanish/>
        </w:rPr>
        <w:t>cxw:TurleyResidentialCenterOklahomaMember 2019-01-01 2019-12-31 0001070985 cxw:IdledResidentialReentryFacilityMember stpr:OK 2020-04-01 2020-06-30 0001070985 us-gaap:RevolvingCreditFacilityMember cxw:RevolvingCreditFacilityDueInAprilTwentyTwentyThreeMember</w:t>
      </w:r>
      <w:r>
        <w:rPr>
          <w:rFonts w:eastAsia="Times New Roman"/>
          <w:vanish/>
        </w:rPr>
        <w:t xml:space="preserve"> 2020-09-30 0001070985 us-gaap:RevolvingCreditFacilityMember cxw:RevolvingCreditFacilityDueInAprilTwentyTwentyThreeMember 2019-12-31 0001070985 cxw:TermLoanADueInAprilTwentyTwentyThreeMember 2020-09-30 0001070985 cxw:TermLoanADueInAprilTwentyTwentyThreeMem</w:t>
      </w:r>
      <w:r>
        <w:rPr>
          <w:rFonts w:eastAsia="Times New Roman"/>
          <w:vanish/>
        </w:rPr>
        <w:t>ber 2019-12-31 0001070985 cxw:TermLoanBDueInDecemberTwentyTwentyFourMember 2020-09-30 0001070985 cxw:TermLoanBDueInDecemberTwentyTwentyFourMember 2019-12-31 0001070985 cxw:SeniorNotesFourPointSixTwentyFivePercentDueTwentyTwentyThreeMember 2020-09-30 000107</w:t>
      </w:r>
      <w:r>
        <w:rPr>
          <w:rFonts w:eastAsia="Times New Roman"/>
          <w:vanish/>
        </w:rPr>
        <w:t>0985 cxw:SeniorNotesFourPointSixTwentyFivePercentDueTwentyTwentyThreeMember 2019-12-31 0001070985 cxw:SeniorNotesFivePointZeroPercentDueTwentyTwentyTwoMember 2020-09-30 0001070985 cxw:SeniorNotesFivePointZeroPercentDueTwentyTwentyTwoMember 2019-12-31 00010</w:t>
      </w:r>
      <w:r>
        <w:rPr>
          <w:rFonts w:eastAsia="Times New Roman"/>
          <w:vanish/>
        </w:rPr>
        <w:t>70985 cxw:SeniorNotesFourPointSeventyFivePercentDueTwentyTwentySevenMember 2020-09-30 0001070985 cxw:SeniorNotesFourPointSeventyFivePercentDueTwentyTwentySevenMember 2019-12-31 0001070985 cxw:CapitalCommerceCenterNonRecourseMortgageNoteFourPointFivePercent</w:t>
      </w:r>
      <w:r>
        <w:rPr>
          <w:rFonts w:eastAsia="Times New Roman"/>
          <w:vanish/>
        </w:rPr>
        <w:t>DueTwentyThirtyThreeMember 2020-09-30 0001070985 cxw:CapitalCommerceCenterNonRecourseMortgageNoteFourPointFivePercentDueTwentyThirtyThreeMember 2019-12-31 0001070985 cxw:LansingCorrectionalCenterNonRecourseMortgageNoteFourPointFourThreePercentDueTwentyFort</w:t>
      </w:r>
      <w:r>
        <w:rPr>
          <w:rFonts w:eastAsia="Times New Roman"/>
          <w:vanish/>
        </w:rPr>
        <w:t>yMember 2020-09-30 0001070985 cxw:LansingCorrectionalCenterNonRecourseMortgageNoteFourPointFourThreePercentDueTwentyFortyMember 2019-12-31 0001070985 cxw:SSABaltimoreNonRecourseMortgageNoteFourPointFivePercentDueTwentyThirtyFourMember 2020-09-30 0001070985</w:t>
      </w:r>
      <w:r>
        <w:rPr>
          <w:rFonts w:eastAsia="Times New Roman"/>
          <w:vanish/>
        </w:rPr>
        <w:t xml:space="preserve"> cxw:SSABaltimoreNonRecourseMortgageNoteFourPointFivePercentDueTwentyThirtyFourMember 2019-12-31 0001070985 cxw:GovernmentRealEstateSolutionsNonRecourseMortgageNoteFourPointNinePercentDueTwentyTwentyFiveMember 2020-09-30 0001070985 us-gaap:RevolvingCreditF</w:t>
      </w:r>
      <w:r>
        <w:rPr>
          <w:rFonts w:eastAsia="Times New Roman"/>
          <w:vanish/>
        </w:rPr>
        <w:t>acilityMember cxw:RevolvingCreditFacilityDueInAprilTwentyTwentyThreeMember 2020-01-01 2020-09-30 0001070985 cxw:TermLoanADueInAprilTwentyTwentyThreeMember 2020-01-01 2020-09-30 0001070985 cxw:TermLoanBDueInDecemberTwentyTwentyFourMember 2020-01-01 2020-09-</w:t>
      </w:r>
      <w:r>
        <w:rPr>
          <w:rFonts w:eastAsia="Times New Roman"/>
          <w:vanish/>
        </w:rPr>
        <w:t>30 0001070985 cxw:SeniorNotesFourPointSixTwentyFivePercentDueTwentyTwentyThreeMember 2020-01-01 2020-09-30 0001070985 cxw:SeniorNotesFivePointZeroPercentDueTwentyTwentyTwoMember 2020-01-01 2020-09-30 0001070985 cxw:SeniorNotesFourPointSeventyFivePercentDue</w:t>
      </w:r>
      <w:r>
        <w:rPr>
          <w:rFonts w:eastAsia="Times New Roman"/>
          <w:vanish/>
        </w:rPr>
        <w:t>TwentyTwentySevenMember 2020-01-01 2020-09-30 0001070985 cxw:CapitalCommerceCenterNonRecourseMortgageNoteFourPointFivePercentDueTwentyThirtyThreeMember 2020-01-01 2020-09-30 0001070985 cxw:LansingCorrectionalCenterNonRecourseMortgageNoteFourPointFourThreeP</w:t>
      </w:r>
      <w:r>
        <w:rPr>
          <w:rFonts w:eastAsia="Times New Roman"/>
          <w:vanish/>
        </w:rPr>
        <w:t>ercentDueTwentyFortyMember 2020-01-01 2020-09-30 0001070985 cxw:SSABaltimoreNonRecourseMortgageNoteFourPointFivePercentDueTwentyThirtyFourMember 2020-01-01 2020-09-30 0001070985 cxw:GovernmentRealEstateSolutionsNonRecourseMortgageNoteFourPointNinePercentDu</w:t>
      </w:r>
      <w:r>
        <w:rPr>
          <w:rFonts w:eastAsia="Times New Roman"/>
          <w:vanish/>
        </w:rPr>
        <w:t>eTwentyTwentyFiveMember 2020-01-01 2020-09-30 0001070985 us-gaap:RevolvingCreditFacilityMember srt:MinimumMember us-gaap:BaseRateMember 2018-04-16 2018-04-17 0001070985 us-gaap:RevolvingCreditFacilityMember srt:MaximumMember us-gaap:BaseRateMember 2018-04-</w:t>
      </w:r>
      <w:r>
        <w:rPr>
          <w:rFonts w:eastAsia="Times New Roman"/>
          <w:vanish/>
        </w:rPr>
        <w:t>16 2018-04-17 0001070985 us-gaap:RevolvingCreditFacilityMember srt:MinimumMember us-gaap:LondonInterbankOfferedRateLIBORMember 2018-04-16 2018-04-17 0001070985 us-gaap:RevolvingCreditFacilityMember srt:MaximumMember us-gaap:LondonInterbankOfferedRateLIBORM</w:t>
      </w:r>
      <w:r>
        <w:rPr>
          <w:rFonts w:eastAsia="Times New Roman"/>
          <w:vanish/>
        </w:rPr>
        <w:t>ember 2018-04-16 2018-04-17 0001070985 cxw:CreditAgreementMember 2018-04-17 0001070985 cxw:CreditAgreementMember cxw:TermLoanADueInAprilTwentyTwentyThreeMember 2018-04-17 0001070985 us-gaap:RevolvingCreditFacilityMember cxw:CreditAgreementMember 2018-04-17</w:t>
      </w:r>
      <w:r>
        <w:rPr>
          <w:rFonts w:eastAsia="Times New Roman"/>
          <w:vanish/>
        </w:rPr>
        <w:t xml:space="preserve"> 0001070985 cxw:CreditAgreementMember 2018-04-16 2018-04-17 0001070985 us-gaap:RevolvingCreditFacilityMember 2018-04-17 0001070985 us-gaap:RevolvingCreditFacilityMember 2020-01-01 2020-09-30 0001070985 us-gaap:RevolvingCreditFacilityMember 2019-01-01 2019-</w:t>
      </w:r>
      <w:r>
        <w:rPr>
          <w:rFonts w:eastAsia="Times New Roman"/>
          <w:vanish/>
        </w:rPr>
        <w:t>12-31 0001070985 us-gaap:RevolvingCreditFacilityMember 2020-09-30 0001070985 us-gaap:RevolvingCreditFacilityMember us-gaap:BaseRateMember 2020-01-01 2020-09-30 0001070985 us-gaap:RevolvingCreditFacilityMember us-gaap:BaseRateMember 2019-01-01 2019-12-31 00</w:t>
      </w:r>
      <w:r>
        <w:rPr>
          <w:rFonts w:eastAsia="Times New Roman"/>
          <w:vanish/>
        </w:rPr>
        <w:t>01070985 us-gaap:RevolvingCreditFacilityMember us-gaap:LondonInterbankOfferedRateLIBORMember 2020-01-01 2020-09-30 0001070985 us-gaap:RevolvingCreditFacilityMember us-gaap:LondonInterbankOfferedRateLIBORMember 2019-01-01 2019-12-31 0001070985 2018-04-16 20</w:t>
      </w:r>
      <w:r>
        <w:rPr>
          <w:rFonts w:eastAsia="Times New Roman"/>
          <w:vanish/>
        </w:rPr>
        <w:t>18-04-17 0001070985 cxw:TermLoanADueInAprilTwentyTwentyThreeMember 2018-04-16 2018-04-17 0001070985 cxw:TermLoanBDueInDecemberTwentyTwentyFourMember 2019-12-18 0001070985 us-gaap:LondonInterbankOfferedRateLIBORMember cxw:TermLoanBDueInDecemberTwentyTwentyF</w:t>
      </w:r>
      <w:r>
        <w:rPr>
          <w:rFonts w:eastAsia="Times New Roman"/>
          <w:vanish/>
        </w:rPr>
        <w:t>ourMember 2019-12-18 2019-12-18 0001070985 us-gaap:LondonInterbankOfferedRateLIBORMember cxw:TermLoanBDueInDecemberTwentyTwentyFourMember 2019-12-18 0001070985 us-gaap:BaseRateMember cxw:TermLoanBDueInDecemberTwentyTwentyFourMember 2019-12-18 2019-12-18 00</w:t>
      </w:r>
      <w:r>
        <w:rPr>
          <w:rFonts w:eastAsia="Times New Roman"/>
          <w:vanish/>
        </w:rPr>
        <w:t>01070985 cxw:TermLoanBDueInDecemberTwentyTwentyFourMember 2019-12-18 2019-12-18 0001070985 cxw:SeniorNotesFourPointOneTwentyFivePercentDueTwentyTwentyMember 2019-12-18 0001070985 cxw:SeniorNotesFourPointSixTwentyFivePercentDueTwentyTwentyThreeMember 2013-0</w:t>
      </w:r>
      <w:r>
        <w:rPr>
          <w:rFonts w:eastAsia="Times New Roman"/>
          <w:vanish/>
        </w:rPr>
        <w:t>4-30 0001070985 cxw:SeniorNotesFourPointSixTwentyFivePercentDueTwentyTwentyThreeMember 2013-04-01 2013-04-30 0001070985 cxw:SeniorNotesFivePointZeroPercentDueTwentyTwentyTwoMember 2015-09-30 0001070985 cxw:SeniorNotesFivePointZeroPercentDueTwentyTwentyTwoM</w:t>
      </w:r>
      <w:r>
        <w:rPr>
          <w:rFonts w:eastAsia="Times New Roman"/>
          <w:vanish/>
        </w:rPr>
        <w:t>ember 2015-09-01 2015-09-30 0001070985 cxw:SeniorNotesFourPointSeventyFivePercentDueTwentyTwentySevenMember 2017-10-31 0001070985 cxw:SeniorNotesFourPointSeventyFivePercentDueTwentyTwentySevenMember 2017-10-01 2017-10-31 0001070985 cxw:SeniorNotesFourPoint</w:t>
      </w:r>
      <w:r>
        <w:rPr>
          <w:rFonts w:eastAsia="Times New Roman"/>
          <w:vanish/>
        </w:rPr>
        <w:t>OneTwentyFivePercentDueTwentyTwentyMember 2013-04-01 2013-04-30 0001070985 cxw:CapitalCommerceCenterMember 2018-01-17 2018-01-19 0001070985 cxw:NonRecourseMortgageNoteMember cxw:CapitalCommerceCenterMember 2018-01-19 0001070985 cxw:NonRecourseMortgageNoteM</w:t>
      </w:r>
      <w:r>
        <w:rPr>
          <w:rFonts w:eastAsia="Times New Roman"/>
          <w:vanish/>
        </w:rPr>
        <w:t>ember cxw:CapitalCommerceCenterMember 2018-01-17 2018-01-19 0001070985 cxw:NonRecourseMortgageNoteMember cxw:CapitalCommerceCenterMember 2020-09-30 0001070985 us-gaap:PrivatePlacementMember cxw:NonRecourseSeniorSecuredNotesMember 2018-04-20 0001070985 us-g</w:t>
      </w:r>
      <w:r>
        <w:rPr>
          <w:rFonts w:eastAsia="Times New Roman"/>
          <w:vanish/>
        </w:rPr>
        <w:t xml:space="preserve">aap:PrivatePlacementMember cxw:NonRecourseSeniorSecuredNotesMember 2018-04-19 2018-04-20 0001070985 us-gaap:PrivatePlacementMember cxw:NonRecourseSeniorSecuredNotesMember 2020-09-30 0001070985 cxw:NonRecourseSeniorSecuredNotesMember cxw:SSABaltimoreMember </w:t>
      </w:r>
      <w:r>
        <w:rPr>
          <w:rFonts w:eastAsia="Times New Roman"/>
          <w:vanish/>
        </w:rPr>
        <w:t>2018-08-22 2018-08-23 0001070985 cxw:NonRecourseSeniorSecuredNotesMember cxw:SSABaltimoreMember 2018-08-23 0001070985 cxw:NonRecourseSeniorSecuredNotesMember cxw:SSABaltimoreMember 2020-09-30 0001070985 cxw:GovernmentRealEstateSolutionsNonRecourseMortgageN</w:t>
      </w:r>
      <w:r>
        <w:rPr>
          <w:rFonts w:eastAsia="Times New Roman"/>
          <w:vanish/>
        </w:rPr>
        <w:t>oteFourPointNinePercentDueTwentyTwentyFiveMember 2020-01-02 0001070985 cxw:GovernmentRealEstateSolutionsNonRecourseMortgageNoteFourPointNinePercentDueTwentyTwentyFiveMember us-gaap:PartnershipMember 2020-01-02 0001070985 cxw:GovernmentRealEstateSolutionsNo</w:t>
      </w:r>
      <w:r>
        <w:rPr>
          <w:rFonts w:eastAsia="Times New Roman"/>
          <w:vanish/>
        </w:rPr>
        <w:t>nRecourseMortgageNoteFourPointNinePercentDueTwentyTwentyFiveMember 2020-01-02 2020-01-02 0001070985 cxw:DividendPaymentOneMember 2020-01-01 2020-03-31 0001070985 cxw:DividendPaymentTwoMember 2020-01-01 2020-03-31 0001070985 cxw:DividendPaymentThreeMember 2</w:t>
      </w:r>
      <w:r>
        <w:rPr>
          <w:rFonts w:eastAsia="Times New Roman"/>
          <w:vanish/>
        </w:rPr>
        <w:t>020-01-01 2020-03-31 0001070985 cxw:DividendPaymentFourMember 2020-01-01 2020-03-31 0001070985 cxw:DividendPaymentFiveMember 2020-01-01 2020-03-31 0001070985 us-gaap:EmployeeStockOptionMember 2020-09-30 0001070985 cxw:EmployeesAndNonEmployeeDirectorsMember</w:t>
      </w:r>
      <w:r>
        <w:rPr>
          <w:rFonts w:eastAsia="Times New Roman"/>
          <w:vanish/>
        </w:rPr>
        <w:t xml:space="preserve"> us-gaap:RestrictedStockMember 2020-01-01 2020-09-30 0001070985 us-gaap:RestrictedStockMember 2020-01-01 2020-09-30 0001070985 cxw:EmployeesAndNonEmployeeDirectorsMember us-gaap:GeneralAndAdministrativeExpenseMember us-gaap:RestrictedStockMember 2020-01-01</w:t>
      </w:r>
      <w:r>
        <w:rPr>
          <w:rFonts w:eastAsia="Times New Roman"/>
          <w:vanish/>
        </w:rPr>
        <w:t xml:space="preserve"> 2020-09-30 0001070985 cxw:EmployeeMember us-gaap:OperatingExpenseMember us-gaap:RestrictedStockMember 2020-01-01 2020-09-30 0001070985 cxw:EmployeesAndNonEmployeeDirectorsMember us-gaap:RestrictedStockMember 2019-01-01 2019-12-31 0001070985 us-gaap:Restri</w:t>
      </w:r>
      <w:r>
        <w:rPr>
          <w:rFonts w:eastAsia="Times New Roman"/>
          <w:vanish/>
        </w:rPr>
        <w:t>ctedStockMember 2019-01-01 2019-12-31 0001070985 cxw:EmployeesAndNonEmployeeDirectorsMember us-gaap:GeneralAndAdministrativeExpenseMember us-gaap:RestrictedStockMember 2019-01-01 2019-12-31 0001070985 cxw:EmployeeMember us-gaap:OperatingExpenseMember us-ga</w:t>
      </w:r>
      <w:r>
        <w:rPr>
          <w:rFonts w:eastAsia="Times New Roman"/>
          <w:vanish/>
        </w:rPr>
        <w:t>ap:RestrictedStockMember 2019-01-01 2019-12-31 0001070985 us-gaap:RestrictedStockMember cxw:OfficersAndExecutiveOfficersMember 2020-01-01 2020-09-30 0001070985 us-gaap:RestrictedStockMember srt:MinimumMember 2020-01-01 2020-09-30 0001070985 us-gaap:Restric</w:t>
      </w:r>
      <w:r>
        <w:rPr>
          <w:rFonts w:eastAsia="Times New Roman"/>
          <w:vanish/>
        </w:rPr>
        <w:t>tedStockMember srt:MaximumMember 2020-01-01 2020-09-30 0001070985 us-gaap:RestrictedStockMember cxw:OtherEmployeesMember 2020-01-01 2020-09-30 0001070985 us-gaap:RestrictedStockMember cxw:NonEmployeeDirectorsMember 2020-01-01 2020-09-30 0001070985 us-gaap:</w:t>
      </w:r>
      <w:r>
        <w:rPr>
          <w:rFonts w:eastAsia="Times New Roman"/>
          <w:vanish/>
        </w:rPr>
        <w:t>RestrictedStockMember 2020-07-01 2020-09-30 0001070985 us-gaap:RestrictedStockMember 2019-07-01 2019-09-30 0001070985 us-gaap:OperatingExpenseMember us-gaap:RestrictedStockMember 2020-07-01 2020-09-30 0001070985 us-gaap:OperatingExpenseMember us-gaap:Restr</w:t>
      </w:r>
      <w:r>
        <w:rPr>
          <w:rFonts w:eastAsia="Times New Roman"/>
          <w:vanish/>
        </w:rPr>
        <w:t>ictedStockMember 2019-07-01 2019-09-30 0001070985 us-gaap:GeneralAndAdministrativeExpenseMember us-gaap:RestrictedStockMember 2020-07-01 2020-09-30 0001070985 us-gaap:GeneralAndAdministrativeExpenseMember us-gaap:RestrictedStockMember 2019-07-01 2019-09-30</w:t>
      </w:r>
      <w:r>
        <w:rPr>
          <w:rFonts w:eastAsia="Times New Roman"/>
          <w:vanish/>
        </w:rPr>
        <w:t xml:space="preserve"> 0001070985 us-gaap:OperatingExpenseMember us-gaap:RestrictedStockMember 2020-01-01 2020-09-30 0001070985 us-gaap:GeneralAndAdministrativeExpenseMember us-gaap:RestrictedStockMember 2020-01-01 2020-09-30 0001070985 us-gaap:RestrictedStockMember 2019-01-01 </w:t>
      </w:r>
      <w:r>
        <w:rPr>
          <w:rFonts w:eastAsia="Times New Roman"/>
          <w:vanish/>
        </w:rPr>
        <w:t>2019-09-30 0001070985 us-gaap:OperatingExpenseMember us-gaap:RestrictedStockMember 2019-01-01 2019-09-30 0001070985 us-gaap:GeneralAndAdministrativeExpenseMember us-gaap:RestrictedStockMember 2019-01-01 2019-09-30 0001070985 us-gaap:RestrictedStockMember 2</w:t>
      </w:r>
      <w:r>
        <w:rPr>
          <w:rFonts w:eastAsia="Times New Roman"/>
          <w:vanish/>
        </w:rPr>
        <w:t>020-09-30 0001070985 us-gaap:EmployeeStockOptionMember 2019-07-01 2019-09-30 0001070985 us-gaap:EmployeeStockOptionMember 2019-01-01 2019-09-30 cxw:LegalMatter 0001070985 cxw:LansingCorrectionalFacilityMember 2020-01-01 2020-03-31 0001070985 cxw:LansingCor</w:t>
      </w:r>
      <w:r>
        <w:rPr>
          <w:rFonts w:eastAsia="Times New Roman"/>
          <w:vanish/>
        </w:rPr>
        <w:t xml:space="preserve">rectionalFacilityMember 2020-09-30 0001070985 us-gaap:OperatingSegmentsMember cxw:SafetySegmentMember 2020-07-01 2020-09-30 0001070985 us-gaap:OperatingSegmentsMember cxw:SafetySegmentMember 2019-07-01 2019-09-30 0001070985 us-gaap:OperatingSegmentsMember </w:t>
      </w:r>
      <w:r>
        <w:rPr>
          <w:rFonts w:eastAsia="Times New Roman"/>
          <w:vanish/>
        </w:rPr>
        <w:t>cxw:SafetySegmentMember 2020-01-01 2020-09-30 0001070985 us-gaap:OperatingSegmentsMember cxw:SafetySegmentMember 2019-01-01 2019-09-30 0001070985 us-gaap:OperatingSegmentsMember cxw:CommunitySegmentMember 2020-07-01 2020-09-30 0001070985 us-gaap:OperatingS</w:t>
      </w:r>
      <w:r>
        <w:rPr>
          <w:rFonts w:eastAsia="Times New Roman"/>
          <w:vanish/>
        </w:rPr>
        <w:t>egmentsMember cxw:CommunitySegmentMember 2019-07-01 2019-09-30 0001070985 us-gaap:OperatingSegmentsMember cxw:CommunitySegmentMember 2020-01-01 2020-09-30 0001070985 us-gaap:OperatingSegmentsMember cxw:CommunitySegmentMember 2019-01-01 2019-09-30 000107098</w:t>
      </w:r>
      <w:r>
        <w:rPr>
          <w:rFonts w:eastAsia="Times New Roman"/>
          <w:vanish/>
        </w:rPr>
        <w:t>5 us-gaap:OperatingSegmentsMember cxw:PropertiesSegmentMember 2020-07-01 2020-09-30 0001070985 us-gaap:OperatingSegmentsMember cxw:PropertiesSegmentMember 2019-07-01 2019-09-30 0001070985 us-gaap:OperatingSegmentsMember cxw:PropertiesSegmentMember 2020-01-</w:t>
      </w:r>
      <w:r>
        <w:rPr>
          <w:rFonts w:eastAsia="Times New Roman"/>
          <w:vanish/>
        </w:rPr>
        <w:t>01 2020-09-30 0001070985 us-gaap:OperatingSegmentsMember cxw:PropertiesSegmentMember 2019-01-01 2019-09-30 0001070985 us-gaap:OperatingSegmentsMember 2020-07-01 2020-09-30 0001070985 us-gaap:OperatingSegmentsMember 2019-07-01 2019-09-30 0001070985 us-gaap:</w:t>
      </w:r>
      <w:r>
        <w:rPr>
          <w:rFonts w:eastAsia="Times New Roman"/>
          <w:vanish/>
        </w:rPr>
        <w:t>OperatingSegmentsMember 2020-01-01 2020-09-30 0001070985 us-gaap:OperatingSegmentsMember 2019-01-01 2019-09-30 0001070985 us-gaap:MaterialReconcilingItemsMember us-gaap:OtherIncomeMember 2020-07-01 2020-09-30 0001070985 us-gaap:MaterialReconcilingItemsMemb</w:t>
      </w:r>
      <w:r>
        <w:rPr>
          <w:rFonts w:eastAsia="Times New Roman"/>
          <w:vanish/>
        </w:rPr>
        <w:t>er us-gaap:OtherIncomeMember 2019-07-01 2019-09-30 0001070985 us-gaap:MaterialReconcilingItemsMember us-gaap:OtherIncomeMember 2020-01-01 2020-09-30 0001070985 us-gaap:MaterialReconcilingItemsMember us-gaap:OtherIncomeMember 2019-01-01 2019-09-30 000107098</w:t>
      </w:r>
      <w:r>
        <w:rPr>
          <w:rFonts w:eastAsia="Times New Roman"/>
          <w:vanish/>
        </w:rPr>
        <w:t>5 us-gaap:MaterialReconcilingItemsMember 2020-07-01 2020-09-30 0001070985 us-gaap:MaterialReconcilingItemsMember 2019-07-01 2019-09-30 0001070985 us-gaap:MaterialReconcilingItemsMember 2020-01-01 2020-09-30 0001070985 us-gaap:MaterialReconcilingItemsMember</w:t>
      </w:r>
      <w:r>
        <w:rPr>
          <w:rFonts w:eastAsia="Times New Roman"/>
          <w:vanish/>
        </w:rPr>
        <w:t xml:space="preserve"> 2019-01-01 2019-09-30 0001070985 cxw:SafetySegmentMember 2020-07-01 2020-09-30 0001070985 cxw:SafetySegmentMember 2019-07-01 2019-09-30 0001070985 cxw:SafetySegmentMember 2020-01-01 2020-09-30 0001070985 cxw:SafetySegmentMember 2019-01-01 2019-09-30 00010</w:t>
      </w:r>
      <w:r>
        <w:rPr>
          <w:rFonts w:eastAsia="Times New Roman"/>
          <w:vanish/>
        </w:rPr>
        <w:t>70985 cxw:CommunitySegmentMember 2020-07-01 2020-09-30 0001070985 cxw:CommunitySegmentMember 2019-07-01 2019-09-30 0001070985 cxw:CommunitySegmentMember 2020-01-01 2020-09-30 0001070985 cxw:CommunitySegmentMember 2019-01-01 2019-09-30 0001070985 cxw:Proper</w:t>
      </w:r>
      <w:r>
        <w:rPr>
          <w:rFonts w:eastAsia="Times New Roman"/>
          <w:vanish/>
        </w:rPr>
        <w:t>tiesSegmentMember 2020-07-01 2020-09-30 0001070985 cxw:PropertiesSegmentMember 2019-07-01 2019-09-30 0001070985 cxw:PropertiesSegmentMember 2020-01-01 2020-09-30 0001070985 cxw:PropertiesSegmentMember 2019-01-01 2019-09-30 0001070985 us-gaap:CorporateAndOt</w:t>
      </w:r>
      <w:r>
        <w:rPr>
          <w:rFonts w:eastAsia="Times New Roman"/>
          <w:vanish/>
        </w:rPr>
        <w:t>herMember 2020-07-01 2020-09-30 0001070985 us-gaap:CorporateAndOtherMember 2019-07-01 2019-09-30 0001070985 us-gaap:CorporateAndOtherMember 2020-01-01 2020-09-30 0001070985 us-gaap:CorporateAndOtherMember 2019-01-01 2019-09-30 0001070985 cxw:PropertiesSegm</w:t>
      </w:r>
      <w:r>
        <w:rPr>
          <w:rFonts w:eastAsia="Times New Roman"/>
          <w:vanish/>
        </w:rPr>
        <w:t xml:space="preserve">entMember 2019-12-31 0001070985 us-gaap:CorporateAndOtherMember 2020-09-30 0001070985 us-gaap:CorporateAndOtherMember 2019-12-31 </w:t>
      </w:r>
    </w:p>
    <w:p w:rsidR="00000000" w:rsidRDefault="005F13FD">
      <w:pPr>
        <w:pStyle w:val="a3"/>
        <w:pBdr>
          <w:bottom w:val="double" w:sz="6" w:space="1" w:color="auto"/>
        </w:pBdr>
        <w:spacing w:before="0" w:beforeAutospacing="0" w:after="0" w:afterAutospacing="0"/>
        <w:rPr>
          <w:b/>
          <w:bCs/>
          <w:sz w:val="8"/>
          <w:szCs w:val="8"/>
        </w:rPr>
      </w:pPr>
      <w:r>
        <w:rPr>
          <w:b/>
          <w:bCs/>
          <w:sz w:val="8"/>
          <w:szCs w:val="8"/>
        </w:rPr>
        <w:t> </w:t>
      </w:r>
    </w:p>
    <w:p w:rsidR="00000000" w:rsidRDefault="005F13FD">
      <w:pPr>
        <w:pStyle w:val="a3"/>
        <w:spacing w:before="80" w:beforeAutospacing="0" w:after="0" w:afterAutospacing="0"/>
        <w:jc w:val="center"/>
        <w:rPr>
          <w:b/>
          <w:bCs/>
          <w:sz w:val="36"/>
          <w:szCs w:val="36"/>
        </w:rPr>
      </w:pPr>
      <w:r>
        <w:rPr>
          <w:b/>
          <w:bCs/>
          <w:sz w:val="36"/>
          <w:szCs w:val="36"/>
        </w:rPr>
        <w:t>UNITED STATES</w:t>
      </w:r>
    </w:p>
    <w:p w:rsidR="00000000" w:rsidRDefault="005F13FD">
      <w:pPr>
        <w:pStyle w:val="a3"/>
        <w:spacing w:before="0" w:beforeAutospacing="0" w:after="0" w:afterAutospacing="0"/>
        <w:jc w:val="center"/>
        <w:rPr>
          <w:b/>
          <w:bCs/>
          <w:sz w:val="36"/>
          <w:szCs w:val="36"/>
        </w:rPr>
      </w:pPr>
      <w:r>
        <w:rPr>
          <w:b/>
          <w:bCs/>
          <w:sz w:val="36"/>
          <w:szCs w:val="36"/>
        </w:rPr>
        <w:t>SECURITIES AND EXCHANGE COMMISSION</w:t>
      </w:r>
    </w:p>
    <w:p w:rsidR="00000000" w:rsidRDefault="005F13FD">
      <w:pPr>
        <w:pStyle w:val="a3"/>
        <w:spacing w:before="0" w:beforeAutospacing="0" w:after="0" w:afterAutospacing="0"/>
        <w:jc w:val="center"/>
        <w:rPr>
          <w:b/>
          <w:bCs/>
        </w:rPr>
      </w:pPr>
      <w:r>
        <w:rPr>
          <w:b/>
          <w:bCs/>
        </w:rPr>
        <w:t>WASHINGTON, D.C.  20549</w:t>
      </w:r>
    </w:p>
    <w:p w:rsidR="00000000" w:rsidRDefault="005F13FD">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5F13FD">
      <w:pPr>
        <w:pStyle w:val="a3"/>
        <w:spacing w:before="0" w:beforeAutospacing="0" w:after="0" w:afterAutospacing="0"/>
        <w:jc w:val="center"/>
        <w:rPr>
          <w:b/>
          <w:bCs/>
          <w:sz w:val="36"/>
          <w:szCs w:val="36"/>
        </w:rPr>
      </w:pPr>
      <w:r>
        <w:rPr>
          <w:b/>
          <w:bCs/>
          <w:sz w:val="36"/>
          <w:szCs w:val="36"/>
        </w:rPr>
        <w:t>FORM 10-Q</w:t>
      </w:r>
    </w:p>
    <w:p w:rsidR="00000000" w:rsidRDefault="005F13FD">
      <w:pPr>
        <w:pStyle w:val="a3"/>
        <w:pBdr>
          <w:bottom w:val="single" w:sz="6" w:space="1" w:color="auto"/>
        </w:pBdr>
        <w:spacing w:before="0" w:beforeAutospacing="0" w:afterAutospacing="0"/>
        <w:ind w:left="4762" w:right="4762"/>
        <w:jc w:val="center"/>
        <w:rPr>
          <w:b/>
          <w:bCs/>
          <w:sz w:val="10"/>
          <w:szCs w:val="10"/>
        </w:rPr>
      </w:pPr>
      <w:r>
        <w:rPr>
          <w:b/>
          <w:bCs/>
          <w:sz w:val="10"/>
          <w:szCs w:val="1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32580367"/>
        </w:trPr>
        <w:tc>
          <w:tcPr>
            <w:tcW w:w="227" w:type="pct"/>
            <w:noWrap/>
            <w:hideMark/>
          </w:tcPr>
          <w:p w:rsidR="00000000" w:rsidRDefault="005F13FD">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5F13FD">
            <w:pPr>
              <w:pStyle w:val="a3"/>
              <w:spacing w:before="0" w:beforeAutospacing="0" w:after="0" w:afterAutospacing="0"/>
              <w:jc w:val="both"/>
              <w:rPr>
                <w:rFonts w:hint="eastAsia"/>
                <w:b/>
                <w:bCs/>
              </w:rPr>
            </w:pPr>
            <w:r>
              <w:rPr>
                <w:b/>
                <w:bCs/>
              </w:rPr>
              <w:t>QUARTERLY REPORT PURSUANT TO SECTIO</w:t>
            </w:r>
            <w:r>
              <w:rPr>
                <w:b/>
                <w:bCs/>
              </w:rPr>
              <w:t xml:space="preserve">N 13 OR 15(d) OF THE </w:t>
            </w:r>
            <w:r>
              <w:rPr>
                <w:b/>
                <w:bCs/>
                <w:sz w:val="22"/>
                <w:szCs w:val="22"/>
              </w:rPr>
              <w:t>SECURITIES EXCHANGE ACT OF 1934</w:t>
            </w:r>
          </w:p>
        </w:tc>
      </w:tr>
    </w:tbl>
    <w:p w:rsidR="00000000" w:rsidRDefault="005F13FD">
      <w:pPr>
        <w:pStyle w:val="a3"/>
        <w:spacing w:before="40" w:beforeAutospacing="0" w:after="0" w:afterAutospacing="0"/>
        <w:jc w:val="center"/>
        <w:rPr>
          <w:b/>
          <w:bCs/>
          <w:sz w:val="20"/>
          <w:szCs w:val="20"/>
        </w:rPr>
      </w:pPr>
      <w:r>
        <w:rPr>
          <w:b/>
          <w:bCs/>
          <w:sz w:val="20"/>
          <w:szCs w:val="20"/>
        </w:rPr>
        <w:t>FOR THE QUARTERLY PERIOD ENDED:  SEPTEMBER 30, 2020</w:t>
      </w:r>
    </w:p>
    <w:p w:rsidR="00000000" w:rsidRDefault="005F13FD">
      <w:pPr>
        <w:pStyle w:val="a3"/>
        <w:spacing w:before="2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27321142"/>
        </w:trPr>
        <w:tc>
          <w:tcPr>
            <w:tcW w:w="227" w:type="pct"/>
            <w:noWrap/>
            <w:hideMark/>
          </w:tcPr>
          <w:p w:rsidR="00000000" w:rsidRDefault="005F13FD">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5F13FD">
            <w:pPr>
              <w:pStyle w:val="a3"/>
              <w:spacing w:before="0" w:beforeAutospacing="0" w:after="0" w:afterAutospacing="0"/>
              <w:jc w:val="both"/>
              <w:rPr>
                <w:rFonts w:hint="eastAsia"/>
                <w:b/>
                <w:bCs/>
              </w:rPr>
            </w:pPr>
            <w:r>
              <w:rPr>
                <w:b/>
                <w:bCs/>
              </w:rPr>
              <w:t xml:space="preserve">TRANSITION REPORT PURSUANT TO SECTION 13 OR 15(d) OF THE </w:t>
            </w:r>
            <w:r>
              <w:rPr>
                <w:b/>
                <w:bCs/>
                <w:sz w:val="22"/>
                <w:szCs w:val="22"/>
              </w:rPr>
              <w:t>SECURITIES EXCHANGE ACT OF 1934</w:t>
            </w:r>
          </w:p>
        </w:tc>
      </w:tr>
    </w:tbl>
    <w:p w:rsidR="00000000" w:rsidRDefault="005F13FD">
      <w:pPr>
        <w:pStyle w:val="a3"/>
        <w:spacing w:before="0" w:beforeAutospacing="0" w:after="0" w:afterAutospacing="0"/>
        <w:jc w:val="center"/>
        <w:rPr>
          <w:b/>
          <w:bCs/>
          <w:sz w:val="20"/>
          <w:szCs w:val="20"/>
        </w:rPr>
      </w:pPr>
      <w:r>
        <w:rPr>
          <w:b/>
          <w:bCs/>
          <w:sz w:val="20"/>
          <w:szCs w:val="20"/>
        </w:rPr>
        <w:t>FOR THE TRANSITION PERIOD FROM</w:t>
      </w:r>
      <w:r>
        <w:rPr>
          <w:rFonts w:ascii="Calibri" w:hAnsi="Calibri" w:cs="Calibri"/>
          <w:b/>
          <w:bCs/>
        </w:rPr>
        <w:t xml:space="preserve"> </w:t>
      </w:r>
      <w:r>
        <w:rPr>
          <w:rFonts w:ascii="Calibri" w:hAnsi="Calibri" w:cs="Calibri"/>
          <w:b/>
          <w:bCs/>
          <w:u w:val="single"/>
        </w:rPr>
        <w:t>          </w:t>
      </w:r>
      <w:r>
        <w:rPr>
          <w:rFonts w:ascii="Calibri" w:hAnsi="Calibri" w:cs="Calibri"/>
          <w:b/>
          <w:bCs/>
        </w:rPr>
        <w:t xml:space="preserve"> </w:t>
      </w:r>
      <w:r>
        <w:rPr>
          <w:b/>
          <w:bCs/>
          <w:sz w:val="20"/>
          <w:szCs w:val="20"/>
        </w:rPr>
        <w:t>TO</w:t>
      </w:r>
      <w:r>
        <w:rPr>
          <w:rFonts w:ascii="Calibri" w:hAnsi="Calibri" w:cs="Calibri"/>
          <w:b/>
          <w:bCs/>
        </w:rPr>
        <w:t xml:space="preserve"> </w:t>
      </w:r>
      <w:r>
        <w:rPr>
          <w:rFonts w:ascii="Calibri" w:hAnsi="Calibri" w:cs="Calibri"/>
          <w:b/>
          <w:bCs/>
          <w:u w:val="single"/>
        </w:rPr>
        <w:t>          </w:t>
      </w:r>
    </w:p>
    <w:p w:rsidR="00000000" w:rsidRDefault="005F13FD">
      <w:pPr>
        <w:pStyle w:val="a3"/>
        <w:spacing w:before="0" w:beforeAutospacing="0" w:after="0" w:afterAutospacing="0"/>
        <w:jc w:val="center"/>
        <w:rPr>
          <w:b/>
          <w:bCs/>
          <w:sz w:val="20"/>
          <w:szCs w:val="20"/>
        </w:rPr>
      </w:pPr>
      <w:r>
        <w:rPr>
          <w:b/>
          <w:bCs/>
          <w:sz w:val="20"/>
          <w:szCs w:val="20"/>
        </w:rPr>
        <w:t>COMMISSION FILE NUMBER: 001-16109</w:t>
      </w:r>
    </w:p>
    <w:p w:rsidR="00000000" w:rsidRDefault="005F13FD">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5F13FD">
      <w:pPr>
        <w:pStyle w:val="a3"/>
        <w:spacing w:before="0" w:beforeAutospacing="0" w:after="0" w:afterAutospacing="0"/>
        <w:jc w:val="center"/>
        <w:rPr>
          <w:b/>
          <w:bCs/>
          <w:sz w:val="48"/>
          <w:szCs w:val="48"/>
        </w:rPr>
      </w:pPr>
      <w:r>
        <w:rPr>
          <w:b/>
          <w:bCs/>
          <w:sz w:val="48"/>
          <w:szCs w:val="48"/>
        </w:rPr>
        <w:t>CORECIVIC, INC.</w:t>
      </w:r>
    </w:p>
    <w:p w:rsidR="00000000" w:rsidRDefault="005F13FD">
      <w:pPr>
        <w:pStyle w:val="a3"/>
        <w:spacing w:before="0" w:beforeAutospacing="0" w:after="0" w:afterAutospacing="0"/>
        <w:jc w:val="center"/>
        <w:rPr>
          <w:b/>
          <w:bCs/>
          <w:sz w:val="20"/>
          <w:szCs w:val="20"/>
        </w:rPr>
      </w:pPr>
      <w:r>
        <w:rPr>
          <w:b/>
          <w:bCs/>
          <w:sz w:val="20"/>
          <w:szCs w:val="20"/>
        </w:rPr>
        <w:t>(Exact name of registrant as specified in its charter)</w:t>
      </w:r>
    </w:p>
    <w:p w:rsidR="00000000" w:rsidRDefault="005F13FD">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5F13FD">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285090105"/>
        </w:trPr>
        <w:tc>
          <w:tcPr>
            <w:tcW w:w="2500" w:type="pct"/>
            <w:shd w:val="clear" w:color="auto" w:fill="FFFFFF"/>
            <w:hideMark/>
          </w:tcPr>
          <w:p w:rsidR="00000000" w:rsidRDefault="005F13FD">
            <w:pPr>
              <w:pStyle w:val="a3"/>
              <w:spacing w:before="0" w:beforeAutospacing="0" w:after="0" w:afterAutospacing="0"/>
              <w:jc w:val="center"/>
              <w:rPr>
                <w:b/>
                <w:bCs/>
                <w:sz w:val="20"/>
                <w:szCs w:val="20"/>
              </w:rPr>
            </w:pPr>
            <w:r>
              <w:rPr>
                <w:b/>
                <w:bCs/>
                <w:sz w:val="20"/>
                <w:szCs w:val="20"/>
              </w:rPr>
              <w:t>MARYLAND</w:t>
            </w:r>
          </w:p>
        </w:tc>
        <w:tc>
          <w:tcPr>
            <w:tcW w:w="2500" w:type="pct"/>
            <w:shd w:val="clear" w:color="auto" w:fill="FFFFFF"/>
            <w:hideMark/>
          </w:tcPr>
          <w:p w:rsidR="00000000" w:rsidRDefault="005F13FD">
            <w:pPr>
              <w:pStyle w:val="a3"/>
              <w:spacing w:before="0" w:beforeAutospacing="0" w:after="0" w:afterAutospacing="0"/>
              <w:jc w:val="center"/>
              <w:rPr>
                <w:b/>
                <w:bCs/>
                <w:sz w:val="20"/>
                <w:szCs w:val="20"/>
              </w:rPr>
            </w:pPr>
            <w:r>
              <w:rPr>
                <w:b/>
                <w:bCs/>
                <w:sz w:val="20"/>
                <w:szCs w:val="20"/>
              </w:rPr>
              <w:t>62-1763875</w:t>
            </w:r>
          </w:p>
        </w:tc>
      </w:tr>
      <w:tr w:rsidR="00000000">
        <w:trPr>
          <w:divId w:val="285090105"/>
        </w:trPr>
        <w:tc>
          <w:tcPr>
            <w:tcW w:w="2500" w:type="pct"/>
            <w:shd w:val="clear" w:color="auto" w:fill="FFFFFF"/>
            <w:hideMark/>
          </w:tcPr>
          <w:p w:rsidR="00000000" w:rsidRDefault="005F13FD">
            <w:pPr>
              <w:pStyle w:val="a3"/>
              <w:spacing w:before="0" w:beforeAutospacing="0" w:after="0" w:afterAutospacing="0"/>
              <w:jc w:val="center"/>
              <w:rPr>
                <w:b/>
                <w:bCs/>
                <w:sz w:val="16"/>
                <w:szCs w:val="16"/>
              </w:rPr>
            </w:pPr>
            <w:r>
              <w:rPr>
                <w:b/>
                <w:bCs/>
                <w:sz w:val="16"/>
                <w:szCs w:val="16"/>
              </w:rPr>
              <w:t>(State or other jurisdiction of</w:t>
            </w:r>
            <w:r>
              <w:rPr>
                <w:rFonts w:ascii="Calibri" w:hAnsi="Calibri" w:cs="Calibri"/>
                <w:b/>
                <w:bCs/>
                <w:color w:val="000000"/>
                <w:sz w:val="16"/>
                <w:szCs w:val="16"/>
              </w:rPr>
              <w:t xml:space="preserve"> </w:t>
            </w:r>
          </w:p>
          <w:p w:rsidR="00000000" w:rsidRDefault="005F13FD">
            <w:pPr>
              <w:pStyle w:val="a3"/>
              <w:spacing w:before="0" w:beforeAutospacing="0" w:after="0" w:afterAutospacing="0"/>
              <w:jc w:val="center"/>
              <w:rPr>
                <w:b/>
                <w:bCs/>
                <w:sz w:val="16"/>
                <w:szCs w:val="16"/>
              </w:rPr>
            </w:pPr>
            <w:r>
              <w:rPr>
                <w:b/>
                <w:bCs/>
                <w:sz w:val="16"/>
                <w:szCs w:val="16"/>
              </w:rPr>
              <w:t>incorporation or organization)</w:t>
            </w:r>
          </w:p>
        </w:tc>
        <w:tc>
          <w:tcPr>
            <w:tcW w:w="2500" w:type="pct"/>
            <w:shd w:val="clear" w:color="auto" w:fill="FFFFFF"/>
            <w:hideMark/>
          </w:tcPr>
          <w:p w:rsidR="00000000" w:rsidRDefault="005F13FD">
            <w:pPr>
              <w:pStyle w:val="a3"/>
              <w:spacing w:before="0" w:beforeAutospacing="0" w:after="0" w:afterAutospacing="0"/>
              <w:jc w:val="center"/>
              <w:rPr>
                <w:b/>
                <w:bCs/>
                <w:sz w:val="16"/>
                <w:szCs w:val="16"/>
              </w:rPr>
            </w:pPr>
            <w:r>
              <w:rPr>
                <w:b/>
                <w:bCs/>
                <w:sz w:val="16"/>
                <w:szCs w:val="16"/>
              </w:rPr>
              <w:t xml:space="preserve">(I.R.S. Employer </w:t>
            </w:r>
          </w:p>
          <w:p w:rsidR="00000000" w:rsidRDefault="005F13FD">
            <w:pPr>
              <w:pStyle w:val="a3"/>
              <w:spacing w:before="0" w:beforeAutospacing="0" w:after="0" w:afterAutospacing="0"/>
              <w:jc w:val="center"/>
              <w:rPr>
                <w:b/>
                <w:bCs/>
                <w:sz w:val="16"/>
                <w:szCs w:val="16"/>
              </w:rPr>
            </w:pPr>
            <w:r>
              <w:rPr>
                <w:b/>
                <w:bCs/>
                <w:sz w:val="16"/>
                <w:szCs w:val="16"/>
              </w:rPr>
              <w:t>Identification Number)</w:t>
            </w:r>
          </w:p>
        </w:tc>
      </w:tr>
      <w:tr w:rsidR="00000000">
        <w:trPr>
          <w:divId w:val="285090105"/>
        </w:trPr>
        <w:tc>
          <w:tcPr>
            <w:tcW w:w="2500" w:type="pct"/>
            <w:shd w:val="clear" w:color="auto" w:fill="FFFFFF"/>
            <w:hideMark/>
          </w:tcPr>
          <w:p w:rsidR="00000000" w:rsidRDefault="005F13FD">
            <w:pPr>
              <w:pStyle w:val="a3"/>
              <w:spacing w:before="0" w:beforeAutospacing="0" w:after="0" w:afterAutospacing="0"/>
              <w:jc w:val="center"/>
              <w:rPr>
                <w:b/>
                <w:bCs/>
                <w:sz w:val="16"/>
                <w:szCs w:val="16"/>
              </w:rPr>
            </w:pPr>
            <w:r>
              <w:rPr>
                <w:b/>
                <w:bCs/>
                <w:sz w:val="16"/>
                <w:szCs w:val="16"/>
              </w:rPr>
              <w:t> </w:t>
            </w:r>
          </w:p>
        </w:tc>
        <w:tc>
          <w:tcPr>
            <w:tcW w:w="2500" w:type="pct"/>
            <w:shd w:val="clear" w:color="auto" w:fill="FFFFFF"/>
            <w:hideMark/>
          </w:tcPr>
          <w:p w:rsidR="00000000" w:rsidRDefault="005F13FD">
            <w:pPr>
              <w:pStyle w:val="a3"/>
              <w:spacing w:before="0" w:beforeAutospacing="0" w:after="0" w:afterAutospacing="0"/>
              <w:jc w:val="center"/>
              <w:rPr>
                <w:b/>
                <w:bCs/>
                <w:sz w:val="16"/>
                <w:szCs w:val="16"/>
              </w:rPr>
            </w:pPr>
            <w:r>
              <w:rPr>
                <w:b/>
                <w:bCs/>
                <w:sz w:val="16"/>
                <w:szCs w:val="16"/>
              </w:rPr>
              <w:t> </w:t>
            </w:r>
          </w:p>
        </w:tc>
      </w:tr>
      <w:tr w:rsidR="00000000">
        <w:trPr>
          <w:divId w:val="285090105"/>
        </w:trPr>
        <w:tc>
          <w:tcPr>
            <w:tcW w:w="2500" w:type="pct"/>
            <w:shd w:val="clear" w:color="auto" w:fill="FFFFFF"/>
            <w:hideMark/>
          </w:tcPr>
          <w:p w:rsidR="00000000" w:rsidRDefault="005F13FD">
            <w:pPr>
              <w:pStyle w:val="a3"/>
              <w:spacing w:before="0" w:beforeAutospacing="0" w:after="0" w:afterAutospacing="0"/>
              <w:jc w:val="center"/>
              <w:rPr>
                <w:b/>
                <w:bCs/>
                <w:sz w:val="20"/>
                <w:szCs w:val="20"/>
              </w:rPr>
            </w:pPr>
            <w:r>
              <w:rPr>
                <w:b/>
                <w:bCs/>
                <w:sz w:val="20"/>
                <w:szCs w:val="20"/>
              </w:rPr>
              <w:t>5501 VIRGINIA WAY</w:t>
            </w:r>
          </w:p>
          <w:p w:rsidR="00000000" w:rsidRDefault="005F13FD">
            <w:pPr>
              <w:pStyle w:val="a3"/>
              <w:spacing w:before="0" w:beforeAutospacing="0" w:after="0" w:afterAutospacing="0"/>
              <w:jc w:val="center"/>
              <w:rPr>
                <w:b/>
                <w:bCs/>
                <w:sz w:val="20"/>
                <w:szCs w:val="20"/>
              </w:rPr>
            </w:pPr>
            <w:r>
              <w:rPr>
                <w:b/>
                <w:bCs/>
                <w:sz w:val="20"/>
                <w:szCs w:val="20"/>
              </w:rPr>
              <w:t>BRENTWOOD, TENNESSEE  </w:t>
            </w:r>
          </w:p>
        </w:tc>
        <w:tc>
          <w:tcPr>
            <w:tcW w:w="2500" w:type="pct"/>
            <w:shd w:val="clear" w:color="auto" w:fill="FFFFFF"/>
            <w:hideMark/>
          </w:tcPr>
          <w:p w:rsidR="00000000" w:rsidRDefault="005F13FD">
            <w:pPr>
              <w:pStyle w:val="a3"/>
              <w:spacing w:before="0" w:beforeAutospacing="0" w:after="0" w:afterAutospacing="0"/>
              <w:jc w:val="center"/>
              <w:rPr>
                <w:b/>
                <w:bCs/>
                <w:sz w:val="20"/>
                <w:szCs w:val="20"/>
              </w:rPr>
            </w:pPr>
            <w:r>
              <w:rPr>
                <w:b/>
                <w:bCs/>
                <w:sz w:val="20"/>
                <w:szCs w:val="20"/>
              </w:rPr>
              <w:t xml:space="preserve">37027 </w:t>
            </w:r>
          </w:p>
          <w:p w:rsidR="00000000" w:rsidRDefault="005F13FD">
            <w:pPr>
              <w:pStyle w:val="a3"/>
              <w:spacing w:before="0" w:beforeAutospacing="0" w:after="0" w:afterAutospacing="0"/>
              <w:jc w:val="center"/>
              <w:rPr>
                <w:b/>
                <w:bCs/>
                <w:sz w:val="16"/>
                <w:szCs w:val="16"/>
              </w:rPr>
            </w:pPr>
            <w:r>
              <w:rPr>
                <w:b/>
                <w:bCs/>
                <w:sz w:val="16"/>
                <w:szCs w:val="16"/>
              </w:rPr>
              <w:t>(Zip Code)</w:t>
            </w:r>
          </w:p>
        </w:tc>
      </w:tr>
      <w:tr w:rsidR="00000000">
        <w:trPr>
          <w:divId w:val="285090105"/>
        </w:trPr>
        <w:tc>
          <w:tcPr>
            <w:tcW w:w="2500" w:type="pct"/>
            <w:shd w:val="clear" w:color="auto" w:fill="FFFFFF"/>
            <w:hideMark/>
          </w:tcPr>
          <w:p w:rsidR="00000000" w:rsidRDefault="005F13FD">
            <w:pPr>
              <w:pStyle w:val="a3"/>
              <w:spacing w:before="0" w:beforeAutospacing="0" w:after="0" w:afterAutospacing="0"/>
              <w:jc w:val="center"/>
              <w:rPr>
                <w:b/>
                <w:bCs/>
                <w:sz w:val="16"/>
                <w:szCs w:val="16"/>
              </w:rPr>
            </w:pPr>
            <w:r>
              <w:rPr>
                <w:b/>
                <w:bCs/>
                <w:sz w:val="16"/>
                <w:szCs w:val="16"/>
              </w:rPr>
              <w:t>(Address of principal executive offices)</w:t>
            </w:r>
          </w:p>
        </w:tc>
        <w:tc>
          <w:tcPr>
            <w:tcW w:w="2500" w:type="pct"/>
            <w:shd w:val="clear" w:color="auto" w:fill="FFFFFF"/>
            <w:hideMark/>
          </w:tcPr>
          <w:p w:rsidR="00000000" w:rsidRDefault="005F13FD">
            <w:pPr>
              <w:pStyle w:val="a3"/>
              <w:spacing w:before="0" w:beforeAutospacing="0" w:after="0" w:afterAutospacing="0"/>
              <w:jc w:val="center"/>
              <w:rPr>
                <w:b/>
                <w:bCs/>
                <w:sz w:val="20"/>
                <w:szCs w:val="20"/>
              </w:rPr>
            </w:pPr>
            <w:r>
              <w:rPr>
                <w:b/>
                <w:bCs/>
                <w:sz w:val="20"/>
                <w:szCs w:val="20"/>
              </w:rPr>
              <w:t> </w:t>
            </w:r>
          </w:p>
        </w:tc>
      </w:tr>
    </w:tbl>
    <w:p w:rsidR="00000000" w:rsidRDefault="005F13FD">
      <w:pPr>
        <w:pStyle w:val="a3"/>
        <w:spacing w:before="0" w:beforeAutospacing="0" w:after="0" w:afterAutospacing="0"/>
        <w:rPr>
          <w:sz w:val="10"/>
          <w:szCs w:val="10"/>
        </w:rPr>
      </w:pPr>
      <w:r>
        <w:rPr>
          <w:sz w:val="10"/>
          <w:szCs w:val="10"/>
        </w:rPr>
        <w:t> </w:t>
      </w:r>
    </w:p>
    <w:p w:rsidR="00000000" w:rsidRDefault="005F13FD">
      <w:pPr>
        <w:pStyle w:val="a3"/>
        <w:spacing w:before="0" w:beforeAutospacing="0" w:after="0" w:afterAutospacing="0"/>
        <w:jc w:val="center"/>
        <w:rPr>
          <w:b/>
          <w:bCs/>
          <w:sz w:val="20"/>
          <w:szCs w:val="20"/>
        </w:rPr>
      </w:pPr>
      <w:r>
        <w:rPr>
          <w:b/>
          <w:bCs/>
          <w:sz w:val="20"/>
          <w:szCs w:val="20"/>
        </w:rPr>
        <w:t>(615) 263-3000</w:t>
      </w:r>
    </w:p>
    <w:p w:rsidR="00000000" w:rsidRDefault="005F13FD">
      <w:pPr>
        <w:pStyle w:val="a3"/>
        <w:spacing w:before="0" w:beforeAutospacing="0" w:after="0" w:afterAutospacing="0"/>
        <w:ind w:firstLine="816"/>
        <w:jc w:val="center"/>
        <w:rPr>
          <w:b/>
          <w:bCs/>
          <w:sz w:val="16"/>
          <w:szCs w:val="16"/>
        </w:rPr>
      </w:pPr>
      <w:r>
        <w:rPr>
          <w:b/>
          <w:bCs/>
          <w:sz w:val="16"/>
          <w:szCs w:val="16"/>
        </w:rPr>
        <w:t>(Registrant's telephone number, including area code)</w:t>
      </w:r>
      <w:r>
        <w:rPr>
          <w:b/>
          <w:bCs/>
          <w:sz w:val="20"/>
          <w:szCs w:val="20"/>
        </w:rPr>
        <w:t xml:space="preserve"> </w:t>
      </w:r>
    </w:p>
    <w:p w:rsidR="00000000" w:rsidRDefault="005F13FD">
      <w:pPr>
        <w:pStyle w:val="a3"/>
        <w:pBdr>
          <w:bottom w:val="single" w:sz="6" w:space="1" w:color="auto"/>
        </w:pBdr>
        <w:spacing w:before="0" w:beforeAutospacing="0" w:afterAutospacing="0"/>
        <w:ind w:left="4762" w:right="4762"/>
        <w:jc w:val="center"/>
        <w:rPr>
          <w:sz w:val="10"/>
          <w:szCs w:val="10"/>
        </w:rPr>
      </w:pPr>
      <w:r>
        <w:rPr>
          <w:sz w:val="10"/>
          <w:szCs w:val="10"/>
        </w:rPr>
        <w:t> </w:t>
      </w:r>
    </w:p>
    <w:p w:rsidR="00000000" w:rsidRDefault="005F13FD">
      <w:pPr>
        <w:pStyle w:val="a3"/>
        <w:spacing w:before="0" w:beforeAutospacing="0" w:afterAutospacing="0"/>
        <w:jc w:val="center"/>
        <w:rPr>
          <w:sz w:val="20"/>
          <w:szCs w:val="20"/>
        </w:rPr>
      </w:pPr>
      <w:r>
        <w:rPr>
          <w:sz w:val="20"/>
          <w:szCs w:val="20"/>
        </w:rPr>
        <w:t>Securities registered pursuant to Section 12(b) of the Act:</w:t>
      </w:r>
    </w:p>
    <w:tbl>
      <w:tblPr>
        <w:tblW w:w="4995" w:type="pct"/>
        <w:tblCellMar>
          <w:left w:w="0" w:type="dxa"/>
          <w:right w:w="0" w:type="dxa"/>
        </w:tblCellMar>
        <w:tblLook w:val="04A0" w:firstRow="1" w:lastRow="0" w:firstColumn="1" w:lastColumn="0" w:noHBand="0" w:noVBand="1"/>
      </w:tblPr>
      <w:tblGrid>
        <w:gridCol w:w="3111"/>
        <w:gridCol w:w="2075"/>
        <w:gridCol w:w="3112"/>
      </w:tblGrid>
      <w:tr w:rsidR="00000000">
        <w:trPr>
          <w:divId w:val="1271661575"/>
        </w:trPr>
        <w:tc>
          <w:tcPr>
            <w:tcW w:w="1873" w:type="pct"/>
            <w:vAlign w:val="center"/>
            <w:hideMark/>
          </w:tcPr>
          <w:p w:rsidR="00000000" w:rsidRDefault="005F13FD">
            <w:pPr>
              <w:rPr>
                <w:sz w:val="20"/>
                <w:szCs w:val="20"/>
              </w:rPr>
            </w:pPr>
          </w:p>
        </w:tc>
        <w:tc>
          <w:tcPr>
            <w:tcW w:w="1249" w:type="pct"/>
            <w:vAlign w:val="center"/>
            <w:hideMark/>
          </w:tcPr>
          <w:p w:rsidR="00000000" w:rsidRDefault="005F13FD">
            <w:pPr>
              <w:spacing w:before="100" w:beforeAutospacing="1" w:after="100" w:afterAutospacing="1"/>
              <w:rPr>
                <w:rFonts w:eastAsia="Times New Roman"/>
                <w:sz w:val="20"/>
                <w:szCs w:val="20"/>
              </w:rPr>
            </w:pPr>
          </w:p>
        </w:tc>
        <w:tc>
          <w:tcPr>
            <w:tcW w:w="1873" w:type="pct"/>
            <w:vAlign w:val="center"/>
            <w:hideMark/>
          </w:tcPr>
          <w:p w:rsidR="00000000" w:rsidRDefault="005F13FD">
            <w:pPr>
              <w:spacing w:before="100" w:beforeAutospacing="1" w:after="100" w:afterAutospacing="1"/>
              <w:rPr>
                <w:rFonts w:eastAsia="Times New Roman"/>
                <w:sz w:val="20"/>
                <w:szCs w:val="20"/>
              </w:rPr>
            </w:pPr>
          </w:p>
        </w:tc>
      </w:tr>
      <w:tr w:rsidR="00000000">
        <w:trPr>
          <w:divId w:val="1271661575"/>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5F13FD">
            <w:pPr>
              <w:pStyle w:val="a3"/>
              <w:spacing w:before="0" w:beforeAutospacing="0" w:after="0" w:afterAutospacing="0"/>
              <w:jc w:val="center"/>
              <w:rPr>
                <w:sz w:val="20"/>
                <w:szCs w:val="20"/>
              </w:rPr>
            </w:pPr>
            <w:r>
              <w:rPr>
                <w:sz w:val="20"/>
                <w:szCs w:val="20"/>
              </w:rPr>
              <w:t>Title of each class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5F13FD">
            <w:pPr>
              <w:pStyle w:val="a3"/>
              <w:spacing w:before="0" w:beforeAutospacing="0" w:after="0" w:afterAutospacing="0"/>
              <w:jc w:val="center"/>
              <w:rPr>
                <w:sz w:val="20"/>
                <w:szCs w:val="20"/>
              </w:rPr>
            </w:pPr>
            <w:r>
              <w:rPr>
                <w:sz w:val="20"/>
                <w:szCs w:val="20"/>
              </w:rPr>
              <w:t>Trading Symbol(s)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5F13FD">
            <w:pPr>
              <w:pStyle w:val="a3"/>
              <w:spacing w:before="0" w:beforeAutospacing="0" w:after="0" w:afterAutospacing="0"/>
              <w:jc w:val="center"/>
              <w:rPr>
                <w:sz w:val="20"/>
                <w:szCs w:val="20"/>
              </w:rPr>
            </w:pPr>
            <w:r>
              <w:rPr>
                <w:sz w:val="20"/>
                <w:szCs w:val="20"/>
              </w:rPr>
              <w:t>Name of each exchange on which registered</w:t>
            </w:r>
          </w:p>
        </w:tc>
      </w:tr>
      <w:tr w:rsidR="00000000">
        <w:trPr>
          <w:divId w:val="1271661575"/>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5F13FD">
            <w:pPr>
              <w:pStyle w:val="a3"/>
              <w:spacing w:before="0" w:beforeAutospacing="0" w:after="0" w:afterAutospacing="0"/>
              <w:jc w:val="center"/>
              <w:rPr>
                <w:sz w:val="20"/>
                <w:szCs w:val="20"/>
              </w:rPr>
            </w:pPr>
            <w:r>
              <w:rPr>
                <w:sz w:val="20"/>
                <w:szCs w:val="20"/>
              </w:rPr>
              <w:t>Common Stock</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5F13FD">
            <w:pPr>
              <w:pStyle w:val="a3"/>
              <w:spacing w:before="0" w:beforeAutospacing="0" w:after="0" w:afterAutospacing="0"/>
              <w:jc w:val="center"/>
              <w:rPr>
                <w:sz w:val="20"/>
                <w:szCs w:val="20"/>
              </w:rPr>
            </w:pPr>
            <w:r>
              <w:rPr>
                <w:sz w:val="20"/>
                <w:szCs w:val="20"/>
              </w:rPr>
              <w:t>CXW</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5F13FD">
            <w:pPr>
              <w:pStyle w:val="a3"/>
              <w:spacing w:before="0" w:beforeAutospacing="0" w:after="0" w:afterAutospacing="0"/>
              <w:jc w:val="center"/>
              <w:rPr>
                <w:sz w:val="20"/>
                <w:szCs w:val="20"/>
              </w:rPr>
            </w:pPr>
            <w:r>
              <w:rPr>
                <w:sz w:val="20"/>
                <w:szCs w:val="20"/>
              </w:rPr>
              <w:t>New York Stock Exchange</w:t>
            </w:r>
          </w:p>
        </w:tc>
      </w:tr>
    </w:tbl>
    <w:p w:rsidR="00000000" w:rsidRDefault="005F13FD">
      <w:pPr>
        <w:pStyle w:val="a3"/>
        <w:spacing w:before="80" w:beforeAutospacing="0" w:after="0" w:afterAutospacing="0"/>
        <w:jc w:val="both"/>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w:t>
      </w:r>
      <w:r>
        <w:rPr>
          <w:sz w:val="20"/>
          <w:szCs w:val="20"/>
        </w:rPr>
        <w:t>ant was required to file such reports), and (2) has been subject to such filing requirements for the past 90 days.</w:t>
      </w:r>
    </w:p>
    <w:p w:rsidR="00000000" w:rsidRDefault="005F13FD">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5F13FD">
      <w:pPr>
        <w:pStyle w:val="a3"/>
        <w:spacing w:before="20" w:beforeAutospacing="0" w:after="0" w:afterAutospacing="0"/>
        <w:jc w:val="both"/>
        <w:rPr>
          <w:sz w:val="20"/>
          <w:szCs w:val="20"/>
        </w:rPr>
      </w:pPr>
      <w:r>
        <w:rPr>
          <w:sz w:val="20"/>
          <w:szCs w:val="20"/>
        </w:rPr>
        <w:t>Indicate by check mark whether the registrant has submitted electronically every Interactive Data File required to be submitt</w:t>
      </w:r>
      <w:r>
        <w:rPr>
          <w:sz w:val="20"/>
          <w:szCs w:val="20"/>
        </w:rPr>
        <w:t>ed pursuant to Rule 405 of Regulation S-T during the preceding 12 months (or for such shorter period that the registrant was required to submit such files).</w:t>
      </w:r>
    </w:p>
    <w:p w:rsidR="00000000" w:rsidRDefault="005F13FD">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5F13FD">
      <w:pPr>
        <w:pStyle w:val="a3"/>
        <w:spacing w:before="20" w:beforeAutospacing="0" w:after="0" w:afterAutospacing="0"/>
        <w:jc w:val="both"/>
        <w:rPr>
          <w:sz w:val="20"/>
          <w:szCs w:val="20"/>
        </w:rPr>
      </w:pPr>
      <w:r>
        <w:rPr>
          <w:sz w:val="20"/>
          <w:szCs w:val="20"/>
        </w:rPr>
        <w:t>Indicate by check mark whether the registrant is a large accelerated filer, an acce</w:t>
      </w:r>
      <w:r>
        <w:rPr>
          <w:sz w:val="20"/>
          <w:szCs w:val="20"/>
        </w:rPr>
        <w:t xml:space="preserve">lerated filer, a non-accelerated filer, a smaller reporting company, or an emerging growth company. See definitions of "large accelerated filer", "accelerated filer", "smaller reporting company", and "emerging growth company" in Rule 12b-2 of the Exchange </w:t>
      </w:r>
      <w:r>
        <w:rPr>
          <w:sz w:val="20"/>
          <w:szCs w:val="20"/>
        </w:rPr>
        <w:t xml:space="preserve">Act. </w:t>
      </w:r>
    </w:p>
    <w:p w:rsidR="00000000" w:rsidRDefault="005F13FD">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3251"/>
        <w:gridCol w:w="347"/>
        <w:gridCol w:w="557"/>
        <w:gridCol w:w="3514"/>
        <w:gridCol w:w="637"/>
      </w:tblGrid>
      <w:tr w:rsidR="00000000">
        <w:trPr>
          <w:divId w:val="1446461591"/>
        </w:trPr>
        <w:tc>
          <w:tcPr>
            <w:tcW w:w="1957" w:type="pct"/>
            <w:shd w:val="clear" w:color="auto" w:fill="FFFFFF"/>
            <w:vAlign w:val="bottom"/>
            <w:hideMark/>
          </w:tcPr>
          <w:p w:rsidR="00000000" w:rsidRDefault="005F13FD">
            <w:pPr>
              <w:pStyle w:val="a3"/>
              <w:spacing w:before="0" w:beforeAutospacing="0" w:after="0" w:afterAutospacing="0"/>
              <w:rPr>
                <w:color w:val="000000"/>
                <w:sz w:val="20"/>
                <w:szCs w:val="20"/>
              </w:rPr>
            </w:pPr>
            <w:r>
              <w:rPr>
                <w:color w:val="000000"/>
                <w:sz w:val="20"/>
                <w:szCs w:val="20"/>
              </w:rPr>
              <w:t>Large accelerated filer</w:t>
            </w:r>
          </w:p>
        </w:tc>
        <w:tc>
          <w:tcPr>
            <w:tcW w:w="209" w:type="pct"/>
            <w:shd w:val="clear" w:color="auto" w:fill="FFFFFF"/>
            <w:vAlign w:val="bottom"/>
            <w:hideMark/>
          </w:tcPr>
          <w:p w:rsidR="00000000" w:rsidRDefault="005F13F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 w:type="dxa"/>
            <w:shd w:val="clear" w:color="auto" w:fill="FFFFFF"/>
            <w:vAlign w:val="bottom"/>
            <w:hideMark/>
          </w:tcPr>
          <w:p w:rsidR="00000000" w:rsidRDefault="005F13FD">
            <w:pPr>
              <w:pStyle w:val="a3"/>
              <w:spacing w:before="0" w:beforeAutospacing="0" w:after="0" w:afterAutospacing="0"/>
              <w:rPr>
                <w:color w:val="000000"/>
                <w:sz w:val="20"/>
                <w:szCs w:val="20"/>
              </w:rPr>
            </w:pPr>
            <w:r>
              <w:rPr>
                <w:color w:val="000000"/>
                <w:sz w:val="20"/>
                <w:szCs w:val="20"/>
              </w:rPr>
              <w:t>Accelerated filer</w:t>
            </w:r>
          </w:p>
        </w:tc>
        <w:tc>
          <w:tcPr>
            <w:tcW w:w="6" w:type="dxa"/>
            <w:shd w:val="clear" w:color="auto" w:fill="FFFFFF"/>
            <w:vAlign w:val="bottom"/>
            <w:hideMark/>
          </w:tcPr>
          <w:p w:rsidR="00000000" w:rsidRDefault="005F13F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446461591"/>
        </w:trPr>
        <w:tc>
          <w:tcPr>
            <w:tcW w:w="1957" w:type="pct"/>
            <w:shd w:val="clear" w:color="auto" w:fill="FFFFFF"/>
            <w:vAlign w:val="bottom"/>
            <w:hideMark/>
          </w:tcPr>
          <w:p w:rsidR="00000000" w:rsidRDefault="005F13FD">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5F13FD">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5F13FD">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5F13FD">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5F13FD">
            <w:pPr>
              <w:pStyle w:val="a3"/>
              <w:spacing w:before="0" w:beforeAutospacing="0" w:after="0" w:afterAutospacing="0"/>
              <w:jc w:val="center"/>
              <w:rPr>
                <w:sz w:val="4"/>
                <w:szCs w:val="4"/>
              </w:rPr>
            </w:pPr>
            <w:r>
              <w:rPr>
                <w:sz w:val="4"/>
                <w:szCs w:val="4"/>
              </w:rPr>
              <w:t> </w:t>
            </w:r>
          </w:p>
        </w:tc>
      </w:tr>
      <w:tr w:rsidR="00000000">
        <w:trPr>
          <w:divId w:val="1446461591"/>
        </w:trPr>
        <w:tc>
          <w:tcPr>
            <w:tcW w:w="1957" w:type="pct"/>
            <w:shd w:val="clear" w:color="auto" w:fill="FFFFFF"/>
            <w:vAlign w:val="bottom"/>
            <w:hideMark/>
          </w:tcPr>
          <w:p w:rsidR="00000000" w:rsidRDefault="005F13FD">
            <w:pPr>
              <w:pStyle w:val="a3"/>
              <w:spacing w:before="0" w:beforeAutospacing="0" w:after="0" w:afterAutospacing="0"/>
              <w:rPr>
                <w:color w:val="000000"/>
                <w:sz w:val="20"/>
                <w:szCs w:val="20"/>
              </w:rPr>
            </w:pPr>
            <w:r>
              <w:rPr>
                <w:color w:val="000000"/>
                <w:sz w:val="20"/>
                <w:szCs w:val="20"/>
              </w:rPr>
              <w:t>Non-accelerated filer</w:t>
            </w:r>
          </w:p>
        </w:tc>
        <w:tc>
          <w:tcPr>
            <w:tcW w:w="209" w:type="pct"/>
            <w:shd w:val="clear" w:color="auto" w:fill="FFFFFF"/>
            <w:vAlign w:val="bottom"/>
            <w:hideMark/>
          </w:tcPr>
          <w:p w:rsidR="00000000" w:rsidRDefault="005F13F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5F13FD">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5F13FD">
            <w:pPr>
              <w:pStyle w:val="a3"/>
              <w:spacing w:before="0" w:beforeAutospacing="0" w:after="0" w:afterAutospacing="0"/>
              <w:rPr>
                <w:color w:val="000000"/>
                <w:sz w:val="20"/>
                <w:szCs w:val="20"/>
              </w:rPr>
            </w:pPr>
            <w:r>
              <w:rPr>
                <w:color w:val="000000"/>
                <w:sz w:val="20"/>
                <w:szCs w:val="20"/>
              </w:rPr>
              <w:t>Smaller reporting company</w:t>
            </w:r>
          </w:p>
        </w:tc>
        <w:tc>
          <w:tcPr>
            <w:tcW w:w="6" w:type="dxa"/>
            <w:shd w:val="clear" w:color="auto" w:fill="FFFFFF"/>
            <w:vAlign w:val="bottom"/>
            <w:hideMark/>
          </w:tcPr>
          <w:p w:rsidR="00000000" w:rsidRDefault="005F13F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446461591"/>
        </w:trPr>
        <w:tc>
          <w:tcPr>
            <w:tcW w:w="1957" w:type="pct"/>
            <w:shd w:val="clear" w:color="auto" w:fill="FFFFFF"/>
            <w:vAlign w:val="bottom"/>
            <w:hideMark/>
          </w:tcPr>
          <w:p w:rsidR="00000000" w:rsidRDefault="005F13FD">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5F13FD">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5F13FD">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5F13FD">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5F13FD">
            <w:pPr>
              <w:pStyle w:val="a3"/>
              <w:spacing w:before="0" w:beforeAutospacing="0" w:after="0" w:afterAutospacing="0"/>
              <w:jc w:val="center"/>
              <w:rPr>
                <w:sz w:val="4"/>
                <w:szCs w:val="4"/>
              </w:rPr>
            </w:pPr>
            <w:r>
              <w:rPr>
                <w:sz w:val="4"/>
                <w:szCs w:val="4"/>
              </w:rPr>
              <w:t> </w:t>
            </w:r>
          </w:p>
        </w:tc>
      </w:tr>
      <w:tr w:rsidR="00000000">
        <w:trPr>
          <w:divId w:val="1446461591"/>
        </w:trPr>
        <w:tc>
          <w:tcPr>
            <w:tcW w:w="1957" w:type="pct"/>
            <w:shd w:val="clear" w:color="auto" w:fill="FFFFFF"/>
            <w:vAlign w:val="bottom"/>
            <w:hideMark/>
          </w:tcPr>
          <w:p w:rsidR="00000000" w:rsidRDefault="005F13FD">
            <w:pPr>
              <w:pStyle w:val="a3"/>
              <w:spacing w:before="0" w:beforeAutospacing="0" w:after="0" w:afterAutospacing="0"/>
              <w:rPr>
                <w:sz w:val="20"/>
                <w:szCs w:val="20"/>
              </w:rPr>
            </w:pPr>
            <w:r>
              <w:rPr>
                <w:sz w:val="20"/>
                <w:szCs w:val="20"/>
              </w:rPr>
              <w:t>Emerging growth company</w:t>
            </w:r>
          </w:p>
        </w:tc>
        <w:tc>
          <w:tcPr>
            <w:tcW w:w="209" w:type="pct"/>
            <w:shd w:val="clear" w:color="auto" w:fill="FFFFFF"/>
            <w:vAlign w:val="bottom"/>
            <w:hideMark/>
          </w:tcPr>
          <w:p w:rsidR="00000000" w:rsidRDefault="005F13F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5F13FD">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5F13FD">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5F13FD">
            <w:pPr>
              <w:pStyle w:val="a3"/>
              <w:spacing w:before="0" w:beforeAutospacing="0" w:after="0" w:afterAutospacing="0"/>
              <w:jc w:val="center"/>
              <w:rPr>
                <w:sz w:val="20"/>
                <w:szCs w:val="20"/>
              </w:rPr>
            </w:pPr>
            <w:r>
              <w:rPr>
                <w:sz w:val="20"/>
                <w:szCs w:val="20"/>
              </w:rPr>
              <w:t> </w:t>
            </w:r>
          </w:p>
        </w:tc>
      </w:tr>
    </w:tbl>
    <w:p w:rsidR="00000000" w:rsidRDefault="005F13FD">
      <w:pPr>
        <w:pStyle w:val="a3"/>
        <w:spacing w:before="0" w:beforeAutospacing="0" w:after="0" w:afterAutospacing="0"/>
        <w:rPr>
          <w:sz w:val="10"/>
          <w:szCs w:val="10"/>
        </w:rPr>
      </w:pPr>
      <w:r>
        <w:rPr>
          <w:sz w:val="10"/>
          <w:szCs w:val="10"/>
        </w:rPr>
        <w:t> </w:t>
      </w:r>
    </w:p>
    <w:p w:rsidR="00000000" w:rsidRDefault="005F13FD">
      <w:pPr>
        <w:pStyle w:val="a3"/>
        <w:spacing w:before="0" w:beforeAutospacing="0" w:after="0" w:afterAutospacing="0"/>
        <w:jc w:val="both"/>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20"/>
          <w:szCs w:val="20"/>
        </w:rPr>
        <w:t>☐</w:t>
      </w:r>
    </w:p>
    <w:p w:rsidR="00000000" w:rsidRDefault="005F13FD">
      <w:pPr>
        <w:pStyle w:val="a3"/>
        <w:spacing w:before="40" w:beforeAutospacing="0" w:after="0" w:afterAutospacing="0"/>
        <w:jc w:val="both"/>
        <w:rPr>
          <w:sz w:val="20"/>
          <w:szCs w:val="20"/>
        </w:rPr>
      </w:pPr>
      <w:r>
        <w:rPr>
          <w:sz w:val="20"/>
          <w:szCs w:val="20"/>
        </w:rPr>
        <w:t>In</w:t>
      </w:r>
      <w:r>
        <w:rPr>
          <w:sz w:val="20"/>
          <w:szCs w:val="20"/>
        </w:rPr>
        <w:t>dicate by check mark whether the registrant is a shell company (as defined in Rule 12b-2 of the Exchange Act). Yes  </w:t>
      </w:r>
      <w:r>
        <w:rPr>
          <w:rFonts w:ascii="Segoe UI Symbol" w:hAnsi="Segoe UI Symbol"/>
          <w:sz w:val="20"/>
          <w:szCs w:val="20"/>
        </w:rPr>
        <w:t>☐</w:t>
      </w:r>
      <w:r>
        <w:rPr>
          <w:sz w:val="20"/>
          <w:szCs w:val="20"/>
        </w:rPr>
        <w:t>    No  </w:t>
      </w:r>
      <w:r>
        <w:rPr>
          <w:rFonts w:ascii="Segoe UI Symbol" w:hAnsi="Segoe UI Symbol"/>
          <w:sz w:val="20"/>
          <w:szCs w:val="20"/>
        </w:rPr>
        <w:t>☒</w:t>
      </w:r>
    </w:p>
    <w:p w:rsidR="00000000" w:rsidRDefault="005F13FD">
      <w:pPr>
        <w:pStyle w:val="a3"/>
        <w:spacing w:before="40" w:beforeAutospacing="0" w:after="0" w:afterAutospacing="0"/>
        <w:jc w:val="both"/>
        <w:rPr>
          <w:sz w:val="20"/>
          <w:szCs w:val="20"/>
        </w:rPr>
      </w:pPr>
      <w:r>
        <w:rPr>
          <w:sz w:val="20"/>
          <w:szCs w:val="20"/>
        </w:rPr>
        <w:t>Indicate the number of shares outstanding of each class of Common Stock as of October 30, 2020:</w:t>
      </w:r>
    </w:p>
    <w:p w:rsidR="00000000" w:rsidRDefault="005F13FD">
      <w:pPr>
        <w:pStyle w:val="a3"/>
        <w:spacing w:before="40" w:beforeAutospacing="0" w:after="0" w:afterAutospacing="0"/>
        <w:jc w:val="center"/>
        <w:rPr>
          <w:sz w:val="20"/>
          <w:szCs w:val="20"/>
        </w:rPr>
      </w:pPr>
      <w:r>
        <w:rPr>
          <w:sz w:val="20"/>
          <w:szCs w:val="20"/>
        </w:rPr>
        <w:t>Shares of Common Stock, $0.01 par</w:t>
      </w:r>
      <w:r>
        <w:rPr>
          <w:sz w:val="20"/>
          <w:szCs w:val="20"/>
        </w:rPr>
        <w:t xml:space="preserve"> value per share: 119,634,216 shares outstanding.</w:t>
      </w:r>
    </w:p>
    <w:p w:rsidR="00000000" w:rsidRDefault="005F13FD">
      <w:pPr>
        <w:pStyle w:val="a3"/>
        <w:pBdr>
          <w:bottom w:val="double" w:sz="6" w:space="1" w:color="auto"/>
        </w:pBdr>
        <w:spacing w:before="0" w:beforeAutospacing="0" w:after="0" w:afterAutospacing="0"/>
        <w:rPr>
          <w:sz w:val="8"/>
          <w:szCs w:val="8"/>
        </w:rPr>
      </w:pPr>
      <w:r>
        <w:rPr>
          <w:sz w:val="8"/>
          <w:szCs w:val="8"/>
        </w:rPr>
        <w:t> </w:t>
      </w:r>
    </w:p>
    <w:p w:rsidR="00000000" w:rsidRDefault="005F13FD">
      <w:pPr>
        <w:pStyle w:val="a3"/>
        <w:spacing w:before="0" w:beforeAutospacing="0" w:after="0" w:afterAutospacing="0"/>
        <w:rPr>
          <w:sz w:val="4"/>
          <w:szCs w:val="4"/>
        </w:rPr>
      </w:pPr>
      <w:r>
        <w:rPr>
          <w:sz w:val="4"/>
          <w:szCs w:val="4"/>
        </w:rPr>
        <w:t> </w:t>
      </w:r>
    </w:p>
    <w:p w:rsidR="00000000" w:rsidRDefault="005F13FD">
      <w:pPr>
        <w:pStyle w:val="a3"/>
        <w:spacing w:before="0" w:beforeAutospacing="0" w:after="0" w:afterAutospacing="0"/>
        <w:rPr>
          <w:b/>
          <w:bCs/>
          <w:sz w:val="4"/>
          <w:szCs w:val="4"/>
        </w:rPr>
      </w:pPr>
      <w:r>
        <w:rPr>
          <w:b/>
          <w:bCs/>
          <w:sz w:val="4"/>
          <w:szCs w:val="4"/>
        </w:rPr>
        <w:t> </w:t>
      </w:r>
    </w:p>
    <w:p w:rsidR="00000000" w:rsidRDefault="005F13FD">
      <w:pPr>
        <w:pStyle w:val="a3"/>
        <w:spacing w:before="0" w:beforeAutospacing="0" w:after="0" w:afterAutospacing="0"/>
        <w:jc w:val="center"/>
        <w:rPr>
          <w:b/>
          <w:bCs/>
          <w:sz w:val="4"/>
          <w:szCs w:val="4"/>
        </w:rPr>
      </w:pPr>
      <w:r>
        <w:rPr>
          <w:b/>
          <w:bCs/>
          <w:sz w:val="4"/>
          <w:szCs w:val="4"/>
        </w:rPr>
        <w:t> </w:t>
      </w:r>
    </w:p>
    <w:p w:rsidR="00000000" w:rsidRDefault="005F13FD">
      <w:pPr>
        <w:rPr>
          <w:rFonts w:eastAsia="Times New Roman"/>
        </w:rPr>
      </w:pPr>
      <w:r>
        <w:rPr>
          <w:rFonts w:eastAsia="Times New Roman"/>
        </w:rPr>
        <w:pict>
          <v:rect id="_x0000_i1025" style="width:0;height:1.5pt" o:hralign="center" o:hrstd="t" o:hr="t" fillcolor="#a0a0a0" stroked="f"/>
        </w:pict>
      </w:r>
    </w:p>
    <w:p w:rsidR="00000000" w:rsidRDefault="005F13FD">
      <w:pPr>
        <w:pStyle w:val="a3"/>
        <w:spacing w:before="0" w:beforeAutospacing="0" w:after="0" w:afterAutospacing="0"/>
        <w:jc w:val="center"/>
        <w:rPr>
          <w:b/>
          <w:bCs/>
          <w:sz w:val="20"/>
          <w:szCs w:val="20"/>
        </w:rPr>
      </w:pPr>
      <w:r>
        <w:rPr>
          <w:b/>
          <w:bCs/>
          <w:sz w:val="20"/>
          <w:szCs w:val="20"/>
        </w:rPr>
        <w:t>CORECIVIC, INC.</w:t>
      </w:r>
    </w:p>
    <w:p w:rsidR="00000000" w:rsidRDefault="005F13FD">
      <w:pPr>
        <w:pStyle w:val="a3"/>
        <w:spacing w:before="0" w:beforeAutospacing="0" w:after="0" w:afterAutospacing="0"/>
        <w:jc w:val="center"/>
        <w:rPr>
          <w:sz w:val="20"/>
          <w:szCs w:val="20"/>
        </w:rPr>
      </w:pPr>
      <w:r>
        <w:rPr>
          <w:sz w:val="20"/>
          <w:szCs w:val="20"/>
        </w:rPr>
        <w:t> </w:t>
      </w:r>
    </w:p>
    <w:p w:rsidR="00000000" w:rsidRDefault="005F13FD">
      <w:pPr>
        <w:pStyle w:val="a3"/>
        <w:spacing w:before="0" w:beforeAutospacing="0" w:after="0" w:afterAutospacing="0"/>
        <w:jc w:val="center"/>
        <w:rPr>
          <w:b/>
          <w:bCs/>
          <w:sz w:val="20"/>
          <w:szCs w:val="20"/>
        </w:rPr>
      </w:pPr>
      <w:r>
        <w:rPr>
          <w:b/>
          <w:bCs/>
          <w:sz w:val="20"/>
          <w:szCs w:val="20"/>
        </w:rPr>
        <w:t>FORM 10-Q</w:t>
      </w:r>
    </w:p>
    <w:p w:rsidR="00000000" w:rsidRDefault="005F13FD">
      <w:pPr>
        <w:pStyle w:val="a3"/>
        <w:spacing w:before="0" w:beforeAutospacing="0" w:after="0" w:afterAutospacing="0"/>
        <w:jc w:val="center"/>
        <w:rPr>
          <w:sz w:val="20"/>
          <w:szCs w:val="20"/>
        </w:rPr>
      </w:pPr>
      <w:r>
        <w:rPr>
          <w:sz w:val="20"/>
          <w:szCs w:val="20"/>
        </w:rPr>
        <w:t> </w:t>
      </w:r>
    </w:p>
    <w:p w:rsidR="00000000" w:rsidRDefault="005F13FD">
      <w:pPr>
        <w:pStyle w:val="a3"/>
        <w:spacing w:before="0" w:beforeAutospacing="0" w:after="0" w:afterAutospacing="0"/>
        <w:jc w:val="center"/>
        <w:rPr>
          <w:b/>
          <w:bCs/>
          <w:sz w:val="20"/>
          <w:szCs w:val="20"/>
        </w:rPr>
      </w:pPr>
      <w:r>
        <w:rPr>
          <w:b/>
          <w:bCs/>
          <w:sz w:val="20"/>
          <w:szCs w:val="20"/>
        </w:rPr>
        <w:t>FOR THE QUARTERLY PERIOD ENDED SEPTEMBER 30, 2020</w:t>
      </w:r>
    </w:p>
    <w:p w:rsidR="00000000" w:rsidRDefault="005F13FD">
      <w:pPr>
        <w:pStyle w:val="a3"/>
        <w:spacing w:before="0" w:beforeAutospacing="0" w:after="0" w:afterAutospacing="0"/>
        <w:jc w:val="center"/>
        <w:rPr>
          <w:sz w:val="20"/>
          <w:szCs w:val="20"/>
        </w:rPr>
      </w:pPr>
      <w:r>
        <w:rPr>
          <w:sz w:val="20"/>
          <w:szCs w:val="20"/>
        </w:rPr>
        <w:t> </w:t>
      </w:r>
    </w:p>
    <w:p w:rsidR="00000000" w:rsidRDefault="005F13FD">
      <w:pPr>
        <w:pStyle w:val="a3"/>
        <w:spacing w:before="0" w:beforeAutospacing="0" w:after="0" w:afterAutospacing="0"/>
        <w:jc w:val="center"/>
        <w:rPr>
          <w:b/>
          <w:bCs/>
          <w:sz w:val="20"/>
          <w:szCs w:val="20"/>
        </w:rPr>
      </w:pPr>
      <w:r>
        <w:rPr>
          <w:b/>
          <w:bCs/>
          <w:sz w:val="20"/>
          <w:szCs w:val="20"/>
        </w:rPr>
        <w:t>INDEX</w:t>
      </w:r>
    </w:p>
    <w:p w:rsidR="00000000" w:rsidRDefault="005F13FD">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34"/>
        <w:gridCol w:w="72"/>
        <w:gridCol w:w="7004"/>
        <w:gridCol w:w="73"/>
        <w:gridCol w:w="523"/>
      </w:tblGrid>
      <w:tr w:rsidR="00000000">
        <w:trPr>
          <w:divId w:val="1259019264"/>
        </w:trPr>
        <w:tc>
          <w:tcPr>
            <w:tcW w:w="50" w:type="pct"/>
            <w:gridSpan w:val="3"/>
            <w:hideMark/>
          </w:tcPr>
          <w:p w:rsidR="00000000" w:rsidRDefault="005F13FD">
            <w:pPr>
              <w:pStyle w:val="a3"/>
              <w:spacing w:before="0" w:beforeAutospacing="0" w:after="0" w:afterAutospacing="0"/>
              <w:rPr>
                <w:b/>
                <w:bCs/>
                <w:sz w:val="20"/>
                <w:szCs w:val="20"/>
              </w:rPr>
            </w:pPr>
            <w:r>
              <w:rPr>
                <w:b/>
                <w:bCs/>
                <w:sz w:val="20"/>
                <w:szCs w:val="20"/>
              </w:rPr>
              <w:t> </w:t>
            </w:r>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tcBorders>
              <w:bottom w:val="single" w:sz="6" w:space="0" w:color="000000"/>
            </w:tcBorders>
            <w:hideMark/>
          </w:tcPr>
          <w:p w:rsidR="00000000" w:rsidRDefault="005F13FD">
            <w:pPr>
              <w:pStyle w:val="a3"/>
              <w:spacing w:before="0" w:beforeAutospacing="0" w:after="0" w:afterAutospacing="0"/>
              <w:jc w:val="center"/>
              <w:rPr>
                <w:sz w:val="20"/>
                <w:szCs w:val="20"/>
              </w:rPr>
            </w:pPr>
            <w:r>
              <w:rPr>
                <w:sz w:val="20"/>
                <w:szCs w:val="20"/>
              </w:rPr>
              <w:t>PAGE</w:t>
            </w:r>
          </w:p>
        </w:tc>
      </w:tr>
      <w:tr w:rsidR="00000000">
        <w:trPr>
          <w:divId w:val="1259019264"/>
        </w:trPr>
        <w:tc>
          <w:tcPr>
            <w:tcW w:w="50" w:type="pct"/>
            <w:gridSpan w:val="3"/>
            <w:hideMark/>
          </w:tcPr>
          <w:p w:rsidR="00000000" w:rsidRDefault="005F13FD">
            <w:pPr>
              <w:pStyle w:val="a3"/>
              <w:spacing w:before="0" w:beforeAutospacing="0" w:after="0" w:afterAutospacing="0"/>
              <w:rPr>
                <w:b/>
                <w:bCs/>
                <w:sz w:val="20"/>
                <w:szCs w:val="20"/>
              </w:rPr>
            </w:pPr>
            <w:hyperlink w:anchor="PART_I_FINANCIAL_INFORMATION" w:history="1">
              <w:r>
                <w:rPr>
                  <w:rStyle w:val="a4"/>
                  <w:b/>
                  <w:bCs/>
                  <w:sz w:val="20"/>
                  <w:szCs w:val="20"/>
                </w:rPr>
                <w:t>PART 1 – FINANCIAL INFORMATION</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center"/>
              <w:rPr>
                <w:sz w:val="20"/>
                <w:szCs w:val="20"/>
              </w:rPr>
            </w:pPr>
            <w:r>
              <w:rPr>
                <w:sz w:val="20"/>
                <w:szCs w:val="20"/>
              </w:rPr>
              <w:t> </w:t>
            </w:r>
          </w:p>
        </w:tc>
      </w:tr>
      <w:tr w:rsidR="00000000">
        <w:trPr>
          <w:divId w:val="1259019264"/>
        </w:trPr>
        <w:tc>
          <w:tcPr>
            <w:tcW w:w="385" w:type="pct"/>
            <w:hideMark/>
          </w:tcPr>
          <w:p w:rsidR="00000000" w:rsidRDefault="005F13FD">
            <w:pPr>
              <w:pStyle w:val="a3"/>
              <w:spacing w:before="0" w:beforeAutospacing="0" w:after="0" w:afterAutospacing="0"/>
              <w:rPr>
                <w:b/>
                <w:bCs/>
                <w:sz w:val="12"/>
                <w:szCs w:val="12"/>
              </w:rPr>
            </w:pPr>
            <w:r>
              <w:rPr>
                <w:b/>
                <w:bCs/>
                <w:sz w:val="12"/>
                <w:szCs w:val="12"/>
              </w:rPr>
              <w:t> </w:t>
            </w:r>
          </w:p>
        </w:tc>
        <w:tc>
          <w:tcPr>
            <w:tcW w:w="50" w:type="pct"/>
            <w:hideMark/>
          </w:tcPr>
          <w:p w:rsidR="00000000" w:rsidRDefault="005F13FD">
            <w:pPr>
              <w:pStyle w:val="a3"/>
              <w:spacing w:before="0" w:beforeAutospacing="0" w:after="0" w:afterAutospacing="0"/>
              <w:rPr>
                <w:b/>
                <w:bCs/>
                <w:sz w:val="12"/>
                <w:szCs w:val="12"/>
              </w:rPr>
            </w:pPr>
            <w:r>
              <w:rPr>
                <w:b/>
                <w:bCs/>
                <w:sz w:val="12"/>
                <w:szCs w:val="12"/>
              </w:rPr>
              <w:t> </w:t>
            </w:r>
          </w:p>
        </w:tc>
        <w:tc>
          <w:tcPr>
            <w:tcW w:w="4174" w:type="pct"/>
            <w:hideMark/>
          </w:tcPr>
          <w:p w:rsidR="00000000" w:rsidRDefault="005F13FD">
            <w:pPr>
              <w:pStyle w:val="a3"/>
              <w:spacing w:before="0" w:beforeAutospacing="0" w:after="0" w:afterAutospacing="0"/>
              <w:rPr>
                <w:b/>
                <w:bCs/>
                <w:sz w:val="12"/>
                <w:szCs w:val="12"/>
              </w:rPr>
            </w:pPr>
            <w:r>
              <w:rPr>
                <w:b/>
                <w:bCs/>
                <w:sz w:val="12"/>
                <w:szCs w:val="12"/>
              </w:rPr>
              <w:t> </w:t>
            </w:r>
          </w:p>
        </w:tc>
        <w:tc>
          <w:tcPr>
            <w:tcW w:w="51" w:type="pct"/>
            <w:hideMark/>
          </w:tcPr>
          <w:p w:rsidR="00000000" w:rsidRDefault="005F13FD">
            <w:pPr>
              <w:pStyle w:val="a3"/>
              <w:spacing w:before="0" w:beforeAutospacing="0" w:after="0" w:afterAutospacing="0"/>
              <w:rPr>
                <w:b/>
                <w:bCs/>
                <w:sz w:val="12"/>
                <w:szCs w:val="12"/>
              </w:rPr>
            </w:pPr>
            <w:r>
              <w:rPr>
                <w:b/>
                <w:bCs/>
                <w:sz w:val="12"/>
                <w:szCs w:val="12"/>
              </w:rPr>
              <w:t> </w:t>
            </w:r>
          </w:p>
        </w:tc>
        <w:tc>
          <w:tcPr>
            <w:tcW w:w="281" w:type="pct"/>
            <w:hideMark/>
          </w:tcPr>
          <w:p w:rsidR="00000000" w:rsidRDefault="005F13FD">
            <w:pPr>
              <w:pStyle w:val="a3"/>
              <w:spacing w:before="0" w:beforeAutospacing="0" w:after="0" w:afterAutospacing="0"/>
              <w:rPr>
                <w:b/>
                <w:bCs/>
                <w:sz w:val="12"/>
                <w:szCs w:val="12"/>
              </w:rPr>
            </w:pPr>
            <w:r>
              <w:rPr>
                <w:b/>
                <w:bCs/>
                <w:sz w:val="12"/>
                <w:szCs w:val="12"/>
              </w:rPr>
              <w:t> </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Item 1.</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rPr>
                <w:sz w:val="20"/>
                <w:szCs w:val="20"/>
              </w:rPr>
            </w:pPr>
            <w:hyperlink w:anchor="ITEM_1_FINANCIAL_STATEMENTS" w:history="1">
              <w:r>
                <w:rPr>
                  <w:rStyle w:val="a4"/>
                  <w:sz w:val="20"/>
                  <w:szCs w:val="20"/>
                </w:rPr>
                <w:t>Financial Statements</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I</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    a)</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rPr>
                <w:sz w:val="20"/>
                <w:szCs w:val="20"/>
              </w:rPr>
            </w:pPr>
            <w:hyperlink w:anchor="CONSOLIDATED_BALANCE_SHEETS" w:history="1">
              <w:r>
                <w:rPr>
                  <w:rStyle w:val="a4"/>
                  <w:sz w:val="20"/>
                  <w:szCs w:val="20"/>
                </w:rPr>
                <w:t>Consolidated Balance Sheets as of September 30, 2020 (Unaudited) and December 31, 2019</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1</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    b)</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jc w:val="both"/>
              <w:rPr>
                <w:sz w:val="20"/>
                <w:szCs w:val="20"/>
              </w:rPr>
            </w:pPr>
            <w:hyperlink w:anchor="CONSOLIDATED_STATEMENTS_OF_OPERATIONS" w:history="1">
              <w:r>
                <w:rPr>
                  <w:rStyle w:val="a4"/>
                  <w:sz w:val="20"/>
                  <w:szCs w:val="20"/>
                </w:rPr>
                <w:t>Consolidated Statements of Operations (Unaudi</w:t>
              </w:r>
              <w:r>
                <w:rPr>
                  <w:rStyle w:val="a4"/>
                  <w:sz w:val="20"/>
                  <w:szCs w:val="20"/>
                </w:rPr>
                <w:t>ted) for the three and nine months ended September 30, 2020 and 2019</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vAlign w:val="bottom"/>
            <w:hideMark/>
          </w:tcPr>
          <w:p w:rsidR="00000000" w:rsidRDefault="005F13FD">
            <w:pPr>
              <w:pStyle w:val="a3"/>
              <w:spacing w:before="0" w:beforeAutospacing="0" w:after="0" w:afterAutospacing="0"/>
              <w:jc w:val="right"/>
              <w:rPr>
                <w:sz w:val="20"/>
                <w:szCs w:val="20"/>
              </w:rPr>
            </w:pPr>
            <w:r>
              <w:rPr>
                <w:sz w:val="20"/>
                <w:szCs w:val="20"/>
              </w:rPr>
              <w:t>2</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    c)</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jc w:val="both"/>
              <w:rPr>
                <w:sz w:val="20"/>
                <w:szCs w:val="20"/>
              </w:rPr>
            </w:pPr>
            <w:hyperlink w:anchor="CONSOLIDATED_STATEMENTS_CASH_FLOWS" w:history="1">
              <w:r>
                <w:rPr>
                  <w:rStyle w:val="a4"/>
                  <w:sz w:val="20"/>
                  <w:szCs w:val="20"/>
                </w:rPr>
                <w:t>Consolidated Statements of Cash Flows (Unaudited) for the nine months ended September 30, 2020 and 2019</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3</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    d)</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jc w:val="both"/>
              <w:rPr>
                <w:sz w:val="20"/>
                <w:szCs w:val="20"/>
              </w:rPr>
            </w:pPr>
            <w:hyperlink w:anchor="STATEMENT_OF_STOCKHOLDERS_EQUITY" w:history="1">
              <w:r>
                <w:rPr>
                  <w:rStyle w:val="a4"/>
                  <w:sz w:val="20"/>
                  <w:szCs w:val="20"/>
                </w:rPr>
                <w:t>Consolidated Statement of Stockholders' Equity (Unaudited) for the quarterly period</w:t>
              </w:r>
              <w:r>
                <w:rPr>
                  <w:rStyle w:val="a4"/>
                  <w:sz w:val="20"/>
                  <w:szCs w:val="20"/>
                </w:rPr>
                <w:t>s ended September 30, 2020</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4</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    e)</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jc w:val="both"/>
              <w:rPr>
                <w:sz w:val="20"/>
                <w:szCs w:val="20"/>
              </w:rPr>
            </w:pPr>
            <w:hyperlink w:anchor="STATEMENT_OF_STOCKHOLDERS_EQUITY_2" w:history="1">
              <w:r>
                <w:rPr>
                  <w:rStyle w:val="a4"/>
                  <w:sz w:val="20"/>
                  <w:szCs w:val="20"/>
                </w:rPr>
                <w:t>Consolidated Statement of Stockholders' Equity (Unaudited) for the quarterly periods ended September 30, 2019</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5</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    f)</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Statements (Unaudited)</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6</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Item 2.</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jc w:val="both"/>
              <w:rPr>
                <w:sz w:val="20"/>
                <w:szCs w:val="20"/>
              </w:rPr>
            </w:pPr>
            <w:hyperlink w:anchor="ITEM_2_MANAGEMENTS_DISCUSSION_AND_ANAL" w:history="1">
              <w:r>
                <w:rPr>
                  <w:rStyle w:val="a4"/>
                  <w:sz w:val="20"/>
                  <w:szCs w:val="20"/>
                </w:rPr>
                <w:t>Management's Discussion and Analysis of Financial Condition and</w:t>
              </w:r>
              <w:r>
                <w:rPr>
                  <w:rStyle w:val="a4"/>
                  <w:sz w:val="20"/>
                  <w:szCs w:val="20"/>
                </w:rPr>
                <w:t xml:space="preserve"> Results of Operations</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21</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Item 3.</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rPr>
                <w:sz w:val="20"/>
                <w:szCs w:val="20"/>
              </w:rPr>
            </w:pPr>
            <w:hyperlink w:anchor="ITEM_3_QUANTITATIVE_AND_QUALITATIVE_DIS" w:history="1">
              <w:r>
                <w:rPr>
                  <w:rStyle w:val="a4"/>
                  <w:sz w:val="20"/>
                  <w:szCs w:val="20"/>
                </w:rPr>
                <w:t>Quantitative and Qualitative Disclosures About Market Risk</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44</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Item 4.</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rPr>
                <w:sz w:val="20"/>
                <w:szCs w:val="20"/>
              </w:rPr>
            </w:pPr>
            <w:hyperlink w:anchor="ITEM_4_CONTROLS_AND_PROCEDURES" w:history="1">
              <w:r>
                <w:rPr>
                  <w:rStyle w:val="a4"/>
                  <w:sz w:val="20"/>
                  <w:szCs w:val="20"/>
                </w:rPr>
                <w:t>Controls and Procedures</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4</w:t>
            </w:r>
            <w:r>
              <w:rPr>
                <w:sz w:val="20"/>
                <w:szCs w:val="20"/>
              </w:rPr>
              <w:t>4</w:t>
            </w:r>
          </w:p>
        </w:tc>
      </w:tr>
      <w:tr w:rsidR="00000000">
        <w:trPr>
          <w:divId w:val="1259019264"/>
        </w:trPr>
        <w:tc>
          <w:tcPr>
            <w:tcW w:w="385" w:type="pct"/>
            <w:hideMark/>
          </w:tcPr>
          <w:p w:rsidR="00000000" w:rsidRDefault="005F13FD">
            <w:pPr>
              <w:pStyle w:val="a3"/>
              <w:spacing w:before="0" w:beforeAutospacing="0" w:after="0" w:afterAutospacing="0"/>
              <w:rPr>
                <w:b/>
                <w:bCs/>
                <w:sz w:val="12"/>
                <w:szCs w:val="12"/>
              </w:rPr>
            </w:pPr>
            <w:r>
              <w:rPr>
                <w:b/>
                <w:bCs/>
                <w:sz w:val="12"/>
                <w:szCs w:val="12"/>
              </w:rPr>
              <w:t> </w:t>
            </w:r>
          </w:p>
        </w:tc>
        <w:tc>
          <w:tcPr>
            <w:tcW w:w="50" w:type="pct"/>
            <w:hideMark/>
          </w:tcPr>
          <w:p w:rsidR="00000000" w:rsidRDefault="005F13FD">
            <w:pPr>
              <w:pStyle w:val="a3"/>
              <w:spacing w:before="0" w:beforeAutospacing="0" w:after="0" w:afterAutospacing="0"/>
              <w:rPr>
                <w:b/>
                <w:bCs/>
                <w:sz w:val="12"/>
                <w:szCs w:val="12"/>
              </w:rPr>
            </w:pPr>
            <w:r>
              <w:rPr>
                <w:b/>
                <w:bCs/>
                <w:sz w:val="12"/>
                <w:szCs w:val="12"/>
              </w:rPr>
              <w:t> </w:t>
            </w:r>
          </w:p>
        </w:tc>
        <w:tc>
          <w:tcPr>
            <w:tcW w:w="4174" w:type="pct"/>
            <w:hideMark/>
          </w:tcPr>
          <w:p w:rsidR="00000000" w:rsidRDefault="005F13FD">
            <w:pPr>
              <w:pStyle w:val="a3"/>
              <w:spacing w:before="0" w:beforeAutospacing="0" w:after="0" w:afterAutospacing="0"/>
              <w:rPr>
                <w:b/>
                <w:bCs/>
                <w:sz w:val="12"/>
                <w:szCs w:val="12"/>
              </w:rPr>
            </w:pPr>
            <w:r>
              <w:rPr>
                <w:b/>
                <w:bCs/>
                <w:sz w:val="12"/>
                <w:szCs w:val="12"/>
              </w:rPr>
              <w:t> </w:t>
            </w:r>
          </w:p>
        </w:tc>
        <w:tc>
          <w:tcPr>
            <w:tcW w:w="51" w:type="pct"/>
            <w:hideMark/>
          </w:tcPr>
          <w:p w:rsidR="00000000" w:rsidRDefault="005F13FD">
            <w:pPr>
              <w:pStyle w:val="a3"/>
              <w:spacing w:before="0" w:beforeAutospacing="0" w:after="0" w:afterAutospacing="0"/>
              <w:rPr>
                <w:b/>
                <w:bCs/>
                <w:sz w:val="12"/>
                <w:szCs w:val="12"/>
              </w:rPr>
            </w:pPr>
            <w:r>
              <w:rPr>
                <w:b/>
                <w:bCs/>
                <w:sz w:val="12"/>
                <w:szCs w:val="12"/>
              </w:rPr>
              <w:t> </w:t>
            </w:r>
          </w:p>
        </w:tc>
        <w:tc>
          <w:tcPr>
            <w:tcW w:w="281" w:type="pct"/>
            <w:hideMark/>
          </w:tcPr>
          <w:p w:rsidR="00000000" w:rsidRDefault="005F13FD">
            <w:pPr>
              <w:pStyle w:val="a3"/>
              <w:spacing w:before="0" w:beforeAutospacing="0" w:after="0" w:afterAutospacing="0"/>
              <w:jc w:val="right"/>
              <w:rPr>
                <w:sz w:val="12"/>
                <w:szCs w:val="12"/>
              </w:rPr>
            </w:pPr>
            <w:r>
              <w:rPr>
                <w:sz w:val="12"/>
                <w:szCs w:val="12"/>
              </w:rPr>
              <w:t> </w:t>
            </w:r>
          </w:p>
        </w:tc>
      </w:tr>
      <w:tr w:rsidR="00000000">
        <w:trPr>
          <w:divId w:val="1259019264"/>
        </w:trPr>
        <w:tc>
          <w:tcPr>
            <w:tcW w:w="50" w:type="pct"/>
            <w:gridSpan w:val="3"/>
            <w:hideMark/>
          </w:tcPr>
          <w:p w:rsidR="00000000" w:rsidRDefault="005F13FD">
            <w:pPr>
              <w:pStyle w:val="a3"/>
              <w:spacing w:before="0" w:beforeAutospacing="0" w:after="0" w:afterAutospacing="0"/>
              <w:rPr>
                <w:b/>
                <w:bCs/>
                <w:sz w:val="20"/>
                <w:szCs w:val="20"/>
              </w:rPr>
            </w:pPr>
            <w:hyperlink w:anchor="PART_II_OR_INFORMATION" w:history="1">
              <w:r>
                <w:rPr>
                  <w:rStyle w:val="a4"/>
                  <w:b/>
                  <w:bCs/>
                  <w:sz w:val="20"/>
                  <w:szCs w:val="20"/>
                </w:rPr>
                <w:t>PART II – OTHER INFORMATION</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 </w:t>
            </w:r>
          </w:p>
        </w:tc>
      </w:tr>
      <w:tr w:rsidR="00000000">
        <w:trPr>
          <w:divId w:val="1259019264"/>
        </w:trPr>
        <w:tc>
          <w:tcPr>
            <w:tcW w:w="385" w:type="pct"/>
            <w:hideMark/>
          </w:tcPr>
          <w:p w:rsidR="00000000" w:rsidRDefault="005F13FD">
            <w:pPr>
              <w:pStyle w:val="a3"/>
              <w:spacing w:before="0" w:beforeAutospacing="0" w:after="0" w:afterAutospacing="0"/>
              <w:rPr>
                <w:b/>
                <w:bCs/>
                <w:sz w:val="12"/>
                <w:szCs w:val="12"/>
              </w:rPr>
            </w:pPr>
            <w:r>
              <w:rPr>
                <w:b/>
                <w:bCs/>
                <w:sz w:val="12"/>
                <w:szCs w:val="12"/>
              </w:rPr>
              <w:t> </w:t>
            </w:r>
          </w:p>
        </w:tc>
        <w:tc>
          <w:tcPr>
            <w:tcW w:w="50" w:type="pct"/>
            <w:hideMark/>
          </w:tcPr>
          <w:p w:rsidR="00000000" w:rsidRDefault="005F13FD">
            <w:pPr>
              <w:pStyle w:val="a3"/>
              <w:spacing w:before="0" w:beforeAutospacing="0" w:after="0" w:afterAutospacing="0"/>
              <w:rPr>
                <w:b/>
                <w:bCs/>
                <w:sz w:val="12"/>
                <w:szCs w:val="12"/>
              </w:rPr>
            </w:pPr>
            <w:r>
              <w:rPr>
                <w:b/>
                <w:bCs/>
                <w:sz w:val="12"/>
                <w:szCs w:val="12"/>
              </w:rPr>
              <w:t> </w:t>
            </w:r>
          </w:p>
        </w:tc>
        <w:tc>
          <w:tcPr>
            <w:tcW w:w="4174" w:type="pct"/>
            <w:hideMark/>
          </w:tcPr>
          <w:p w:rsidR="00000000" w:rsidRDefault="005F13FD">
            <w:pPr>
              <w:pStyle w:val="a3"/>
              <w:spacing w:before="0" w:beforeAutospacing="0" w:after="0" w:afterAutospacing="0"/>
              <w:rPr>
                <w:b/>
                <w:bCs/>
                <w:sz w:val="12"/>
                <w:szCs w:val="12"/>
              </w:rPr>
            </w:pPr>
            <w:r>
              <w:rPr>
                <w:b/>
                <w:bCs/>
                <w:sz w:val="12"/>
                <w:szCs w:val="12"/>
              </w:rPr>
              <w:t> </w:t>
            </w:r>
          </w:p>
        </w:tc>
        <w:tc>
          <w:tcPr>
            <w:tcW w:w="51" w:type="pct"/>
            <w:hideMark/>
          </w:tcPr>
          <w:p w:rsidR="00000000" w:rsidRDefault="005F13FD">
            <w:pPr>
              <w:pStyle w:val="a3"/>
              <w:spacing w:before="0" w:beforeAutospacing="0" w:after="0" w:afterAutospacing="0"/>
              <w:rPr>
                <w:b/>
                <w:bCs/>
                <w:sz w:val="12"/>
                <w:szCs w:val="12"/>
              </w:rPr>
            </w:pPr>
            <w:r>
              <w:rPr>
                <w:b/>
                <w:bCs/>
                <w:sz w:val="12"/>
                <w:szCs w:val="12"/>
              </w:rPr>
              <w:t> </w:t>
            </w:r>
          </w:p>
        </w:tc>
        <w:tc>
          <w:tcPr>
            <w:tcW w:w="281" w:type="pct"/>
            <w:hideMark/>
          </w:tcPr>
          <w:p w:rsidR="00000000" w:rsidRDefault="005F13FD">
            <w:pPr>
              <w:pStyle w:val="a3"/>
              <w:spacing w:before="0" w:beforeAutospacing="0" w:after="0" w:afterAutospacing="0"/>
              <w:jc w:val="right"/>
              <w:rPr>
                <w:sz w:val="12"/>
                <w:szCs w:val="12"/>
              </w:rPr>
            </w:pPr>
            <w:r>
              <w:rPr>
                <w:sz w:val="12"/>
                <w:szCs w:val="12"/>
              </w:rPr>
              <w:t> </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Item 1.</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45</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Item 1A.</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45</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Item 2.</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46</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Item 3.</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46</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Item 4.</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46</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Item 5.</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46</w:t>
            </w:r>
          </w:p>
        </w:tc>
      </w:tr>
      <w:tr w:rsidR="00000000">
        <w:trPr>
          <w:divId w:val="1259019264"/>
        </w:trPr>
        <w:tc>
          <w:tcPr>
            <w:tcW w:w="385" w:type="pct"/>
            <w:hideMark/>
          </w:tcPr>
          <w:p w:rsidR="00000000" w:rsidRDefault="005F13FD">
            <w:pPr>
              <w:pStyle w:val="a3"/>
              <w:spacing w:before="0" w:beforeAutospacing="0" w:after="0" w:afterAutospacing="0"/>
              <w:rPr>
                <w:sz w:val="20"/>
                <w:szCs w:val="20"/>
              </w:rPr>
            </w:pPr>
            <w:r>
              <w:rPr>
                <w:sz w:val="20"/>
                <w:szCs w:val="20"/>
              </w:rPr>
              <w:t>Item 6.</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rPr>
                <w:sz w:val="20"/>
                <w:szCs w:val="20"/>
              </w:rPr>
            </w:pPr>
            <w:hyperlink w:anchor="ITEM_6_EXHIBITS" w:history="1">
              <w:r>
                <w:rPr>
                  <w:rStyle w:val="a4"/>
                  <w:sz w:val="20"/>
                  <w:szCs w:val="20"/>
                </w:rPr>
                <w:t>Exhibits</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47</w:t>
            </w:r>
          </w:p>
        </w:tc>
      </w:tr>
      <w:tr w:rsidR="00000000">
        <w:trPr>
          <w:divId w:val="1259019264"/>
          <w:trHeight w:val="130"/>
        </w:trPr>
        <w:tc>
          <w:tcPr>
            <w:tcW w:w="385" w:type="pct"/>
            <w:hideMark/>
          </w:tcPr>
          <w:p w:rsidR="00000000" w:rsidRDefault="005F13FD">
            <w:pPr>
              <w:pStyle w:val="a3"/>
              <w:spacing w:before="0" w:beforeAutospacing="0" w:after="0" w:afterAutospacing="0"/>
              <w:rPr>
                <w:sz w:val="20"/>
                <w:szCs w:val="20"/>
              </w:rPr>
            </w:pPr>
            <w:r>
              <w:rPr>
                <w:sz w:val="20"/>
                <w:szCs w:val="20"/>
              </w:rPr>
              <w:t> </w:t>
            </w:r>
          </w:p>
        </w:tc>
        <w:tc>
          <w:tcPr>
            <w:tcW w:w="50" w:type="pct"/>
            <w:hideMark/>
          </w:tcPr>
          <w:p w:rsidR="00000000" w:rsidRDefault="005F13FD">
            <w:pPr>
              <w:pStyle w:val="a3"/>
              <w:spacing w:before="0" w:beforeAutospacing="0" w:after="0" w:afterAutospacing="0"/>
              <w:rPr>
                <w:b/>
                <w:bCs/>
                <w:sz w:val="20"/>
                <w:szCs w:val="20"/>
              </w:rPr>
            </w:pPr>
            <w:r>
              <w:rPr>
                <w:b/>
                <w:bCs/>
                <w:sz w:val="20"/>
                <w:szCs w:val="20"/>
              </w:rPr>
              <w:t> </w:t>
            </w:r>
          </w:p>
        </w:tc>
        <w:tc>
          <w:tcPr>
            <w:tcW w:w="4174" w:type="pct"/>
            <w:hideMark/>
          </w:tcPr>
          <w:p w:rsidR="00000000" w:rsidRDefault="005F13FD">
            <w:pPr>
              <w:pStyle w:val="a3"/>
              <w:spacing w:before="0" w:beforeAutospacing="0" w:after="0" w:afterAutospacing="0"/>
              <w:rPr>
                <w:sz w:val="20"/>
                <w:szCs w:val="20"/>
              </w:rPr>
            </w:pPr>
            <w:r>
              <w:rPr>
                <w:sz w:val="20"/>
                <w:szCs w:val="20"/>
              </w:rPr>
              <w:t> </w:t>
            </w:r>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 </w:t>
            </w:r>
          </w:p>
        </w:tc>
      </w:tr>
      <w:tr w:rsidR="00000000">
        <w:trPr>
          <w:divId w:val="1259019264"/>
        </w:trPr>
        <w:tc>
          <w:tcPr>
            <w:tcW w:w="50" w:type="pct"/>
            <w:gridSpan w:val="3"/>
            <w:hideMark/>
          </w:tcPr>
          <w:p w:rsidR="00000000" w:rsidRDefault="005F13FD">
            <w:pPr>
              <w:pStyle w:val="a3"/>
              <w:spacing w:before="0" w:beforeAutospacing="0" w:after="0" w:afterAutospacing="0"/>
              <w:rPr>
                <w:b/>
                <w:bCs/>
                <w:sz w:val="20"/>
                <w:szCs w:val="20"/>
              </w:rPr>
            </w:pPr>
            <w:hyperlink w:anchor="SIGNATURES" w:history="1">
              <w:r>
                <w:rPr>
                  <w:rStyle w:val="a4"/>
                  <w:b/>
                  <w:bCs/>
                  <w:sz w:val="20"/>
                  <w:szCs w:val="20"/>
                </w:rPr>
                <w:t>SIGNATURES</w:t>
              </w:r>
            </w:hyperlink>
          </w:p>
        </w:tc>
        <w:tc>
          <w:tcPr>
            <w:tcW w:w="51" w:type="pct"/>
            <w:hideMark/>
          </w:tcPr>
          <w:p w:rsidR="00000000" w:rsidRDefault="005F13FD">
            <w:pPr>
              <w:pStyle w:val="a3"/>
              <w:spacing w:before="0" w:beforeAutospacing="0" w:after="0" w:afterAutospacing="0"/>
              <w:rPr>
                <w:b/>
                <w:bCs/>
                <w:sz w:val="20"/>
                <w:szCs w:val="20"/>
              </w:rPr>
            </w:pPr>
            <w:r>
              <w:rPr>
                <w:b/>
                <w:bCs/>
                <w:sz w:val="20"/>
                <w:szCs w:val="20"/>
              </w:rPr>
              <w:t> </w:t>
            </w:r>
          </w:p>
        </w:tc>
        <w:tc>
          <w:tcPr>
            <w:tcW w:w="281" w:type="pct"/>
            <w:hideMark/>
          </w:tcPr>
          <w:p w:rsidR="00000000" w:rsidRDefault="005F13FD">
            <w:pPr>
              <w:pStyle w:val="a3"/>
              <w:spacing w:before="0" w:beforeAutospacing="0" w:after="0" w:afterAutospacing="0"/>
              <w:jc w:val="right"/>
              <w:rPr>
                <w:sz w:val="20"/>
                <w:szCs w:val="20"/>
              </w:rPr>
            </w:pPr>
            <w:r>
              <w:rPr>
                <w:sz w:val="20"/>
                <w:szCs w:val="20"/>
              </w:rPr>
              <w:t>48</w:t>
            </w:r>
          </w:p>
        </w:tc>
      </w:tr>
    </w:tbl>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240" w:beforeAutospacing="0" w:after="0" w:afterAutospacing="0"/>
        <w:jc w:val="center"/>
        <w:rPr>
          <w:sz w:val="20"/>
          <w:szCs w:val="20"/>
        </w:rPr>
      </w:pPr>
      <w:r>
        <w:rPr>
          <w:sz w:val="20"/>
          <w:szCs w:val="20"/>
        </w:rPr>
        <w:t> </w:t>
      </w:r>
    </w:p>
    <w:p w:rsidR="00000000" w:rsidRDefault="005F13FD">
      <w:pPr>
        <w:rPr>
          <w:rFonts w:eastAsia="Times New Roman"/>
        </w:rPr>
      </w:pPr>
      <w:r>
        <w:rPr>
          <w:rFonts w:eastAsia="Times New Roman"/>
        </w:rPr>
        <w:pict>
          <v:rect id="_x0000_i1026" style="width:0;height:1.5pt" o:hralign="center" o:hrstd="t" o:hr="t" fillcolor="#a0a0a0" stroked="f"/>
        </w:pict>
      </w:r>
    </w:p>
    <w:p w:rsidR="00000000" w:rsidRDefault="005F13FD">
      <w:pPr>
        <w:pStyle w:val="a3"/>
        <w:spacing w:before="0" w:beforeAutospacing="0" w:after="0" w:afterAutospacing="0"/>
        <w:jc w:val="center"/>
        <w:rPr>
          <w:b/>
          <w:bCs/>
          <w:sz w:val="20"/>
          <w:szCs w:val="20"/>
        </w:rPr>
      </w:pPr>
      <w:r>
        <w:rPr>
          <w:b/>
          <w:bCs/>
          <w:sz w:val="20"/>
          <w:szCs w:val="20"/>
        </w:rPr>
        <w:t>PART I – FINANCIAL INFORMATION</w:t>
      </w:r>
    </w:p>
    <w:p w:rsidR="00000000" w:rsidRDefault="005F13FD">
      <w:pPr>
        <w:pStyle w:val="a3"/>
        <w:spacing w:before="240" w:beforeAutospacing="0" w:after="0" w:afterAutospacing="0"/>
        <w:jc w:val="both"/>
        <w:rPr>
          <w:b/>
          <w:bCs/>
          <w:sz w:val="20"/>
          <w:szCs w:val="20"/>
        </w:rPr>
      </w:pPr>
      <w:r>
        <w:rPr>
          <w:b/>
          <w:bCs/>
          <w:sz w:val="20"/>
          <w:szCs w:val="20"/>
        </w:rPr>
        <w:t>ITEM 1. – FINANCIAL STATEMENTS.</w:t>
      </w:r>
    </w:p>
    <w:p w:rsidR="00000000" w:rsidRDefault="005F13FD">
      <w:pPr>
        <w:pStyle w:val="a3"/>
        <w:spacing w:before="240" w:beforeAutospacing="0" w:after="0" w:afterAutospacing="0"/>
        <w:jc w:val="center"/>
        <w:rPr>
          <w:b/>
          <w:bCs/>
          <w:sz w:val="20"/>
          <w:szCs w:val="20"/>
        </w:rPr>
      </w:pPr>
      <w:r>
        <w:rPr>
          <w:b/>
          <w:bCs/>
          <w:sz w:val="20"/>
          <w:szCs w:val="20"/>
        </w:rPr>
        <w:t>CORECIVIC, INC. AND SUBSIDIARIES</w:t>
      </w:r>
    </w:p>
    <w:p w:rsidR="00000000" w:rsidRDefault="005F13FD">
      <w:pPr>
        <w:pStyle w:val="a3"/>
        <w:spacing w:before="0" w:beforeAutospacing="0" w:after="0" w:afterAutospacing="0"/>
        <w:jc w:val="center"/>
        <w:rPr>
          <w:b/>
          <w:bCs/>
          <w:sz w:val="20"/>
          <w:szCs w:val="20"/>
        </w:rPr>
      </w:pPr>
      <w:r>
        <w:rPr>
          <w:b/>
          <w:bCs/>
          <w:sz w:val="20"/>
          <w:szCs w:val="20"/>
        </w:rPr>
        <w:lastRenderedPageBreak/>
        <w:t>CONSOLIDATED BALANCE SHEETS</w:t>
      </w:r>
    </w:p>
    <w:p w:rsidR="00000000" w:rsidRDefault="005F13FD">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26"/>
        <w:gridCol w:w="84"/>
        <w:gridCol w:w="116"/>
        <w:gridCol w:w="1022"/>
        <w:gridCol w:w="82"/>
        <w:gridCol w:w="65"/>
        <w:gridCol w:w="116"/>
        <w:gridCol w:w="1213"/>
        <w:gridCol w:w="82"/>
      </w:tblGrid>
      <w:tr w:rsidR="00000000">
        <w:trPr>
          <w:divId w:val="1280212904"/>
        </w:trPr>
        <w:tc>
          <w:tcPr>
            <w:tcW w:w="3354" w:type="pct"/>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ASSETS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 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280212904"/>
        </w:trPr>
        <w:tc>
          <w:tcPr>
            <w:tcW w:w="3354" w:type="pct"/>
            <w:tcBorders>
              <w:top w:val="single" w:sz="6" w:space="0" w:color="000000"/>
            </w:tcBorders>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282,462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92,120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Restricted cash</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11,227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26,973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Accounts receivable, net of credit loss reserve of $6,148 and $3,217, respectively</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264,745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280,785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Prepaid expenses and other current assets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35,553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35,507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Total current assets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593,987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435,385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Real estate and related assets: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Property and equipment, net of accumulated depreciation of $1,554,233</w:t>
            </w:r>
          </w:p>
          <w:p w:rsidR="00000000" w:rsidRDefault="005F13FD">
            <w:pPr>
              <w:pStyle w:val="a3"/>
              <w:spacing w:before="0" w:beforeAutospacing="0" w:after="0" w:afterAutospacing="0"/>
              <w:rPr>
                <w:color w:val="000000"/>
                <w:sz w:val="20"/>
                <w:szCs w:val="20"/>
              </w:rPr>
            </w:pPr>
            <w:r>
              <w:rPr>
                <w:color w:val="000000"/>
                <w:sz w:val="20"/>
                <w:szCs w:val="20"/>
              </w:rPr>
              <w:t>       and $1,510,117, respectively</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2,703,475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2,700,107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Other real estate assets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230,067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238,637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48,569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50,537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Non-current deferred tax assets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11,583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16,058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453,522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350,907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Total assets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4,041,203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3,791,631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tcBorders>
              <w:bottom w:val="single" w:sz="6" w:space="0" w:color="000000"/>
            </w:tcBorders>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r>
      <w:tr w:rsidR="00000000">
        <w:trPr>
          <w:divId w:val="1280212904"/>
        </w:trPr>
        <w:tc>
          <w:tcPr>
            <w:tcW w:w="3354" w:type="pct"/>
            <w:tcBorders>
              <w:top w:val="single" w:sz="6" w:space="0" w:color="000000"/>
            </w:tcBorders>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Accounts payable and accrued expenses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278,732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337,462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Current portion of long-term debt</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38,644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31,349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Total current liabilities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317,376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368,811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Long-term debt, net</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2,043,692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1,928,023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Deferred revenue</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13,741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12,469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Other liabilities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230,402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105,579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Total liabilities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2,605,211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2,414,882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Commitments and contingencies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xml:space="preserve">Preferred stock – $0.01 par value; 50,000 </w:t>
            </w:r>
            <w:r>
              <w:rPr>
                <w:color w:val="000000"/>
                <w:sz w:val="20"/>
                <w:szCs w:val="20"/>
              </w:rPr>
              <w:t>shares authorized; none issued and outstanding</w:t>
            </w:r>
          </w:p>
          <w:p w:rsidR="00000000" w:rsidRDefault="005F13FD">
            <w:pPr>
              <w:pStyle w:val="a3"/>
              <w:spacing w:before="0" w:beforeAutospacing="0" w:after="0" w:afterAutospacing="0"/>
              <w:rPr>
                <w:color w:val="000000"/>
                <w:sz w:val="20"/>
                <w:szCs w:val="20"/>
              </w:rPr>
            </w:pPr>
            <w:r>
              <w:rPr>
                <w:color w:val="000000"/>
                <w:sz w:val="20"/>
                <w:szCs w:val="20"/>
              </w:rPr>
              <w:t>   at September 30, 2020 and December 31, 2019, respectively</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Common stock – $0.01 par value; 300,000 shares authorized; 119,634 and 119,096 shares</w:t>
            </w:r>
          </w:p>
          <w:p w:rsidR="00000000" w:rsidRDefault="005F13FD">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issued and outstanding at September 30, 2020 and December 31, 2019, respectively</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1,196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Additional paid-in capital</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1,831,241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1,821,810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Accumulated deficit</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(419,716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(446,252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28021290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Total stockholders' equity</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1,412,721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Non-controlling interest – operating partnership</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Total equity</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1,435,992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28021290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Total liabilities and equity</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4,041,203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3,791,631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5F13FD">
      <w:pPr>
        <w:pStyle w:val="a3"/>
        <w:spacing w:before="240" w:beforeAutospacing="0" w:after="0" w:afterAutospacing="0"/>
        <w:jc w:val="center"/>
        <w:rPr>
          <w:sz w:val="20"/>
          <w:szCs w:val="20"/>
        </w:rPr>
      </w:pPr>
      <w:r>
        <w:rPr>
          <w:sz w:val="20"/>
          <w:szCs w:val="20"/>
        </w:rPr>
        <w:t>1</w:t>
      </w:r>
    </w:p>
    <w:p w:rsidR="00000000" w:rsidRDefault="005F13FD">
      <w:pPr>
        <w:rPr>
          <w:rFonts w:eastAsia="Times New Roman"/>
        </w:rPr>
      </w:pPr>
      <w:r>
        <w:rPr>
          <w:rFonts w:eastAsia="Times New Roman"/>
        </w:rPr>
        <w:pict>
          <v:rect id="_x0000_i1027" style="width:0;height:1.5pt" o:hralign="center" o:hrstd="t" o:hr="t" fillcolor="#a0a0a0" stroked="f"/>
        </w:pict>
      </w:r>
    </w:p>
    <w:p w:rsidR="00000000" w:rsidRDefault="005F13FD">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5F13FD">
      <w:pPr>
        <w:pStyle w:val="a3"/>
        <w:spacing w:before="0" w:beforeAutospacing="0" w:after="0" w:afterAutospacing="0"/>
        <w:jc w:val="center"/>
        <w:rPr>
          <w:b/>
          <w:bCs/>
          <w:sz w:val="20"/>
          <w:szCs w:val="20"/>
        </w:rPr>
      </w:pPr>
      <w:r>
        <w:rPr>
          <w:b/>
          <w:bCs/>
          <w:sz w:val="20"/>
          <w:szCs w:val="20"/>
        </w:rPr>
        <w:t>CONSOLIDATED STATEMENTS OF OPERATIONS</w:t>
      </w:r>
    </w:p>
    <w:p w:rsidR="00000000" w:rsidRDefault="005F13FD">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5"/>
        <w:gridCol w:w="68"/>
        <w:gridCol w:w="115"/>
        <w:gridCol w:w="733"/>
        <w:gridCol w:w="82"/>
        <w:gridCol w:w="65"/>
        <w:gridCol w:w="115"/>
        <w:gridCol w:w="727"/>
        <w:gridCol w:w="82"/>
        <w:gridCol w:w="65"/>
        <w:gridCol w:w="115"/>
        <w:gridCol w:w="815"/>
        <w:gridCol w:w="82"/>
        <w:gridCol w:w="65"/>
        <w:gridCol w:w="115"/>
        <w:gridCol w:w="815"/>
        <w:gridCol w:w="82"/>
      </w:tblGrid>
      <w:tr w:rsidR="00000000">
        <w:trPr>
          <w:divId w:val="1670138503"/>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pPr>
            <w: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670138503"/>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670138503"/>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REVENUES</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468,266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508,522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1,432,008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1,482,880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EXPENSES:</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Operating</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347,927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368,735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1,063,169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1,060,246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lastRenderedPageBreak/>
              <w:t>General and administrative</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35,883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32,038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97,307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94,847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Depreciation and amortization</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37,865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36,654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114,436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107,768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Contingent consideration for acquisition of businesses</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Asset impairments</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805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13,058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4,706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423,100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437,427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1,288,590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1,267,567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OPERATING INCOME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45,166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71,095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143,418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215,313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OTHER (INCOME) EXPENSE:</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Interest expense, net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20,193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20,975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63,727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63,073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Other (income) expense</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(2,113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(360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(5,633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(614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670138503"/>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18,080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20,615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58,094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62,459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INCOME BEFORE INCOME TAXES</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27,086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50,480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85,324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152,854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Income tax expense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(369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r>
              <w:rPr>
                <w:color w:val="000000"/>
                <w:sz w:val="20"/>
                <w:szCs w:val="20"/>
              </w:rPr>
              <w:t>1,486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(3,183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(5,942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670138503"/>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NET INCOME</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26,717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48,994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82,141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146,912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Net income attributable to non-controlling interest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(1,181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NET INCOME ATTRIBUTABLE TO COMMON</w:t>
            </w:r>
          </w:p>
          <w:p w:rsidR="00000000" w:rsidRDefault="005F13FD">
            <w:pPr>
              <w:pStyle w:val="a3"/>
              <w:spacing w:before="0" w:beforeAutospacing="0" w:after="0" w:afterAutospacing="0"/>
              <w:rPr>
                <w:b/>
                <w:bCs/>
                <w:color w:val="000000"/>
                <w:sz w:val="20"/>
                <w:szCs w:val="20"/>
              </w:rPr>
            </w:pPr>
            <w:r>
              <w:rPr>
                <w:b/>
                <w:bCs/>
                <w:color w:val="000000"/>
                <w:sz w:val="20"/>
                <w:szCs w:val="20"/>
              </w:rPr>
              <w:t>      STOCKHOLDERS</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26,717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48,994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80,960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146,912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BASIC EARNINGS PER SHARE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0.22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0.68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1.23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70138503"/>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DILUTED EARNINGS PER SHARE</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0.22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0.68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1.23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0" w:beforeAutospacing="0" w:after="0" w:afterAutospacing="0"/>
        <w:jc w:val="center"/>
        <w:rPr>
          <w:sz w:val="20"/>
          <w:szCs w:val="20"/>
        </w:rPr>
      </w:pPr>
      <w:r>
        <w:rPr>
          <w:sz w:val="20"/>
          <w:szCs w:val="20"/>
        </w:rPr>
        <w:t> </w:t>
      </w:r>
    </w:p>
    <w:p w:rsidR="00000000" w:rsidRDefault="005F13FD">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5F13FD">
      <w:pPr>
        <w:pStyle w:val="a3"/>
        <w:spacing w:before="0" w:beforeAutospacing="0" w:after="0" w:afterAutospacing="0"/>
        <w:jc w:val="center"/>
        <w:rPr>
          <w:sz w:val="18"/>
          <w:szCs w:val="18"/>
        </w:rPr>
      </w:pPr>
      <w:r>
        <w:rPr>
          <w:sz w:val="18"/>
          <w:szCs w:val="18"/>
        </w:rPr>
        <w:t> </w:t>
      </w:r>
    </w:p>
    <w:p w:rsidR="00000000" w:rsidRDefault="005F13FD">
      <w:pPr>
        <w:pStyle w:val="a3"/>
        <w:spacing w:before="240" w:beforeAutospacing="0" w:after="0" w:afterAutospacing="0"/>
        <w:jc w:val="center"/>
        <w:rPr>
          <w:sz w:val="20"/>
          <w:szCs w:val="20"/>
        </w:rPr>
      </w:pPr>
      <w:r>
        <w:rPr>
          <w:sz w:val="20"/>
          <w:szCs w:val="20"/>
        </w:rPr>
        <w:t>2</w:t>
      </w:r>
    </w:p>
    <w:p w:rsidR="00000000" w:rsidRDefault="005F13FD">
      <w:pPr>
        <w:rPr>
          <w:rFonts w:eastAsia="Times New Roman"/>
        </w:rPr>
      </w:pPr>
      <w:r>
        <w:rPr>
          <w:rFonts w:eastAsia="Times New Roman"/>
        </w:rPr>
        <w:pict>
          <v:rect id="_x0000_i1028" style="width:0;height:1.5pt" o:hralign="center" o:hrstd="t" o:hr="t" fillcolor="#a0a0a0" stroked="f"/>
        </w:pict>
      </w:r>
    </w:p>
    <w:p w:rsidR="00000000" w:rsidRDefault="005F13FD">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5F13FD">
      <w:pPr>
        <w:pStyle w:val="a3"/>
        <w:spacing w:before="0" w:beforeAutospacing="0" w:after="0" w:afterAutospacing="0"/>
        <w:jc w:val="center"/>
        <w:rPr>
          <w:b/>
          <w:bCs/>
          <w:sz w:val="20"/>
          <w:szCs w:val="20"/>
        </w:rPr>
      </w:pPr>
      <w:r>
        <w:rPr>
          <w:b/>
          <w:bCs/>
          <w:sz w:val="20"/>
          <w:szCs w:val="20"/>
        </w:rPr>
        <w:t>CONSOLIDATED STATEMENTS OF CASH FLOWS</w:t>
      </w:r>
    </w:p>
    <w:p w:rsidR="00000000" w:rsidRDefault="005F13FD">
      <w:pPr>
        <w:pStyle w:val="a3"/>
        <w:spacing w:before="0" w:beforeAutospacing="0" w:after="0" w:afterAutospacing="0"/>
        <w:jc w:val="center"/>
        <w:rPr>
          <w:sz w:val="20"/>
          <w:szCs w:val="20"/>
        </w:rPr>
      </w:pPr>
      <w:r>
        <w:rPr>
          <w:sz w:val="20"/>
          <w:szCs w:val="20"/>
        </w:rPr>
        <w:t>(UNAUDITED AND AMOUNTS IN THOUSANDS)</w:t>
      </w:r>
    </w:p>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pPr>
            <w: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CASH FLOWS FROM OPERATING ACTIVITIES: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Net income</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82,141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146,912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Adjustments to reconcile net income to net cash provided by operating activities: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114,436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107,768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Asset impairments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13,058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4,706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Amortization of debt issuance costs and other non-cash interest</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4,136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2,566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Deferred income taxes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4,475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(4,004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Non-cash revenue and other income</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(7,673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(8,594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Non-cash equity compensation</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13,011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12,715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Other expenses and non-cash items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5,706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9,135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Changes in assets and liabilities, net:</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821"/>
              <w:rPr>
                <w:color w:val="000000"/>
                <w:sz w:val="20"/>
                <w:szCs w:val="20"/>
              </w:rPr>
            </w:pPr>
            <w:r>
              <w:rPr>
                <w:color w:val="000000"/>
                <w:sz w:val="20"/>
                <w:szCs w:val="20"/>
              </w:rPr>
              <w:t>Accounts receivable, prepaid expenses and other assets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15,179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(8,014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821"/>
              <w:rPr>
                <w:color w:val="000000"/>
                <w:sz w:val="20"/>
                <w:szCs w:val="20"/>
              </w:rPr>
            </w:pPr>
            <w:r>
              <w:rPr>
                <w:color w:val="000000"/>
                <w:sz w:val="20"/>
                <w:szCs w:val="20"/>
              </w:rPr>
              <w:t>Accounts payable, accrued expenses and other liabilities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36,519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41,110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821"/>
              <w:rPr>
                <w:color w:val="000000"/>
                <w:sz w:val="20"/>
                <w:szCs w:val="20"/>
              </w:rPr>
            </w:pPr>
            <w:r>
              <w:rPr>
                <w:color w:val="000000"/>
                <w:sz w:val="20"/>
                <w:szCs w:val="20"/>
              </w:rPr>
              <w:t>Income taxes payable</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525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(228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1094"/>
              <w:rPr>
                <w:color w:val="000000"/>
                <w:sz w:val="20"/>
                <w:szCs w:val="20"/>
              </w:rPr>
            </w:pPr>
            <w:r>
              <w:rPr>
                <w:color w:val="000000"/>
                <w:sz w:val="20"/>
                <w:szCs w:val="20"/>
              </w:rPr>
              <w:t>Net cash provided by operating activities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281,513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304,072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CASH FLOWS FROM INVESTING ACTIVITIES: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Expenditures for facility development and expansions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(26,566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(122,078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Expenditures for other capital improvements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(33,545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(35,635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Acquisitions, net of cash acquired</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(8,849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(39,290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Proceeds from sale of assets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13,321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4,291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lastRenderedPageBreak/>
              <w:t>Increase in other assets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(7,751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(5,342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1094"/>
              <w:rPr>
                <w:color w:val="000000"/>
                <w:sz w:val="20"/>
                <w:szCs w:val="20"/>
              </w:rPr>
            </w:pPr>
            <w:r>
              <w:rPr>
                <w:color w:val="000000"/>
                <w:sz w:val="20"/>
                <w:szCs w:val="20"/>
              </w:rPr>
              <w:t>Net cash used in investing activities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(63,390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(198,054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CASH FLOWS FROM FINANCING ACTIVITIES: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Proceeds from issuance of debt and borrowings from credit facility</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374,000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428,564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Scheduled principal repayments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(23,669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(9,937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Principal repayments of credit facility</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(283,000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(358,000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Payment of debt issuance and other refinancing and related costs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(903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Payment of lease obligations for financing leases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(407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Contingent consideration for acquisition of businesses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(7,398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Dividends paid</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(105,973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(157,133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Purchase and retirement of common stock</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(3,575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(3,530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Proceeds from exercise of stock options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875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1094"/>
              <w:rPr>
                <w:color w:val="000000"/>
                <w:sz w:val="20"/>
                <w:szCs w:val="20"/>
              </w:rPr>
            </w:pPr>
            <w:r>
              <w:rPr>
                <w:color w:val="000000"/>
                <w:sz w:val="20"/>
                <w:szCs w:val="20"/>
              </w:rPr>
              <w:t>Net cash used in financing activities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(43,527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(107,077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NET INCREASE (DECREASE) IN CASH, CASH EQUIVALENTS AND</w:t>
            </w:r>
          </w:p>
          <w:p w:rsidR="00000000" w:rsidRDefault="005F13FD">
            <w:pPr>
              <w:pStyle w:val="a3"/>
              <w:spacing w:before="0" w:beforeAutospacing="0" w:after="0" w:afterAutospacing="0"/>
              <w:rPr>
                <w:b/>
                <w:bCs/>
                <w:color w:val="000000"/>
                <w:sz w:val="20"/>
                <w:szCs w:val="20"/>
              </w:rPr>
            </w:pPr>
            <w:r>
              <w:rPr>
                <w:b/>
                <w:bCs/>
                <w:color w:val="000000"/>
                <w:sz w:val="20"/>
                <w:szCs w:val="20"/>
              </w:rPr>
              <w:t>     RESTRICTED CASH</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174,596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(1,059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CASH, CASH EQUIVALENTS AND RESTRICTED CASH, beginning of period</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119,093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74,137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CASH, CASH EQUIVALENTS AND RESTRICTED CASH, end of period</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293,689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73,078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Debt assumed on acquisition of property portfolio</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52,217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w:t>
            </w:r>
            <w:r>
              <w:rPr>
                <w:color w:val="000000"/>
                <w:sz w:val="20"/>
                <w:szCs w:val="20"/>
              </w:rPr>
              <w:t>Establishment of right of use assets and lease liabilities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116,092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104,720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Cash paid during the period for:</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Interest (net of amounts capitalized of $0.5 million and $4.3 million in 2020 and</w:t>
            </w:r>
          </w:p>
          <w:p w:rsidR="00000000" w:rsidRDefault="005F13FD">
            <w:pPr>
              <w:pStyle w:val="a3"/>
              <w:spacing w:before="0" w:beforeAutospacing="0" w:after="0" w:afterAutospacing="0"/>
              <w:ind w:left="547"/>
              <w:rPr>
                <w:color w:val="000000"/>
                <w:sz w:val="20"/>
                <w:szCs w:val="20"/>
              </w:rPr>
            </w:pPr>
            <w:r>
              <w:rPr>
                <w:color w:val="000000"/>
                <w:sz w:val="20"/>
                <w:szCs w:val="20"/>
              </w:rPr>
              <w:t>    2019, respectively)</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56,430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47,937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4485708"/>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Income taxes paid</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1,252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12,253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jc w:val="center"/>
        <w:rPr>
          <w:sz w:val="20"/>
          <w:szCs w:val="20"/>
        </w:rPr>
      </w:pPr>
      <w:r>
        <w:rPr>
          <w:sz w:val="20"/>
          <w:szCs w:val="20"/>
        </w:rPr>
        <w:t> </w:t>
      </w:r>
    </w:p>
    <w:p w:rsidR="00000000" w:rsidRDefault="005F13FD">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5F13FD">
      <w:pPr>
        <w:pStyle w:val="a3"/>
        <w:spacing w:before="0" w:beforeAutospacing="0" w:after="0" w:afterAutospacing="0"/>
        <w:jc w:val="center"/>
        <w:rPr>
          <w:sz w:val="18"/>
          <w:szCs w:val="18"/>
        </w:rPr>
      </w:pPr>
      <w:r>
        <w:rPr>
          <w:sz w:val="18"/>
          <w:szCs w:val="18"/>
        </w:rPr>
        <w:t> </w:t>
      </w:r>
    </w:p>
    <w:p w:rsidR="00000000" w:rsidRDefault="005F13FD">
      <w:pPr>
        <w:pStyle w:val="a3"/>
        <w:spacing w:before="240" w:beforeAutospacing="0" w:after="0" w:afterAutospacing="0"/>
        <w:jc w:val="center"/>
        <w:rPr>
          <w:sz w:val="20"/>
          <w:szCs w:val="20"/>
        </w:rPr>
      </w:pPr>
      <w:r>
        <w:rPr>
          <w:sz w:val="20"/>
          <w:szCs w:val="20"/>
        </w:rPr>
        <w:t>3</w:t>
      </w:r>
    </w:p>
    <w:p w:rsidR="00000000" w:rsidRDefault="005F13FD">
      <w:pPr>
        <w:rPr>
          <w:rFonts w:eastAsia="Times New Roman"/>
        </w:rPr>
      </w:pPr>
      <w:r>
        <w:rPr>
          <w:rFonts w:eastAsia="Times New Roman"/>
        </w:rPr>
        <w:pict>
          <v:rect id="_x0000_i1029"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0" w:beforeAutospacing="0" w:after="0" w:afterAutospacing="0"/>
        <w:jc w:val="center"/>
        <w:rPr>
          <w:b/>
          <w:bCs/>
          <w:sz w:val="20"/>
          <w:szCs w:val="20"/>
        </w:rPr>
      </w:pPr>
      <w:r>
        <w:rPr>
          <w:b/>
          <w:bCs/>
          <w:sz w:val="20"/>
          <w:szCs w:val="20"/>
        </w:rPr>
        <w:t>CORECIVIC, INC. AND SUBSIDIARIES</w:t>
      </w:r>
    </w:p>
    <w:p w:rsidR="00000000" w:rsidRDefault="005F13FD">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5F13FD">
      <w:pPr>
        <w:pStyle w:val="a3"/>
        <w:spacing w:before="0" w:beforeAutospacing="0" w:after="0" w:afterAutospacing="0"/>
        <w:jc w:val="center"/>
        <w:rPr>
          <w:b/>
          <w:bCs/>
          <w:sz w:val="20"/>
          <w:szCs w:val="20"/>
        </w:rPr>
      </w:pPr>
      <w:r>
        <w:rPr>
          <w:b/>
          <w:bCs/>
          <w:sz w:val="20"/>
          <w:szCs w:val="20"/>
        </w:rPr>
        <w:t>FOR THE QUARTERLY PERIODS ENDED SEPTEMBER 30, 2020</w:t>
      </w:r>
    </w:p>
    <w:p w:rsidR="00000000" w:rsidRDefault="005F13FD">
      <w:pPr>
        <w:pStyle w:val="a3"/>
        <w:spacing w:before="0" w:beforeAutospacing="0" w:after="0" w:afterAutospacing="0"/>
        <w:jc w:val="center"/>
        <w:rPr>
          <w:sz w:val="20"/>
          <w:szCs w:val="20"/>
        </w:rPr>
      </w:pPr>
      <w:r>
        <w:rPr>
          <w:sz w:val="20"/>
          <w:szCs w:val="20"/>
        </w:rPr>
        <w:t>(UNAUDITED AND AMOUNTS IN THOUSANDS)</w:t>
      </w:r>
    </w:p>
    <w:p w:rsidR="00000000" w:rsidRDefault="005F13FD">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402"/>
        <w:gridCol w:w="65"/>
        <w:gridCol w:w="65"/>
        <w:gridCol w:w="665"/>
        <w:gridCol w:w="82"/>
        <w:gridCol w:w="65"/>
        <w:gridCol w:w="115"/>
        <w:gridCol w:w="465"/>
        <w:gridCol w:w="82"/>
        <w:gridCol w:w="65"/>
        <w:gridCol w:w="115"/>
        <w:gridCol w:w="815"/>
        <w:gridCol w:w="82"/>
        <w:gridCol w:w="65"/>
        <w:gridCol w:w="130"/>
        <w:gridCol w:w="792"/>
        <w:gridCol w:w="82"/>
        <w:gridCol w:w="65"/>
        <w:gridCol w:w="132"/>
        <w:gridCol w:w="817"/>
        <w:gridCol w:w="82"/>
        <w:gridCol w:w="65"/>
        <w:gridCol w:w="117"/>
        <w:gridCol w:w="717"/>
        <w:gridCol w:w="82"/>
        <w:gridCol w:w="65"/>
        <w:gridCol w:w="115"/>
        <w:gridCol w:w="815"/>
        <w:gridCol w:w="82"/>
      </w:tblGrid>
      <w:tr w:rsidR="00000000">
        <w:trPr>
          <w:divId w:val="986010318"/>
        </w:trPr>
        <w:tc>
          <w:tcPr>
            <w:tcW w:w="184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pPr>
            <w: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163"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Non-controlling</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5F13FD">
        <w:trPr>
          <w:divId w:val="986010318"/>
        </w:trPr>
        <w:tc>
          <w:tcPr>
            <w:tcW w:w="184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Interest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986010318"/>
        </w:trPr>
        <w:tc>
          <w:tcPr>
            <w:tcW w:w="184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Operating</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986010318"/>
        </w:trPr>
        <w:tc>
          <w:tcPr>
            <w:tcW w:w="184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3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4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Partnership</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5F13FD">
        <w:trPr>
          <w:divId w:val="986010318"/>
        </w:trPr>
        <w:tc>
          <w:tcPr>
            <w:tcW w:w="184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Balance as of December 31, 2019</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1,821,810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(446,252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Net income</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32,057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32,057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33,238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Retirement of common stock</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(3,558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(3,560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r>
              <w:rPr>
                <w:color w:val="000000"/>
                <w:sz w:val="20"/>
                <w:szCs w:val="20"/>
              </w:rPr>
              <w:t>3,560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5F13FD">
        <w:trPr>
          <w:divId w:val="986010318"/>
        </w:trPr>
        <w:tc>
          <w:tcPr>
            <w:tcW w:w="184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Dividends declared on common stock</w:t>
            </w:r>
          </w:p>
          <w:p w:rsidR="00000000" w:rsidRDefault="005F13FD">
            <w:pPr>
              <w:pStyle w:val="a3"/>
              <w:spacing w:before="0" w:beforeAutospacing="0" w:after="0" w:afterAutospacing="0"/>
              <w:rPr>
                <w:color w:val="000000"/>
                <w:sz w:val="20"/>
                <w:szCs w:val="20"/>
              </w:rPr>
            </w:pPr>
            <w:r>
              <w:rPr>
                <w:color w:val="000000"/>
                <w:sz w:val="20"/>
                <w:szCs w:val="20"/>
              </w:rPr>
              <w:lastRenderedPageBreak/>
              <w:t>   ($0.44 per share)</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lastRenderedPageBreak/>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5F13FD">
        <w:trPr>
          <w:divId w:val="986010318"/>
        </w:trPr>
        <w:tc>
          <w:tcPr>
            <w:tcW w:w="184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Restricted stock compensation, net of forfeitures</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Restricted stock grants</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740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Cumulative effect of adoption of new</w:t>
            </w:r>
          </w:p>
          <w:p w:rsidR="00000000" w:rsidRDefault="005F13FD">
            <w:pPr>
              <w:pStyle w:val="a3"/>
              <w:spacing w:before="0" w:beforeAutospacing="0" w:after="0" w:afterAutospacing="0"/>
              <w:rPr>
                <w:color w:val="000000"/>
                <w:sz w:val="20"/>
                <w:szCs w:val="20"/>
              </w:rPr>
            </w:pPr>
            <w:r>
              <w:rPr>
                <w:color w:val="000000"/>
                <w:sz w:val="20"/>
                <w:szCs w:val="20"/>
              </w:rPr>
              <w:t>   accounting standard</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5F13FD">
        <w:trPr>
          <w:divId w:val="986010318"/>
        </w:trPr>
        <w:tc>
          <w:tcPr>
            <w:tcW w:w="184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Contributions to operating partnership</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Distributions to non-controlling interest</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5F13FD">
        <w:trPr>
          <w:divId w:val="986010318"/>
        </w:trPr>
        <w:tc>
          <w:tcPr>
            <w:tcW w:w="184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Balance as of March 31, 2020</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119,629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1,822,855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(468,646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1,355,405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1,378,676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Net income</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Restricted stock compensation, net of forfeitures</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4,319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4,319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4,319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Restricted stock grants</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Balance as of June 30, 2020</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119,631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1,827,174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(446,460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1,381,910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1,405,181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Net income</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26,717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26,717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26,717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Retirement of common stock</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5F13FD">
        <w:trPr>
          <w:divId w:val="986010318"/>
        </w:trPr>
        <w:tc>
          <w:tcPr>
            <w:tcW w:w="184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Reductions in dividends on RSUs</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Restricted stock compensation, net of forfeitures</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4,082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4,082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4,082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Restricted stock grants</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986010318"/>
        </w:trPr>
        <w:tc>
          <w:tcPr>
            <w:tcW w:w="184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Balance as of September 30, 2020</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2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119,634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36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1,196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1,831,241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(419,716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1,412,721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1,435,992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
                <w:szCs w:val="2"/>
              </w:rPr>
            </w:pPr>
            <w:r>
              <w:rPr>
                <w:b/>
                <w:bCs/>
                <w:color w:val="000000"/>
                <w:sz w:val="2"/>
                <w:szCs w:val="2"/>
              </w:rPr>
              <w:t> </w:t>
            </w:r>
          </w:p>
        </w:tc>
      </w:tr>
    </w:tbl>
    <w:p w:rsidR="00000000" w:rsidRDefault="005F13FD">
      <w:pPr>
        <w:pStyle w:val="a3"/>
        <w:spacing w:before="0" w:beforeAutospacing="0" w:after="0" w:afterAutospacing="0"/>
        <w:rPr>
          <w:b/>
          <w:bCs/>
          <w:sz w:val="20"/>
          <w:szCs w:val="20"/>
        </w:rPr>
      </w:pPr>
      <w:r>
        <w:rPr>
          <w:b/>
          <w:bCs/>
          <w:sz w:val="20"/>
          <w:szCs w:val="20"/>
        </w:rPr>
        <w:t> </w:t>
      </w:r>
    </w:p>
    <w:p w:rsidR="00000000" w:rsidRDefault="005F13FD">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center"/>
        <w:rPr>
          <w:sz w:val="20"/>
          <w:szCs w:val="20"/>
        </w:rPr>
      </w:pPr>
      <w:r>
        <w:rPr>
          <w:sz w:val="20"/>
          <w:szCs w:val="20"/>
        </w:rPr>
        <w:t>4</w:t>
      </w:r>
    </w:p>
    <w:p w:rsidR="00000000" w:rsidRDefault="005F13FD">
      <w:pPr>
        <w:rPr>
          <w:rFonts w:eastAsia="Times New Roman"/>
        </w:rPr>
      </w:pPr>
      <w:r>
        <w:rPr>
          <w:rFonts w:eastAsia="Times New Roman"/>
        </w:rPr>
        <w:pict>
          <v:rect id="_x0000_i1030"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0" w:beforeAutospacing="0" w:after="0" w:afterAutospacing="0"/>
        <w:jc w:val="center"/>
        <w:rPr>
          <w:b/>
          <w:bCs/>
          <w:sz w:val="20"/>
          <w:szCs w:val="20"/>
        </w:rPr>
      </w:pPr>
      <w:r>
        <w:rPr>
          <w:b/>
          <w:bCs/>
          <w:sz w:val="20"/>
          <w:szCs w:val="20"/>
        </w:rPr>
        <w:t>CORECIVIC, INC. AND SUBSIDIARIES</w:t>
      </w:r>
    </w:p>
    <w:p w:rsidR="00000000" w:rsidRDefault="005F13FD">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5F13FD">
      <w:pPr>
        <w:pStyle w:val="a3"/>
        <w:spacing w:before="0" w:beforeAutospacing="0" w:after="0" w:afterAutospacing="0"/>
        <w:jc w:val="center"/>
        <w:rPr>
          <w:b/>
          <w:bCs/>
          <w:sz w:val="20"/>
          <w:szCs w:val="20"/>
        </w:rPr>
      </w:pPr>
      <w:r>
        <w:rPr>
          <w:b/>
          <w:bCs/>
          <w:sz w:val="20"/>
          <w:szCs w:val="20"/>
        </w:rPr>
        <w:t>FOR THE QUARTERLY PERIODS ENDED SEPTEMBER 30, 2019</w:t>
      </w:r>
    </w:p>
    <w:p w:rsidR="00000000" w:rsidRDefault="005F13FD">
      <w:pPr>
        <w:pStyle w:val="a3"/>
        <w:spacing w:before="0" w:beforeAutospacing="0" w:after="0" w:afterAutospacing="0"/>
        <w:jc w:val="center"/>
        <w:rPr>
          <w:sz w:val="20"/>
          <w:szCs w:val="20"/>
        </w:rPr>
      </w:pPr>
      <w:r>
        <w:rPr>
          <w:sz w:val="20"/>
          <w:szCs w:val="20"/>
        </w:rPr>
        <w:t>(UNAUDITED AND AMOUNTS IN THOUSANDS)</w:t>
      </w:r>
    </w:p>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39"/>
        <w:gridCol w:w="65"/>
        <w:gridCol w:w="65"/>
        <w:gridCol w:w="665"/>
        <w:gridCol w:w="82"/>
        <w:gridCol w:w="65"/>
        <w:gridCol w:w="115"/>
        <w:gridCol w:w="465"/>
        <w:gridCol w:w="82"/>
        <w:gridCol w:w="65"/>
        <w:gridCol w:w="115"/>
        <w:gridCol w:w="815"/>
        <w:gridCol w:w="82"/>
        <w:gridCol w:w="65"/>
        <w:gridCol w:w="116"/>
        <w:gridCol w:w="818"/>
        <w:gridCol w:w="82"/>
        <w:gridCol w:w="65"/>
        <w:gridCol w:w="116"/>
        <w:gridCol w:w="842"/>
        <w:gridCol w:w="82"/>
      </w:tblGrid>
      <w:tr w:rsidR="00000000">
        <w:trPr>
          <w:divId w:val="1980302283"/>
        </w:trPr>
        <w:tc>
          <w:tcPr>
            <w:tcW w:w="224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pPr>
            <w: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980302283"/>
        </w:trPr>
        <w:tc>
          <w:tcPr>
            <w:tcW w:w="224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9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980302283"/>
        </w:trPr>
        <w:tc>
          <w:tcPr>
            <w:tcW w:w="224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980302283"/>
        </w:trPr>
        <w:tc>
          <w:tcPr>
            <w:tcW w:w="224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Balance as of December 31, 2018</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118,674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1,187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1,807,202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(393,330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0302283"/>
        </w:trPr>
        <w:tc>
          <w:tcPr>
            <w:tcW w:w="224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Net income</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0302283"/>
        </w:trPr>
        <w:tc>
          <w:tcPr>
            <w:tcW w:w="224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Retirement of common stock</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(3,069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(3,070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980302283"/>
        </w:trPr>
        <w:tc>
          <w:tcPr>
            <w:tcW w:w="224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Dividends declared on common stock</w:t>
            </w:r>
          </w:p>
          <w:p w:rsidR="00000000" w:rsidRDefault="005F13FD">
            <w:pPr>
              <w:pStyle w:val="a3"/>
              <w:spacing w:before="0" w:beforeAutospacing="0" w:after="0" w:afterAutospacing="0"/>
              <w:rPr>
                <w:color w:val="000000"/>
                <w:sz w:val="20"/>
                <w:szCs w:val="20"/>
              </w:rPr>
            </w:pPr>
            <w:r>
              <w:rPr>
                <w:color w:val="000000"/>
                <w:sz w:val="20"/>
                <w:szCs w:val="20"/>
              </w:rPr>
              <w:t>    ($0.44 per share)</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(52,994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(52,994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980302283"/>
        </w:trPr>
        <w:tc>
          <w:tcPr>
            <w:tcW w:w="224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Restricted stock compensation, net of forfeitures</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3,812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3,812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0302283"/>
        </w:trPr>
        <w:tc>
          <w:tcPr>
            <w:tcW w:w="224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Restricted stock grants</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521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0302283"/>
        </w:trPr>
        <w:tc>
          <w:tcPr>
            <w:tcW w:w="224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Stock options exercised</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0302283"/>
        </w:trPr>
        <w:tc>
          <w:tcPr>
            <w:tcW w:w="224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Cumulative effect of adoption of new</w:t>
            </w:r>
          </w:p>
          <w:p w:rsidR="00000000" w:rsidRDefault="005F13FD">
            <w:pPr>
              <w:pStyle w:val="a3"/>
              <w:spacing w:before="0" w:beforeAutospacing="0" w:after="0" w:afterAutospacing="0"/>
              <w:rPr>
                <w:color w:val="000000"/>
                <w:sz w:val="20"/>
                <w:szCs w:val="20"/>
              </w:rPr>
            </w:pPr>
            <w:r>
              <w:rPr>
                <w:color w:val="000000"/>
                <w:sz w:val="20"/>
                <w:szCs w:val="20"/>
              </w:rPr>
              <w:t>   accounting standard</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980302283"/>
        </w:trPr>
        <w:tc>
          <w:tcPr>
            <w:tcW w:w="224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Balance as of March 31, 2019</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119,068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1,808,147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(426,924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1,382,414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0302283"/>
        </w:trPr>
        <w:tc>
          <w:tcPr>
            <w:tcW w:w="224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Net income</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0302283"/>
        </w:trPr>
        <w:tc>
          <w:tcPr>
            <w:tcW w:w="224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Retirement of common stock</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(460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(460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980302283"/>
        </w:trPr>
        <w:tc>
          <w:tcPr>
            <w:tcW w:w="224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Dividends declared on common stock ($0.44 per</w:t>
            </w:r>
          </w:p>
          <w:p w:rsidR="00000000" w:rsidRDefault="005F13FD">
            <w:pPr>
              <w:pStyle w:val="a3"/>
              <w:spacing w:before="0" w:beforeAutospacing="0" w:after="0" w:afterAutospacing="0"/>
              <w:rPr>
                <w:color w:val="000000"/>
                <w:sz w:val="20"/>
                <w:szCs w:val="20"/>
              </w:rPr>
            </w:pPr>
            <w:r>
              <w:rPr>
                <w:color w:val="000000"/>
                <w:sz w:val="20"/>
                <w:szCs w:val="20"/>
              </w:rPr>
              <w:t>   share)</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(52,865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(52,865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980302283"/>
        </w:trPr>
        <w:tc>
          <w:tcPr>
            <w:tcW w:w="224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Restricted stock compensation, net of forfeitures</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4,256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4,256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0302283"/>
        </w:trPr>
        <w:tc>
          <w:tcPr>
            <w:tcW w:w="224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Restricted stock grants</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0302283"/>
        </w:trPr>
        <w:tc>
          <w:tcPr>
            <w:tcW w:w="224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Stock options exercised</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668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668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0302283"/>
        </w:trPr>
        <w:tc>
          <w:tcPr>
            <w:tcW w:w="224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Balance as of June 30, 2019</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1,812,611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(431,211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1,382,591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0302283"/>
        </w:trPr>
        <w:tc>
          <w:tcPr>
            <w:tcW w:w="224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Net income</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48,994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48,994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0302283"/>
        </w:trPr>
        <w:tc>
          <w:tcPr>
            <w:tcW w:w="224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Dividends declared on common stock ($0.44 per</w:t>
            </w:r>
          </w:p>
          <w:p w:rsidR="00000000" w:rsidRDefault="005F13FD">
            <w:pPr>
              <w:pStyle w:val="a3"/>
              <w:spacing w:before="0" w:beforeAutospacing="0" w:after="0" w:afterAutospacing="0"/>
              <w:rPr>
                <w:color w:val="000000"/>
                <w:sz w:val="20"/>
                <w:szCs w:val="20"/>
              </w:rPr>
            </w:pPr>
            <w:r>
              <w:rPr>
                <w:color w:val="000000"/>
                <w:sz w:val="20"/>
                <w:szCs w:val="20"/>
              </w:rPr>
              <w:t>   share)</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r>
              <w:rPr>
                <w:color w:val="000000"/>
                <w:sz w:val="20"/>
                <w:szCs w:val="20"/>
              </w:rPr>
              <w:t>53,031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(53,031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980302283"/>
        </w:trPr>
        <w:tc>
          <w:tcPr>
            <w:tcW w:w="224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Restricted stock compensation, net of forfeitures</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4,647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4,647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0302283"/>
        </w:trPr>
        <w:tc>
          <w:tcPr>
            <w:tcW w:w="224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Balance as of September 30, 2019</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1,817,258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(435,248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1,383,201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5F13FD">
      <w:pPr>
        <w:pStyle w:val="a3"/>
        <w:spacing w:before="0" w:beforeAutospacing="0" w:after="0" w:afterAutospacing="0"/>
        <w:jc w:val="center"/>
        <w:rPr>
          <w:sz w:val="18"/>
          <w:szCs w:val="18"/>
        </w:rPr>
      </w:pPr>
      <w:r>
        <w:rPr>
          <w:sz w:val="18"/>
          <w:szCs w:val="18"/>
        </w:rPr>
        <w:t> </w:t>
      </w:r>
    </w:p>
    <w:p w:rsidR="00000000" w:rsidRDefault="005F13FD">
      <w:pPr>
        <w:pStyle w:val="a3"/>
        <w:spacing w:before="240" w:beforeAutospacing="0" w:after="0" w:afterAutospacing="0"/>
        <w:jc w:val="center"/>
        <w:rPr>
          <w:sz w:val="20"/>
          <w:szCs w:val="20"/>
        </w:rPr>
      </w:pPr>
      <w:r>
        <w:rPr>
          <w:sz w:val="20"/>
          <w:szCs w:val="20"/>
        </w:rPr>
        <w:t>5</w:t>
      </w:r>
    </w:p>
    <w:p w:rsidR="00000000" w:rsidRDefault="005F13FD">
      <w:pPr>
        <w:rPr>
          <w:rFonts w:eastAsia="Times New Roman"/>
        </w:rPr>
      </w:pPr>
      <w:r>
        <w:rPr>
          <w:rFonts w:eastAsia="Times New Roman"/>
        </w:rPr>
        <w:pict>
          <v:rect id="_x0000_i1031"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0" w:beforeAutospacing="0" w:after="0" w:afterAutospacing="0"/>
        <w:jc w:val="center"/>
        <w:rPr>
          <w:b/>
          <w:bCs/>
          <w:sz w:val="20"/>
          <w:szCs w:val="20"/>
        </w:rPr>
      </w:pPr>
      <w:r>
        <w:rPr>
          <w:b/>
          <w:bCs/>
          <w:sz w:val="20"/>
          <w:szCs w:val="20"/>
        </w:rPr>
        <w:t>CORECIVIC, INC. AND SUBSIDIARIES</w:t>
      </w:r>
    </w:p>
    <w:p w:rsidR="00000000" w:rsidRDefault="005F13FD">
      <w:pPr>
        <w:pStyle w:val="a3"/>
        <w:spacing w:before="0" w:beforeAutospacing="0" w:after="0" w:afterAutospacing="0"/>
        <w:jc w:val="center"/>
        <w:rPr>
          <w:sz w:val="20"/>
          <w:szCs w:val="20"/>
        </w:rPr>
      </w:pPr>
      <w:r>
        <w:rPr>
          <w:sz w:val="20"/>
          <w:szCs w:val="20"/>
        </w:rPr>
        <w:t> </w:t>
      </w:r>
    </w:p>
    <w:p w:rsidR="00000000" w:rsidRDefault="005F13FD">
      <w:pPr>
        <w:pStyle w:val="a3"/>
        <w:spacing w:before="0" w:beforeAutospacing="0" w:after="0" w:afterAutospacing="0"/>
        <w:jc w:val="center"/>
        <w:rPr>
          <w:b/>
          <w:bCs/>
          <w:sz w:val="20"/>
          <w:szCs w:val="20"/>
        </w:rPr>
      </w:pPr>
      <w:r>
        <w:rPr>
          <w:b/>
          <w:bCs/>
          <w:sz w:val="20"/>
          <w:szCs w:val="20"/>
        </w:rPr>
        <w:t>NOTES TO CONSOLIDATED FINANCIAL STATEMENTS (UNAUDITED)</w:t>
      </w:r>
    </w:p>
    <w:p w:rsidR="00000000" w:rsidRDefault="005F13FD">
      <w:pPr>
        <w:pStyle w:val="a3"/>
        <w:spacing w:before="0" w:beforeAutospacing="0" w:after="0" w:afterAutospacing="0"/>
        <w:jc w:val="center"/>
        <w:rPr>
          <w:sz w:val="20"/>
          <w:szCs w:val="20"/>
        </w:rPr>
      </w:pPr>
      <w:r>
        <w:rPr>
          <w:sz w:val="20"/>
          <w:szCs w:val="20"/>
        </w:rPr>
        <w:t> </w:t>
      </w:r>
    </w:p>
    <w:p w:rsidR="00000000" w:rsidRDefault="005F13FD">
      <w:pPr>
        <w:pStyle w:val="a3"/>
        <w:spacing w:before="0" w:beforeAutospacing="0" w:after="0" w:afterAutospacing="0"/>
        <w:jc w:val="center"/>
        <w:rPr>
          <w:b/>
          <w:bCs/>
          <w:sz w:val="20"/>
          <w:szCs w:val="20"/>
        </w:rPr>
      </w:pPr>
      <w:r>
        <w:rPr>
          <w:b/>
          <w:bCs/>
          <w:sz w:val="20"/>
          <w:szCs w:val="20"/>
        </w:rPr>
        <w:t>SEPTEMBER 30, 2020</w:t>
      </w:r>
    </w:p>
    <w:p w:rsidR="00000000" w:rsidRDefault="005F13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138183782"/>
        </w:trPr>
        <w:tc>
          <w:tcPr>
            <w:tcW w:w="227" w:type="pct"/>
            <w:noWrap/>
            <w:hideMark/>
          </w:tcPr>
          <w:p w:rsidR="00000000" w:rsidRDefault="005F13FD">
            <w:pPr>
              <w:pStyle w:val="a3"/>
              <w:spacing w:before="0" w:beforeAutospacing="0" w:after="0" w:afterAutospacing="0"/>
              <w:jc w:val="both"/>
              <w:rPr>
                <w:b/>
                <w:bCs/>
                <w:sz w:val="20"/>
                <w:szCs w:val="20"/>
              </w:rPr>
            </w:pPr>
            <w:r>
              <w:rPr>
                <w:b/>
                <w:bCs/>
                <w:sz w:val="20"/>
                <w:szCs w:val="20"/>
              </w:rPr>
              <w:t>1.</w:t>
            </w:r>
          </w:p>
        </w:tc>
        <w:tc>
          <w:tcPr>
            <w:tcW w:w="0" w:type="auto"/>
            <w:hideMark/>
          </w:tcPr>
          <w:p w:rsidR="00000000" w:rsidRDefault="005F13FD">
            <w:pPr>
              <w:pStyle w:val="a3"/>
              <w:spacing w:before="0" w:beforeAutospacing="0" w:after="0" w:afterAutospacing="0"/>
              <w:jc w:val="both"/>
              <w:rPr>
                <w:b/>
                <w:bCs/>
                <w:sz w:val="20"/>
                <w:szCs w:val="20"/>
              </w:rPr>
            </w:pPr>
            <w:r>
              <w:rPr>
                <w:b/>
                <w:bCs/>
                <w:sz w:val="20"/>
                <w:szCs w:val="20"/>
              </w:rPr>
              <w:t>ORGANIZATION AND OPERATIONS</w:t>
            </w:r>
          </w:p>
        </w:tc>
      </w:tr>
    </w:tbl>
    <w:p w:rsidR="00000000" w:rsidRDefault="005F13FD">
      <w:pPr>
        <w:pStyle w:val="a3"/>
        <w:spacing w:before="120" w:beforeAutospacing="0" w:after="0" w:afterAutospacing="0"/>
        <w:ind w:left="476"/>
        <w:jc w:val="both"/>
        <w:rPr>
          <w:sz w:val="20"/>
          <w:szCs w:val="20"/>
        </w:rPr>
      </w:pPr>
      <w:r>
        <w:rPr>
          <w:sz w:val="20"/>
          <w:szCs w:val="20"/>
        </w:rPr>
        <w:t>CoreCivic, Inc. (together with its subsidiaries, the "Company" or "CoreCi</w:t>
      </w:r>
      <w:r>
        <w:rPr>
          <w:sz w:val="20"/>
          <w:szCs w:val="20"/>
        </w:rPr>
        <w:t>vic") is the nation's largest owner of partnership correctional, detention, and residential reentry facilities and one of the largest prison operators in the United States.  The Company also believes it is the largest private owner of real estate used by U</w:t>
      </w:r>
      <w:r>
        <w:rPr>
          <w:sz w:val="20"/>
          <w:szCs w:val="20"/>
        </w:rPr>
        <w:t>.S. government agencies. Through three segments, CoreCivic Safety, CoreCivic Community, and CoreCivic Properties, the Company provides a broad range of solutions to government partners that serve the public good through corrections and detention management</w:t>
      </w:r>
      <w:r>
        <w:rPr>
          <w:sz w:val="20"/>
          <w:szCs w:val="20"/>
        </w:rPr>
        <w:t>, a network of residential reentry centers to help address America's recidivism crisis, and government real estate solutions.  As of September 30, 2020, through its CoreCivic Safety segment, the Company operated 49 correctional and detention facilities, 42</w:t>
      </w:r>
      <w:r>
        <w:rPr>
          <w:sz w:val="20"/>
          <w:szCs w:val="20"/>
        </w:rPr>
        <w:t xml:space="preserve"> of which the Company owned, with a total design capacity of approximately 72,000 beds.  Through its CoreCivic Community segment, the Company owned and operated 27 residential reentry centers with a total design capacity of approximately 5,000 beds.  In ad</w:t>
      </w:r>
      <w:r>
        <w:rPr>
          <w:sz w:val="20"/>
          <w:szCs w:val="20"/>
        </w:rPr>
        <w:t>dition, through its CoreCivic Properties segment, the Company owned 57 properties for lease to third parties and used by government agencies, totaling</w:t>
      </w:r>
      <w:r>
        <w:rPr>
          <w:sz w:val="20"/>
          <w:szCs w:val="20"/>
        </w:rPr>
        <w:t xml:space="preserve"> </w:t>
      </w:r>
      <w:r>
        <w:rPr>
          <w:sz w:val="20"/>
          <w:szCs w:val="20"/>
        </w:rPr>
        <w:t>3.3 millio</w:t>
      </w:r>
      <w:r>
        <w:rPr>
          <w:sz w:val="20"/>
          <w:szCs w:val="20"/>
        </w:rPr>
        <w:t>n</w:t>
      </w:r>
      <w:r>
        <w:rPr>
          <w:sz w:val="20"/>
          <w:szCs w:val="20"/>
        </w:rPr>
        <w:t xml:space="preserve"> square feet. </w:t>
      </w:r>
    </w:p>
    <w:p w:rsidR="00000000" w:rsidRDefault="005F13FD">
      <w:pPr>
        <w:pStyle w:val="a3"/>
        <w:spacing w:before="240" w:beforeAutospacing="0" w:after="0" w:afterAutospacing="0"/>
        <w:ind w:left="476"/>
        <w:jc w:val="both"/>
        <w:rPr>
          <w:sz w:val="20"/>
          <w:szCs w:val="20"/>
        </w:rPr>
      </w:pPr>
      <w:r>
        <w:rPr>
          <w:sz w:val="20"/>
          <w:szCs w:val="20"/>
        </w:rPr>
        <w:t>In addition to providing fundamental residential services, CoreCivic's correcti</w:t>
      </w:r>
      <w:r>
        <w:rPr>
          <w:sz w:val="20"/>
          <w:szCs w:val="20"/>
        </w:rPr>
        <w:t>onal, detention, and reentry facilities offer a variety of rehabilitation and educational programs, including basic education, faith-based services, life skills and employment training, and substance abuse treatment.  These services are intended to help re</w:t>
      </w:r>
      <w:r>
        <w:rPr>
          <w:sz w:val="20"/>
          <w:szCs w:val="20"/>
        </w:rPr>
        <w:t xml:space="preserve">duce recidivism and to prepare offenders for their successful reentry into society upon their release.  CoreCivic also provides or makes available to offenders certain health care (including medical, dental, and mental health services), food services, and </w:t>
      </w:r>
      <w:r>
        <w:rPr>
          <w:sz w:val="20"/>
          <w:szCs w:val="20"/>
        </w:rPr>
        <w:t xml:space="preserve">work and recreational programs. </w:t>
      </w:r>
    </w:p>
    <w:p w:rsidR="00000000" w:rsidRDefault="005F13FD">
      <w:pPr>
        <w:pStyle w:val="a3"/>
        <w:spacing w:before="240" w:beforeAutospacing="0" w:after="0" w:afterAutospacing="0"/>
        <w:ind w:left="476"/>
        <w:jc w:val="both"/>
        <w:rPr>
          <w:sz w:val="20"/>
          <w:szCs w:val="20"/>
        </w:rPr>
      </w:pPr>
      <w:r>
        <w:rPr>
          <w:sz w:val="20"/>
          <w:szCs w:val="20"/>
        </w:rPr>
        <w:t>CoreCivic began operating as a real estate investment trust ("REIT") effective January 1, 2013.  </w:t>
      </w:r>
      <w:r>
        <w:rPr>
          <w:sz w:val="20"/>
          <w:szCs w:val="20"/>
        </w:rPr>
        <w:t>The Company provides services and conducts other business activities through taxable REIT subsidiaries ("TRSs"). A TRS is a subsidiary of a REIT that is subject to applicable corporate income tax and certain qualification requirements. The Company's use of</w:t>
      </w:r>
      <w:r>
        <w:rPr>
          <w:sz w:val="20"/>
          <w:szCs w:val="20"/>
        </w:rPr>
        <w:t xml:space="preserve"> TRSs permits CoreCivic to engage in certain business activities in which the REIT may not engage directly, so long as these activities are conducted in entities that elect to be treated as TRSs under the Internal Revenue Code of 1986, as amended, and enab</w:t>
      </w:r>
      <w:r>
        <w:rPr>
          <w:sz w:val="20"/>
          <w:szCs w:val="20"/>
        </w:rPr>
        <w:t>les CoreCivic to, among other things, provide correctional services at facilities it owns and at facilities owned by its government partners.  A TRS is not subject to the distribution requirements applicable to REITs so it may retain income generated by it</w:t>
      </w:r>
      <w:r>
        <w:rPr>
          <w:sz w:val="20"/>
          <w:szCs w:val="20"/>
        </w:rPr>
        <w:t>s operations for reinvestment.  </w:t>
      </w:r>
    </w:p>
    <w:p w:rsidR="00000000" w:rsidRDefault="005F13FD">
      <w:pPr>
        <w:pStyle w:val="a3"/>
        <w:spacing w:before="240" w:beforeAutospacing="0" w:after="0" w:afterAutospacing="0"/>
        <w:ind w:left="476"/>
        <w:jc w:val="both"/>
        <w:rPr>
          <w:sz w:val="20"/>
          <w:szCs w:val="20"/>
        </w:rPr>
      </w:pPr>
      <w:r>
        <w:rPr>
          <w:sz w:val="20"/>
          <w:szCs w:val="20"/>
        </w:rPr>
        <w:t xml:space="preserve">On June 17, 2020, the Company announced that its Board of Directors ("BOD") was evaluating corporate structure and capital allocation alternatives.  Concurrently, the BOD suspended the Company's quarterly dividend while it </w:t>
      </w:r>
      <w:r>
        <w:rPr>
          <w:sz w:val="20"/>
          <w:szCs w:val="20"/>
        </w:rPr>
        <w:t>assessed how best to use its free cash flow to build shareholder value, maintain service excellence, and offer and implement unique solutions for its government partners and the communities in which it serves.  On August 5, 2020, the Company announced that</w:t>
      </w:r>
      <w:r>
        <w:rPr>
          <w:sz w:val="20"/>
          <w:szCs w:val="20"/>
        </w:rPr>
        <w:t xml:space="preserve"> the BOD concluded its analysis and unanimously approved a plan to revoke the Company's REIT election and become a taxable C Corporation, effective January 1, 2021.  As a result, the Company will no longer be required to operate under REIT rules, including</w:t>
      </w:r>
      <w:r>
        <w:rPr>
          <w:sz w:val="20"/>
          <w:szCs w:val="20"/>
        </w:rPr>
        <w:t xml:space="preserve"> the requirement to distribute at least 90% of its taxable income to its stockholders, which will provide the Company with greater flexibility to use its free cash flow.  Beginning January 1, 2021, the Company will be subject to federal and state income ta</w:t>
      </w:r>
      <w:r>
        <w:rPr>
          <w:sz w:val="20"/>
          <w:szCs w:val="20"/>
        </w:rPr>
        <w:t>xes on its taxable income at applicable tax rates, and will no longer be entitled to a tax deduction for dividends paid.  The Company will continue to operate as a REIT for the remainder of the 2020 tax year, and existing REIT requirements and limitations,</w:t>
      </w:r>
      <w:r>
        <w:rPr>
          <w:sz w:val="20"/>
          <w:szCs w:val="20"/>
        </w:rPr>
        <w:t xml:space="preserve"> including those established by the Company’s organizational documents, will remain in place until January 1, 2021. The BOD also announced that the Company is discontinuing its quarterly dividend and prioritizing the allocation of the Company’s free cash f</w:t>
      </w:r>
      <w:r>
        <w:rPr>
          <w:sz w:val="20"/>
          <w:szCs w:val="20"/>
        </w:rPr>
        <w:t>low to debt reduction</w:t>
      </w:r>
      <w:r>
        <w:rPr>
          <w:sz w:val="23"/>
          <w:szCs w:val="23"/>
        </w:rPr>
        <w:t>.  </w:t>
      </w:r>
    </w:p>
    <w:p w:rsidR="00000000" w:rsidRDefault="005F13FD">
      <w:pPr>
        <w:pStyle w:val="a3"/>
        <w:spacing w:before="0" w:beforeAutospacing="0" w:after="0" w:afterAutospacing="0"/>
        <w:rPr>
          <w:sz w:val="23"/>
          <w:szCs w:val="23"/>
        </w:rPr>
      </w:pPr>
    </w:p>
    <w:p w:rsidR="00000000" w:rsidRDefault="005F13FD">
      <w:pPr>
        <w:pStyle w:val="a3"/>
        <w:spacing w:before="240" w:beforeAutospacing="0" w:after="0" w:afterAutospacing="0"/>
        <w:ind w:left="476"/>
        <w:jc w:val="both"/>
        <w:rPr>
          <w:sz w:val="23"/>
          <w:szCs w:val="23"/>
        </w:rPr>
      </w:pPr>
      <w:r>
        <w:rPr>
          <w:sz w:val="23"/>
          <w:szCs w:val="23"/>
        </w:rPr>
        <w:t> </w:t>
      </w:r>
    </w:p>
    <w:p w:rsidR="00000000" w:rsidRDefault="005F13FD">
      <w:pPr>
        <w:pStyle w:val="a3"/>
        <w:spacing w:before="240" w:beforeAutospacing="0" w:after="0" w:afterAutospacing="0"/>
        <w:jc w:val="center"/>
        <w:rPr>
          <w:sz w:val="20"/>
          <w:szCs w:val="20"/>
        </w:rPr>
      </w:pPr>
      <w:r>
        <w:rPr>
          <w:sz w:val="20"/>
          <w:szCs w:val="20"/>
        </w:rPr>
        <w:t>6</w:t>
      </w:r>
    </w:p>
    <w:p w:rsidR="00000000" w:rsidRDefault="005F13FD">
      <w:pPr>
        <w:rPr>
          <w:rFonts w:eastAsia="Times New Roman"/>
        </w:rPr>
      </w:pPr>
      <w:r>
        <w:rPr>
          <w:rFonts w:eastAsia="Times New Roman"/>
        </w:rPr>
        <w:pict>
          <v:rect id="_x0000_i1032"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30910874"/>
        </w:trPr>
        <w:tc>
          <w:tcPr>
            <w:tcW w:w="227" w:type="pct"/>
            <w:noWrap/>
            <w:hideMark/>
          </w:tcPr>
          <w:p w:rsidR="00000000" w:rsidRDefault="005F13FD">
            <w:pPr>
              <w:pStyle w:val="a3"/>
              <w:spacing w:before="360" w:beforeAutospacing="0" w:after="0" w:afterAutospacing="0"/>
              <w:rPr>
                <w:b/>
                <w:bCs/>
                <w:sz w:val="20"/>
                <w:szCs w:val="20"/>
              </w:rPr>
            </w:pPr>
            <w:r>
              <w:rPr>
                <w:b/>
                <w:bCs/>
                <w:sz w:val="20"/>
                <w:szCs w:val="20"/>
              </w:rPr>
              <w:t>2.</w:t>
            </w:r>
          </w:p>
        </w:tc>
        <w:tc>
          <w:tcPr>
            <w:tcW w:w="0" w:type="auto"/>
            <w:hideMark/>
          </w:tcPr>
          <w:p w:rsidR="00000000" w:rsidRDefault="005F13FD">
            <w:pPr>
              <w:pStyle w:val="a3"/>
              <w:spacing w:before="360" w:beforeAutospacing="0" w:after="0" w:afterAutospacing="0"/>
              <w:rPr>
                <w:b/>
                <w:bCs/>
                <w:sz w:val="20"/>
                <w:szCs w:val="20"/>
              </w:rPr>
            </w:pPr>
            <w:r>
              <w:rPr>
                <w:b/>
                <w:bCs/>
                <w:sz w:val="20"/>
                <w:szCs w:val="20"/>
              </w:rPr>
              <w:t>BASIS OF PRESENTATION AND SUMMARY OF SIGNIFICANT ACCOUNTING POLICIES</w:t>
            </w:r>
          </w:p>
        </w:tc>
      </w:tr>
    </w:tbl>
    <w:p w:rsidR="00000000" w:rsidRDefault="005F13FD">
      <w:pPr>
        <w:pStyle w:val="a3"/>
        <w:spacing w:before="0" w:beforeAutospacing="0" w:after="0" w:afterAutospacing="0"/>
        <w:jc w:val="both"/>
        <w:rPr>
          <w:b/>
          <w:bCs/>
          <w:sz w:val="12"/>
          <w:szCs w:val="12"/>
        </w:rPr>
      </w:pPr>
      <w:r>
        <w:rPr>
          <w:b/>
          <w:bCs/>
          <w:sz w:val="12"/>
          <w:szCs w:val="12"/>
        </w:rPr>
        <w:t> </w:t>
      </w:r>
    </w:p>
    <w:p w:rsidR="00000000" w:rsidRDefault="005F13FD">
      <w:pPr>
        <w:pStyle w:val="a3"/>
        <w:spacing w:before="0" w:beforeAutospacing="0" w:after="0" w:afterAutospacing="0"/>
        <w:ind w:left="476"/>
        <w:jc w:val="both"/>
        <w:rPr>
          <w:sz w:val="20"/>
          <w:szCs w:val="20"/>
        </w:rPr>
      </w:pPr>
      <w:r>
        <w:rPr>
          <w:sz w:val="20"/>
          <w:szCs w:val="20"/>
        </w:rPr>
        <w:t xml:space="preserve">The accompanying unaudited interim consolidated financial statements have been prepared by the Company and, in </w:t>
      </w:r>
      <w:r>
        <w:rPr>
          <w:sz w:val="20"/>
          <w:szCs w:val="20"/>
        </w:rPr>
        <w:t>the opinion of management, reflect all normal recurring adjustments necessary for a fair presentation of results for the unaudited interim periods presented.  Certain information and footnote disclosures normally included in financial statements prepared i</w:t>
      </w:r>
      <w:r>
        <w:rPr>
          <w:sz w:val="20"/>
          <w:szCs w:val="20"/>
        </w:rPr>
        <w:t>n accordance with U.S. generally accepted accounting principles have been condensed or omitted.  The results of operations for the interim period are not necessarily indicative of the results to be obtained for the full fiscal year.  Reference is made to t</w:t>
      </w:r>
      <w:r>
        <w:rPr>
          <w:sz w:val="20"/>
          <w:szCs w:val="20"/>
        </w:rPr>
        <w:t>he audited financial statements of CoreCivic included in its Annual Report on Form 10-K for the year ended December 31, 2019 filed with the Securities and Exchange Commission (the "SEC") on February 20, 2020 (the "2019 Form 10-K") with respect to certain s</w:t>
      </w:r>
      <w:r>
        <w:rPr>
          <w:sz w:val="20"/>
          <w:szCs w:val="20"/>
        </w:rPr>
        <w:t xml:space="preserve">ignificant accounting and financial reporting policies as well as other pertinent information of the Company. </w:t>
      </w:r>
    </w:p>
    <w:p w:rsidR="00000000" w:rsidRDefault="005F13FD">
      <w:pPr>
        <w:pStyle w:val="a3"/>
        <w:spacing w:before="240" w:beforeAutospacing="0" w:after="0" w:afterAutospacing="0"/>
        <w:ind w:left="476"/>
        <w:jc w:val="both"/>
        <w:rPr>
          <w:b/>
          <w:bCs/>
          <w:sz w:val="20"/>
          <w:szCs w:val="20"/>
        </w:rPr>
      </w:pPr>
      <w:r>
        <w:rPr>
          <w:b/>
          <w:bCs/>
          <w:sz w:val="20"/>
          <w:szCs w:val="20"/>
        </w:rPr>
        <w:t xml:space="preserve">Recent Accounting Pronouncements </w:t>
      </w:r>
    </w:p>
    <w:p w:rsidR="00000000" w:rsidRDefault="005F13FD">
      <w:pPr>
        <w:pStyle w:val="a3"/>
        <w:spacing w:before="120" w:beforeAutospacing="0" w:after="0" w:afterAutospacing="0"/>
        <w:ind w:left="476"/>
        <w:jc w:val="both"/>
        <w:rPr>
          <w:color w:val="000000"/>
          <w:sz w:val="20"/>
          <w:szCs w:val="20"/>
        </w:rPr>
      </w:pPr>
      <w:r>
        <w:rPr>
          <w:color w:val="000000"/>
          <w:sz w:val="20"/>
          <w:szCs w:val="20"/>
        </w:rPr>
        <w:t>In</w:t>
      </w:r>
      <w:r>
        <w:rPr>
          <w:rFonts w:ascii="Arial" w:hAnsi="Arial" w:cs="Arial"/>
          <w:color w:val="000000"/>
          <w:sz w:val="20"/>
          <w:szCs w:val="20"/>
        </w:rPr>
        <w:t xml:space="preserve"> </w:t>
      </w:r>
      <w:r>
        <w:rPr>
          <w:color w:val="000000"/>
          <w:sz w:val="20"/>
          <w:szCs w:val="20"/>
        </w:rPr>
        <w:t xml:space="preserve">June 2016, the Financial Accounting Standards Board ("FASB") issued Accounting Standards Update ("ASU") No. </w:t>
      </w:r>
      <w:r>
        <w:rPr>
          <w:color w:val="000000"/>
          <w:sz w:val="20"/>
          <w:szCs w:val="20"/>
        </w:rPr>
        <w:t>2016-13, "Financial Instruments – Credit Losses – Measurement of Credit Losses on Financial Instruments," which changes how entities measure credit losses for most financial assets and certain other instruments that are not measured at fair value through n</w:t>
      </w:r>
      <w:r>
        <w:rPr>
          <w:color w:val="000000"/>
          <w:sz w:val="20"/>
          <w:szCs w:val="20"/>
        </w:rPr>
        <w:t>et income. The ASU replaces the "incurred loss" approach with an "expected loss" model for instruments measured at amortized cost. For trade and other receivables, held-to-maturity debt securities, contract assets, loans and other instruments, entities are</w:t>
      </w:r>
      <w:r>
        <w:rPr>
          <w:color w:val="000000"/>
          <w:sz w:val="20"/>
          <w:szCs w:val="20"/>
        </w:rPr>
        <w:t xml:space="preserve"> now required to use a new forward-looking "expected loss" model that generally will result in the earlier recognition of allowances for losses. Upon its effective date, CoreCivic adopted the ASU in the first quarter of 2020</w:t>
      </w:r>
      <w:r>
        <w:rPr>
          <w:b/>
          <w:bCs/>
          <w:color w:val="000000"/>
          <w:sz w:val="20"/>
          <w:szCs w:val="20"/>
        </w:rPr>
        <w:t>.  </w:t>
      </w:r>
      <w:r>
        <w:rPr>
          <w:color w:val="000000"/>
          <w:sz w:val="20"/>
          <w:szCs w:val="20"/>
        </w:rPr>
        <w:t>The Company recognized a char</w:t>
      </w:r>
      <w:r>
        <w:rPr>
          <w:color w:val="000000"/>
          <w:sz w:val="20"/>
          <w:szCs w:val="20"/>
        </w:rPr>
        <w:t>ge of $1.0 million to accumulated deficit upon adoption of ASU 2016-13.  Based principally on the fact that the largest portion of the Company's accounts receivable is with governmental agencies with high credit ratings, the adoption of ASU 2016-13 did not</w:t>
      </w:r>
      <w:r>
        <w:rPr>
          <w:color w:val="000000"/>
          <w:sz w:val="20"/>
          <w:szCs w:val="20"/>
        </w:rPr>
        <w:t xml:space="preserve"> have a material impact on its financial statements</w:t>
      </w:r>
      <w:r>
        <w:rPr>
          <w:b/>
          <w:bCs/>
          <w:color w:val="000000"/>
          <w:sz w:val="20"/>
          <w:szCs w:val="20"/>
        </w:rPr>
        <w:t>.</w:t>
      </w:r>
    </w:p>
    <w:p w:rsidR="00000000" w:rsidRDefault="005F13FD">
      <w:pPr>
        <w:pStyle w:val="a3"/>
        <w:spacing w:before="120" w:beforeAutospacing="0" w:after="0" w:afterAutospacing="0"/>
        <w:ind w:left="476"/>
        <w:jc w:val="both"/>
        <w:rPr>
          <w:color w:val="000000"/>
          <w:sz w:val="20"/>
          <w:szCs w:val="20"/>
        </w:rPr>
      </w:pPr>
      <w:r>
        <w:rPr>
          <w:color w:val="000000"/>
          <w:sz w:val="20"/>
          <w:szCs w:val="20"/>
        </w:rPr>
        <w:t>Other recent accounting pronouncements issued by the FASB (including its Emerging Issues Task Force), the American Institute of Certified Public Accountants and the SEC did not, or are not expected to, have a material effect on the Company's results of ope</w:t>
      </w:r>
      <w:r>
        <w:rPr>
          <w:color w:val="000000"/>
          <w:sz w:val="20"/>
          <w:szCs w:val="20"/>
        </w:rPr>
        <w:t>rations or financial position.</w:t>
      </w:r>
    </w:p>
    <w:p w:rsidR="00000000" w:rsidRDefault="005F13FD">
      <w:pPr>
        <w:pStyle w:val="a3"/>
        <w:spacing w:before="240" w:beforeAutospacing="0" w:after="0" w:afterAutospacing="0"/>
        <w:ind w:left="476"/>
        <w:jc w:val="both"/>
        <w:rPr>
          <w:b/>
          <w:bCs/>
          <w:sz w:val="20"/>
          <w:szCs w:val="20"/>
        </w:rPr>
      </w:pPr>
      <w:r>
        <w:rPr>
          <w:b/>
          <w:bCs/>
          <w:sz w:val="20"/>
          <w:szCs w:val="20"/>
        </w:rPr>
        <w:t>Fair Value of Financial Instruments</w:t>
      </w:r>
    </w:p>
    <w:p w:rsidR="00000000" w:rsidRDefault="005F13FD">
      <w:pPr>
        <w:pStyle w:val="a3"/>
        <w:spacing w:before="120" w:beforeAutospacing="0" w:after="0" w:afterAutospacing="0"/>
        <w:ind w:left="476"/>
        <w:jc w:val="both"/>
        <w:rPr>
          <w:sz w:val="20"/>
          <w:szCs w:val="20"/>
        </w:rPr>
      </w:pPr>
      <w:r>
        <w:rPr>
          <w:sz w:val="20"/>
          <w:szCs w:val="20"/>
        </w:rPr>
        <w:t>To meet the reporting requirements of Accounting Standards Codification ("ASC") 825, "Financial Instruments", regarding fair value of financial instruments, CoreCivic calculates the estimat</w:t>
      </w:r>
      <w:r>
        <w:rPr>
          <w:sz w:val="20"/>
          <w:szCs w:val="20"/>
        </w:rPr>
        <w:t>ed fair value of financial instruments using market interest rates, quoted market prices of similar instruments, or discounted cash flow techniques with observable Level 1 inputs for publicly traded debt and Level 2 inputs for all other financial instrumen</w:t>
      </w:r>
      <w:r>
        <w:rPr>
          <w:sz w:val="20"/>
          <w:szCs w:val="20"/>
        </w:rPr>
        <w:t>ts, as defined in ASC 820, "Fair Value Measurement".  At September 30, 2020 and December 31, 2019, there were no material differences between the carrying amounts and the estimated fair values of CoreCivic's financial instruments, other than as follows (in</w:t>
      </w:r>
      <w:r>
        <w:rPr>
          <w:sz w:val="20"/>
          <w:szCs w:val="20"/>
        </w:rPr>
        <w:t xml:space="preserve"> thousands):</w:t>
      </w:r>
    </w:p>
    <w:p w:rsidR="00000000" w:rsidRDefault="005F13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899"/>
        <w:gridCol w:w="65"/>
        <w:gridCol w:w="115"/>
        <w:gridCol w:w="882"/>
        <w:gridCol w:w="82"/>
        <w:gridCol w:w="65"/>
        <w:gridCol w:w="115"/>
        <w:gridCol w:w="882"/>
        <w:gridCol w:w="82"/>
        <w:gridCol w:w="65"/>
        <w:gridCol w:w="115"/>
        <w:gridCol w:w="882"/>
        <w:gridCol w:w="82"/>
        <w:gridCol w:w="65"/>
        <w:gridCol w:w="115"/>
        <w:gridCol w:w="882"/>
        <w:gridCol w:w="82"/>
      </w:tblGrid>
      <w:tr w:rsidR="00000000">
        <w:trPr>
          <w:divId w:val="1522622423"/>
        </w:trPr>
        <w:tc>
          <w:tcPr>
            <w:tcW w:w="251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pPr>
            <w: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114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 2020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1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522622423"/>
        </w:trPr>
        <w:tc>
          <w:tcPr>
            <w:tcW w:w="251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5F13FD">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5F13FD">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522622423"/>
        </w:trPr>
        <w:tc>
          <w:tcPr>
            <w:tcW w:w="251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Note receivable from Agecroft Prison Management, LTD</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2,918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7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3,815</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2,989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3,949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522622423"/>
        </w:trPr>
        <w:tc>
          <w:tcPr>
            <w:tcW w:w="251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Debt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(2,106,413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72"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(2,056,929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(1,986,865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(1,964,366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bl>
    <w:p w:rsidR="00000000" w:rsidRDefault="005F13FD">
      <w:pPr>
        <w:pStyle w:val="a3"/>
        <w:spacing w:before="0" w:beforeAutospacing="0" w:after="0" w:afterAutospacing="0"/>
      </w:pPr>
    </w:p>
    <w:p w:rsidR="00000000" w:rsidRDefault="005F13FD">
      <w:pPr>
        <w:pStyle w:val="a3"/>
        <w:spacing w:before="240" w:beforeAutospacing="0" w:after="0" w:afterAutospacing="0"/>
        <w:jc w:val="center"/>
        <w:rPr>
          <w:sz w:val="20"/>
          <w:szCs w:val="20"/>
        </w:rPr>
      </w:pPr>
      <w:r>
        <w:rPr>
          <w:sz w:val="20"/>
          <w:szCs w:val="20"/>
        </w:rPr>
        <w:t>7</w:t>
      </w:r>
    </w:p>
    <w:p w:rsidR="00000000" w:rsidRDefault="005F13FD">
      <w:pPr>
        <w:rPr>
          <w:rFonts w:eastAsia="Times New Roman"/>
        </w:rPr>
      </w:pPr>
      <w:r>
        <w:rPr>
          <w:rFonts w:eastAsia="Times New Roman"/>
        </w:rPr>
        <w:pict>
          <v:rect id="_x0000_i1033"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120" w:beforeAutospacing="0" w:after="0" w:afterAutospacing="0"/>
        <w:ind w:left="476"/>
        <w:jc w:val="both"/>
      </w:pPr>
      <w:r>
        <w:t xml:space="preserve">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27456181"/>
        </w:trPr>
        <w:tc>
          <w:tcPr>
            <w:tcW w:w="227" w:type="pct"/>
            <w:noWrap/>
            <w:hideMark/>
          </w:tcPr>
          <w:p w:rsidR="00000000" w:rsidRDefault="005F13FD">
            <w:pPr>
              <w:pStyle w:val="a3"/>
              <w:spacing w:before="120" w:beforeAutospacing="0" w:after="0" w:afterAutospacing="0"/>
              <w:jc w:val="both"/>
              <w:rPr>
                <w:b/>
                <w:bCs/>
                <w:sz w:val="20"/>
                <w:szCs w:val="20"/>
              </w:rPr>
            </w:pPr>
            <w:r>
              <w:rPr>
                <w:b/>
                <w:bCs/>
                <w:sz w:val="20"/>
                <w:szCs w:val="20"/>
              </w:rPr>
              <w:t>3.</w:t>
            </w:r>
          </w:p>
        </w:tc>
        <w:tc>
          <w:tcPr>
            <w:tcW w:w="0" w:type="auto"/>
            <w:hideMark/>
          </w:tcPr>
          <w:p w:rsidR="00000000" w:rsidRDefault="005F13FD">
            <w:pPr>
              <w:pStyle w:val="a3"/>
              <w:spacing w:before="120" w:beforeAutospacing="0" w:after="0" w:afterAutospacing="0"/>
              <w:jc w:val="both"/>
              <w:rPr>
                <w:b/>
                <w:bCs/>
                <w:sz w:val="20"/>
                <w:szCs w:val="20"/>
              </w:rPr>
            </w:pPr>
            <w:r>
              <w:rPr>
                <w:b/>
                <w:bCs/>
                <w:sz w:val="20"/>
                <w:szCs w:val="20"/>
              </w:rPr>
              <w:t>GOODWILL</w:t>
            </w:r>
          </w:p>
        </w:tc>
      </w:tr>
    </w:tbl>
    <w:p w:rsidR="00000000" w:rsidRDefault="005F13FD">
      <w:pPr>
        <w:pStyle w:val="a3"/>
        <w:spacing w:before="120" w:beforeAutospacing="0" w:after="0" w:afterAutospacing="0"/>
        <w:ind w:left="476"/>
        <w:jc w:val="both"/>
        <w:rPr>
          <w:sz w:val="20"/>
          <w:szCs w:val="20"/>
        </w:rPr>
      </w:pPr>
      <w:r>
        <w:rPr>
          <w:sz w:val="20"/>
          <w:szCs w:val="20"/>
        </w:rPr>
        <w:t>ASU 2017-04, "Intangibles-Goodwill and Other (Topic 350): Simplifying the Test of Goodwill Impairment", establishes accounting and reporting requirements for goodwill and other intangible assets.  Good</w:t>
      </w:r>
      <w:r>
        <w:rPr>
          <w:sz w:val="20"/>
          <w:szCs w:val="20"/>
        </w:rPr>
        <w:t>will was $48.6 million and $50.5 million as of September 30, 2020 and December 31, 2019, respectively.  Of this amount, goodwill was $6.0 million and $7.9 million as of September 30, 2020 and December 31, 2019, respectively, for the Company's CoreCivic Saf</w:t>
      </w:r>
      <w:r>
        <w:rPr>
          <w:sz w:val="20"/>
          <w:szCs w:val="20"/>
        </w:rPr>
        <w:t>ety segment, and was $42.6 million as of both September 30, 2020 and December 31, 2019 for its CoreCivic Community segment.  This goodwill was established in connection with multiple business combination transactions.  </w:t>
      </w:r>
    </w:p>
    <w:p w:rsidR="00000000" w:rsidRDefault="005F13FD">
      <w:pPr>
        <w:pStyle w:val="a3"/>
        <w:spacing w:before="240" w:beforeAutospacing="0" w:after="0" w:afterAutospacing="0"/>
        <w:ind w:left="476"/>
        <w:jc w:val="both"/>
        <w:rPr>
          <w:sz w:val="20"/>
          <w:szCs w:val="20"/>
        </w:rPr>
      </w:pPr>
      <w:r>
        <w:rPr>
          <w:sz w:val="20"/>
          <w:szCs w:val="20"/>
        </w:rPr>
        <w:t>Under the provisions of ASU 2017-04,</w:t>
      </w:r>
      <w:r>
        <w:rPr>
          <w:sz w:val="20"/>
          <w:szCs w:val="20"/>
        </w:rPr>
        <w:t xml:space="preserve"> CoreCivic performs a qualitative assessment to determine whether the existence of events or circumstances leads to a determination that it is more likely than not that the fair value of a reporting unit is less than its carrying amount.  If, after assessi</w:t>
      </w:r>
      <w:r>
        <w:rPr>
          <w:sz w:val="20"/>
          <w:szCs w:val="20"/>
        </w:rPr>
        <w:t>ng the totality of events or circumstances, the Company determines it is more likely than not that the fair value of a reporting unit is less than its carrying amount, then the Company performs a quantitative impairment test.  If a quantitative test is req</w:t>
      </w:r>
      <w:r>
        <w:rPr>
          <w:sz w:val="20"/>
          <w:szCs w:val="20"/>
        </w:rPr>
        <w:t>uired, CoreCivic performs an assessment to identify the existence of impairment and to measure the excess of a reporting unit's carrying amount over its fair value by using a combination of various common valuation techniques, including market multiples an</w:t>
      </w:r>
      <w:r>
        <w:rPr>
          <w:sz w:val="20"/>
          <w:szCs w:val="20"/>
        </w:rPr>
        <w:t>d discounted cash flows under valuation methodologies that include an income approach and a market approach.  The income valuation approach includes certain significant assumptions impacting projected future cash flows, such as projected revenue, projected</w:t>
      </w:r>
      <w:r>
        <w:rPr>
          <w:sz w:val="20"/>
          <w:szCs w:val="20"/>
        </w:rPr>
        <w:t xml:space="preserve"> operating costs, and the weighted average cost of capital, which are affected by expectations about future market or economic conditions.  These impairment tests are required to be performed at least annually.  CoreCivic performs its impairment tests duri</w:t>
      </w:r>
      <w:r>
        <w:rPr>
          <w:sz w:val="20"/>
          <w:szCs w:val="20"/>
        </w:rPr>
        <w:t>ng the fourth quarter, in connection with its annual budgeting process, and whenever circumstances indicate the carrying value of goodwill may not be recoverable.</w:t>
      </w:r>
      <w:r>
        <w:t>   </w:t>
      </w:r>
    </w:p>
    <w:p w:rsidR="00000000" w:rsidRDefault="005F13FD">
      <w:pPr>
        <w:pStyle w:val="a3"/>
        <w:spacing w:before="240" w:beforeAutospacing="0" w:after="0" w:afterAutospacing="0"/>
        <w:ind w:left="476"/>
        <w:jc w:val="both"/>
        <w:rPr>
          <w:sz w:val="20"/>
          <w:szCs w:val="20"/>
        </w:rPr>
      </w:pPr>
      <w:r>
        <w:rPr>
          <w:sz w:val="20"/>
          <w:szCs w:val="20"/>
        </w:rPr>
        <w:t>During the third quarter of 2020, the Company provided notice to the local county customer</w:t>
      </w:r>
      <w:r>
        <w:rPr>
          <w:sz w:val="20"/>
          <w:szCs w:val="20"/>
        </w:rPr>
        <w:t>s at two managed-only facilities of its intent to terminate the contracts.  The Company expects to transition operations of the 1,046-bed Silverdale Detention Center in December 2020 and transitioned operations at the 1,348-bed Metro-Davidson County Detent</w:t>
      </w:r>
      <w:r>
        <w:rPr>
          <w:sz w:val="20"/>
          <w:szCs w:val="20"/>
        </w:rPr>
        <w:t>ion Facility in October 2020.  As a result of these expected contract terminations, during the second quarter of 2020, the Company recognized goodwill impairments of $2.0 million associated with these two managed-only facilities' reporting units.</w:t>
      </w:r>
    </w:p>
    <w:p w:rsidR="00000000" w:rsidRDefault="005F13FD">
      <w:pPr>
        <w:pStyle w:val="a3"/>
        <w:spacing w:before="240" w:beforeAutospacing="0" w:after="0" w:afterAutospacing="0"/>
        <w:ind w:left="476"/>
        <w:jc w:val="both"/>
        <w:rPr>
          <w:sz w:val="20"/>
          <w:szCs w:val="20"/>
        </w:rPr>
      </w:pPr>
      <w:r>
        <w:rPr>
          <w:sz w:val="20"/>
          <w:szCs w:val="20"/>
        </w:rPr>
        <w:t>The Compa</w:t>
      </w:r>
      <w:r>
        <w:rPr>
          <w:sz w:val="20"/>
          <w:szCs w:val="20"/>
        </w:rPr>
        <w:t xml:space="preserve">ny has continued to monitor the impact of the novel coronavirus ("COVID-19") with respect to the projections and assumptions used for its annual assessment performed in the fourth quarter of 2019. As of September 30, 2020, the Company concluded that it is </w:t>
      </w:r>
      <w:r>
        <w:rPr>
          <w:sz w:val="20"/>
          <w:szCs w:val="20"/>
        </w:rPr>
        <w:t xml:space="preserve">more likely than not that the fair value of the reporting units exceeded their carrying values (with the exception of the impact of the contract terminations discussed above on two managed-only reporting units).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54571019"/>
        </w:trPr>
        <w:tc>
          <w:tcPr>
            <w:tcW w:w="227" w:type="pct"/>
            <w:noWrap/>
            <w:hideMark/>
          </w:tcPr>
          <w:p w:rsidR="00000000" w:rsidRDefault="005F13FD">
            <w:pPr>
              <w:pStyle w:val="a3"/>
              <w:spacing w:before="360" w:beforeAutospacing="0" w:after="0" w:afterAutospacing="0"/>
              <w:jc w:val="both"/>
              <w:rPr>
                <w:b/>
                <w:bCs/>
                <w:sz w:val="20"/>
                <w:szCs w:val="20"/>
              </w:rPr>
            </w:pPr>
            <w:r>
              <w:rPr>
                <w:b/>
                <w:bCs/>
                <w:sz w:val="20"/>
                <w:szCs w:val="20"/>
              </w:rPr>
              <w:t>4.</w:t>
            </w:r>
          </w:p>
        </w:tc>
        <w:tc>
          <w:tcPr>
            <w:tcW w:w="0" w:type="auto"/>
            <w:hideMark/>
          </w:tcPr>
          <w:p w:rsidR="00000000" w:rsidRDefault="005F13FD">
            <w:pPr>
              <w:pStyle w:val="a3"/>
              <w:spacing w:before="360" w:beforeAutospacing="0" w:after="0" w:afterAutospacing="0"/>
              <w:jc w:val="both"/>
              <w:rPr>
                <w:b/>
                <w:bCs/>
                <w:sz w:val="20"/>
                <w:szCs w:val="20"/>
              </w:rPr>
            </w:pPr>
            <w:r>
              <w:rPr>
                <w:b/>
                <w:bCs/>
                <w:sz w:val="20"/>
                <w:szCs w:val="20"/>
              </w:rPr>
              <w:t>REAL ESTATE TRANSACTIONS</w:t>
            </w:r>
          </w:p>
        </w:tc>
      </w:tr>
    </w:tbl>
    <w:p w:rsidR="00000000" w:rsidRDefault="005F13FD">
      <w:pPr>
        <w:pStyle w:val="a3"/>
        <w:spacing w:before="120" w:beforeAutospacing="0" w:after="0" w:afterAutospacing="0"/>
        <w:ind w:left="476"/>
        <w:jc w:val="both"/>
        <w:rPr>
          <w:b/>
          <w:bCs/>
          <w:sz w:val="20"/>
          <w:szCs w:val="20"/>
        </w:rPr>
      </w:pPr>
      <w:r>
        <w:rPr>
          <w:b/>
          <w:bCs/>
          <w:sz w:val="20"/>
          <w:szCs w:val="20"/>
        </w:rPr>
        <w:t xml:space="preserve">Acquisitions </w:t>
      </w:r>
    </w:p>
    <w:p w:rsidR="00000000" w:rsidRDefault="005F13FD">
      <w:pPr>
        <w:pStyle w:val="a3"/>
        <w:spacing w:before="120" w:beforeAutospacing="0" w:after="0" w:afterAutospacing="0"/>
        <w:ind w:left="476"/>
        <w:jc w:val="both"/>
        <w:rPr>
          <w:sz w:val="20"/>
          <w:szCs w:val="20"/>
        </w:rPr>
      </w:pPr>
      <w:r>
        <w:rPr>
          <w:sz w:val="20"/>
          <w:szCs w:val="20"/>
        </w:rPr>
        <w:t>On January 2, 2020, CoreCivic completed the acquisition of a portfolio of 28 properties, 24 of which the counter-party contributed to a newly formed partnership of the Company's, for total consideration of $83.2 million, excluding transaction-related expen</w:t>
      </w:r>
      <w:r>
        <w:rPr>
          <w:sz w:val="20"/>
          <w:szCs w:val="20"/>
        </w:rPr>
        <w:t>ses.  All of the properties are leased to the federal government through the General Services Administration ("GSA"), an independent agency of the United States government. CoreCivic financed the acquisition with $7.7 million of cash, assumed debt of $52.2</w:t>
      </w:r>
      <w:r>
        <w:rPr>
          <w:sz w:val="20"/>
          <w:szCs w:val="20"/>
        </w:rPr>
        <w:t xml:space="preserve"> million, as further described in Note 5, and the balance with the issuance of 1.3 million shares of Class A Common Interests in Government Real Estate Solutions, LLC, an unrestricted subsidiary controlled by the Company ("GRES"), that are convertible into</w:t>
      </w:r>
      <w:r>
        <w:rPr>
          <w:sz w:val="20"/>
          <w:szCs w:val="20"/>
        </w:rPr>
        <w:t xml:space="preserve"> cash or, at the Company's option, shares of the Company's common stock following a</w:t>
      </w:r>
      <w:r>
        <w:rPr>
          <w:sz w:val="20"/>
          <w:szCs w:val="20"/>
        </w:rPr>
        <w:t xml:space="preserve"> </w:t>
      </w:r>
      <w:r>
        <w:rPr>
          <w:sz w:val="20"/>
          <w:szCs w:val="20"/>
        </w:rPr>
        <w:t>two-yea</w:t>
      </w:r>
      <w:r>
        <w:rPr>
          <w:sz w:val="20"/>
          <w:szCs w:val="20"/>
        </w:rPr>
        <w:t>r</w:t>
      </w:r>
      <w:r>
        <w:rPr>
          <w:sz w:val="20"/>
          <w:szCs w:val="20"/>
        </w:rPr>
        <w:t xml:space="preserve"> holding period on a one-for-one basis (the "Operating Partnership Units"), using a partnership structure. In allocating the purchase price of the acquisition, Core</w:t>
      </w:r>
      <w:r>
        <w:rPr>
          <w:sz w:val="20"/>
          <w:szCs w:val="20"/>
        </w:rPr>
        <w:t>Civic recorded $77.4 million of net tangible assets, $7.5 million of identifiable intangible assets, and $4.9 million of tenant improvements.  CoreCivic acquired the portfolio of properties as a strategic investment that further diversifies the Company's c</w:t>
      </w:r>
      <w:r>
        <w:rPr>
          <w:sz w:val="20"/>
          <w:szCs w:val="20"/>
        </w:rPr>
        <w:t xml:space="preserve">ash flows through government-leased properties. </w:t>
      </w:r>
    </w:p>
    <w:p w:rsidR="00000000" w:rsidRDefault="005F13FD">
      <w:pPr>
        <w:pStyle w:val="a3"/>
        <w:spacing w:before="120" w:beforeAutospacing="0" w:after="0" w:afterAutospacing="0"/>
        <w:ind w:left="476"/>
        <w:jc w:val="both"/>
        <w:rPr>
          <w:sz w:val="20"/>
          <w:szCs w:val="20"/>
        </w:rPr>
      </w:pPr>
      <w:r>
        <w:rPr>
          <w:sz w:val="20"/>
          <w:szCs w:val="20"/>
        </w:rPr>
        <w:t>CoreCivic has determined that its joint venture investment in GRES represents a variable interest entity ("VIE") in accordance with ASC 810, "Consolidation".  CoreCivic has 100% voting control in GRES. Accor</w:t>
      </w:r>
      <w:r>
        <w:rPr>
          <w:sz w:val="20"/>
          <w:szCs w:val="20"/>
        </w:rPr>
        <w:t>dingly, CoreCivic concluded that it is the primary beneficiary of GRES and consolidates the VIE.  The primary beneficiary is the entity that has (i) the power to direct the activities that most significantly impact the entity's economic performance and (ii</w:t>
      </w:r>
      <w:r>
        <w:rPr>
          <w:sz w:val="20"/>
          <w:szCs w:val="20"/>
        </w:rPr>
        <w:t>) the obligation to absorb losses of the VIE or the right to receive benefits from the VIE that could be significant to the VIE.</w:t>
      </w:r>
      <w:r>
        <w:rPr>
          <w:rFonts w:ascii="inherit" w:hAnsi="inherit"/>
          <w:sz w:val="20"/>
          <w:szCs w:val="20"/>
        </w:rPr>
        <w:t xml:space="preserve"> </w:t>
      </w:r>
      <w:r>
        <w:rPr>
          <w:sz w:val="20"/>
          <w:szCs w:val="20"/>
        </w:rPr>
        <w:t>Included in property and equipment, net of accumulated depreciation, on our consolidated balance sheet as of September 30, 2020</w:t>
      </w:r>
      <w:r>
        <w:rPr>
          <w:sz w:val="20"/>
          <w:szCs w:val="20"/>
        </w:rPr>
        <w:t xml:space="preserve"> is $81.6 million related to GRES.  The debt related to GRES at September 30, 2020 was $51.5 million, as further described in Note 5.  </w:t>
      </w:r>
    </w:p>
    <w:p w:rsidR="00000000" w:rsidRDefault="005F13FD">
      <w:pPr>
        <w:pStyle w:val="a3"/>
        <w:spacing w:before="240" w:beforeAutospacing="0" w:after="0" w:afterAutospacing="0"/>
        <w:jc w:val="center"/>
        <w:rPr>
          <w:sz w:val="20"/>
          <w:szCs w:val="20"/>
        </w:rPr>
      </w:pPr>
      <w:r>
        <w:rPr>
          <w:sz w:val="20"/>
          <w:szCs w:val="20"/>
        </w:rPr>
        <w:t>8</w:t>
      </w:r>
    </w:p>
    <w:p w:rsidR="00000000" w:rsidRDefault="005F13FD">
      <w:pPr>
        <w:rPr>
          <w:rFonts w:eastAsia="Times New Roman"/>
        </w:rPr>
      </w:pPr>
      <w:r>
        <w:rPr>
          <w:rFonts w:eastAsia="Times New Roman"/>
        </w:rPr>
        <w:pict>
          <v:rect id="_x0000_i1034"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360" w:beforeAutospacing="0" w:after="0" w:afterAutospacing="0"/>
        <w:ind w:left="476"/>
        <w:jc w:val="both"/>
        <w:rPr>
          <w:b/>
          <w:bCs/>
          <w:sz w:val="20"/>
          <w:szCs w:val="20"/>
        </w:rPr>
      </w:pPr>
      <w:r>
        <w:rPr>
          <w:b/>
          <w:bCs/>
          <w:sz w:val="20"/>
          <w:szCs w:val="20"/>
        </w:rPr>
        <w:t>Financing Leasing Transactions</w:t>
      </w:r>
    </w:p>
    <w:p w:rsidR="00000000" w:rsidRDefault="005F13FD">
      <w:pPr>
        <w:pStyle w:val="a3"/>
        <w:spacing w:before="120" w:beforeAutospacing="0" w:after="0" w:afterAutospacing="0"/>
        <w:ind w:left="476"/>
        <w:jc w:val="both"/>
        <w:rPr>
          <w:sz w:val="20"/>
          <w:szCs w:val="20"/>
        </w:rPr>
      </w:pPr>
      <w:r>
        <w:rPr>
          <w:sz w:val="20"/>
          <w:szCs w:val="20"/>
        </w:rPr>
        <w:t>On January 24, 2018, CoreCivic entered into a 20-</w:t>
      </w:r>
      <w:r>
        <w:rPr>
          <w:sz w:val="20"/>
          <w:szCs w:val="20"/>
        </w:rPr>
        <w:t>year lease agreement with the Kansas Department of Corrections ("KDOC") for a 2,432-bed correctional facility to be constructed by the Company in Lansing, Kansas.  The new facility replaces the Lansing Correctional Facility, Kansas' largest correctional co</w:t>
      </w:r>
      <w:r>
        <w:rPr>
          <w:sz w:val="20"/>
          <w:szCs w:val="20"/>
        </w:rPr>
        <w:t>mplex for adult male inmates, originally constructed in 1863.  CoreCivic is responsible for facility maintenance throughout the 20-year term of the lease, at which time ownership will revert to the state of Kansas.  Construction of the facility commenced i</w:t>
      </w:r>
      <w:r>
        <w:rPr>
          <w:sz w:val="20"/>
          <w:szCs w:val="20"/>
        </w:rPr>
        <w:t xml:space="preserve">n the first quarter of 2018, and construction was completed in January 2020, at which time the lease commenced.  CoreCivic accounts for the lease with the KDOC partially as a financing receivable under ASU 2016-02, "Leases (Topic 842)", with the remaining </w:t>
      </w:r>
      <w:r>
        <w:rPr>
          <w:sz w:val="20"/>
          <w:szCs w:val="20"/>
        </w:rPr>
        <w:t>portion of the lease payments attributable to maintenance services and capital expenditures as revenue streams under ASC 606, "Revenue from Contracts with Customers".   As of September 30, 2020, the financing receivable was $149.7 million recognized in Oth</w:t>
      </w:r>
      <w:r>
        <w:rPr>
          <w:sz w:val="20"/>
          <w:szCs w:val="20"/>
        </w:rPr>
        <w:t>er Assets on the consolidated balance sheet.  Prior to commencement of the lease, the costs incurred to construct the facility were reflected as a construction receivable and, as of December 31, 2019, $137.7 million was recognized in Other Assets on the co</w:t>
      </w:r>
      <w:r>
        <w:rPr>
          <w:sz w:val="20"/>
          <w:szCs w:val="20"/>
        </w:rPr>
        <w:t>nsolidated balance sheet.  The cash payments associated with the construction of the project were reported as expenditures for facility development and expansions on the consolidated statements of cash flows.</w:t>
      </w:r>
    </w:p>
    <w:p w:rsidR="00000000" w:rsidRDefault="005F13FD">
      <w:pPr>
        <w:pStyle w:val="a3"/>
        <w:spacing w:before="360" w:beforeAutospacing="0" w:after="0" w:afterAutospacing="0"/>
        <w:ind w:left="476"/>
        <w:jc w:val="both"/>
        <w:rPr>
          <w:b/>
          <w:bCs/>
          <w:sz w:val="20"/>
          <w:szCs w:val="20"/>
        </w:rPr>
      </w:pPr>
      <w:r>
        <w:rPr>
          <w:b/>
          <w:bCs/>
          <w:sz w:val="20"/>
          <w:szCs w:val="20"/>
        </w:rPr>
        <w:t>Operating Leasing Transactions</w:t>
      </w:r>
    </w:p>
    <w:p w:rsidR="00000000" w:rsidRDefault="005F13FD">
      <w:pPr>
        <w:pStyle w:val="a3"/>
        <w:spacing w:before="120" w:beforeAutospacing="0" w:after="0" w:afterAutospacing="0"/>
        <w:ind w:left="476"/>
        <w:jc w:val="both"/>
        <w:rPr>
          <w:sz w:val="20"/>
          <w:szCs w:val="20"/>
        </w:rPr>
      </w:pPr>
      <w:r>
        <w:rPr>
          <w:sz w:val="20"/>
          <w:szCs w:val="20"/>
        </w:rPr>
        <w:t>In September 202</w:t>
      </w:r>
      <w:r>
        <w:rPr>
          <w:sz w:val="20"/>
          <w:szCs w:val="20"/>
        </w:rPr>
        <w:t>0, the term of the amended inter-governmental service agreement ("IGSA") between the city of Dilley, Texas and U.S. Immigration and Customs Enforcement ("ICE") to care for up to 2,400 individuals at the South Texas Family Residential Center, a facility the</w:t>
      </w:r>
      <w:r>
        <w:rPr>
          <w:sz w:val="20"/>
          <w:szCs w:val="20"/>
        </w:rPr>
        <w:t xml:space="preserve"> Company leases in Dilley, Texas, was extended from September 2021 to September 2026.  ICE's termination rights, which permit ICE to terminate the agreement for convenience or non-appropriation of funds, without penalty, by providing the Company with at le</w:t>
      </w:r>
      <w:r>
        <w:rPr>
          <w:sz w:val="20"/>
          <w:szCs w:val="20"/>
        </w:rPr>
        <w:t>ast a 60-day notice, were unchanged under the extension.  Concurrent with the extension of the amended IGSA, the lease with the third-party lessor for the site was also extended through September 2026. Other terms of the extended lease agreement were uncha</w:t>
      </w:r>
      <w:r>
        <w:rPr>
          <w:sz w:val="20"/>
          <w:szCs w:val="20"/>
        </w:rPr>
        <w:t>nged and provide the Company with the ability to terminate the lease if ICE terminates the amended IGSA associated with the facility.  As a result of the lease modification, the Company re-measured the lease liability at the effective date of the modificat</w:t>
      </w:r>
      <w:r>
        <w:rPr>
          <w:sz w:val="20"/>
          <w:szCs w:val="20"/>
        </w:rPr>
        <w:t>ion, and recognized a corresponding adjustment to increase the right-of-use asset amounting to $116.0 million.</w:t>
      </w:r>
    </w:p>
    <w:p w:rsidR="00000000" w:rsidRDefault="005F13FD">
      <w:pPr>
        <w:pStyle w:val="a3"/>
        <w:spacing w:before="360" w:beforeAutospacing="0" w:after="0" w:afterAutospacing="0"/>
        <w:ind w:left="476"/>
        <w:jc w:val="both"/>
        <w:rPr>
          <w:b/>
          <w:bCs/>
          <w:sz w:val="20"/>
          <w:szCs w:val="20"/>
        </w:rPr>
      </w:pPr>
      <w:r>
        <w:rPr>
          <w:b/>
          <w:bCs/>
          <w:sz w:val="20"/>
          <w:szCs w:val="20"/>
        </w:rPr>
        <w:t>Idle Facilities</w:t>
      </w:r>
    </w:p>
    <w:p w:rsidR="00000000" w:rsidRDefault="005F13FD">
      <w:pPr>
        <w:pStyle w:val="a3"/>
        <w:spacing w:before="120" w:beforeAutospacing="0" w:after="0" w:afterAutospacing="0"/>
        <w:ind w:left="476"/>
        <w:jc w:val="both"/>
        <w:rPr>
          <w:sz w:val="20"/>
          <w:szCs w:val="20"/>
        </w:rPr>
      </w:pPr>
      <w:r>
        <w:rPr>
          <w:sz w:val="20"/>
          <w:szCs w:val="20"/>
        </w:rPr>
        <w:t>As of September 30, 2020, CoreCivic had five idled correctional facilities in the CoreCivic Safety segment that are currently ava</w:t>
      </w:r>
      <w:r>
        <w:rPr>
          <w:sz w:val="20"/>
          <w:szCs w:val="20"/>
        </w:rPr>
        <w:t xml:space="preserve">ilable and being actively marketed as solutions to meet the needs of potential customers. The following table summarizes each of the idled facilities and their respective carrying values, </w:t>
      </w:r>
      <w:r>
        <w:rPr>
          <w:color w:val="000000"/>
          <w:sz w:val="20"/>
          <w:szCs w:val="20"/>
          <w:shd w:val="clear" w:color="auto" w:fill="FFFFFF"/>
        </w:rPr>
        <w:t>excluding equipment and other assets that could generally be transfe</w:t>
      </w:r>
      <w:r>
        <w:rPr>
          <w:color w:val="000000"/>
          <w:sz w:val="20"/>
          <w:szCs w:val="20"/>
          <w:shd w:val="clear" w:color="auto" w:fill="FFFFFF"/>
        </w:rPr>
        <w:t>rred and used at other facilities CoreCivic owns without significant cost (dollars in thousands)</w:t>
      </w:r>
      <w:r>
        <w:rPr>
          <w:sz w:val="20"/>
          <w:szCs w:val="20"/>
        </w:rPr>
        <w:t>:</w:t>
      </w:r>
    </w:p>
    <w:p w:rsidR="00000000" w:rsidRDefault="005F13FD">
      <w:pPr>
        <w:pStyle w:val="a3"/>
        <w:spacing w:before="120" w:beforeAutospacing="0" w:after="0" w:afterAutospacing="0"/>
        <w:ind w:left="476"/>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329"/>
        <w:gridCol w:w="65"/>
        <w:gridCol w:w="66"/>
        <w:gridCol w:w="567"/>
        <w:gridCol w:w="65"/>
        <w:gridCol w:w="65"/>
        <w:gridCol w:w="415"/>
        <w:gridCol w:w="65"/>
        <w:gridCol w:w="116"/>
        <w:gridCol w:w="895"/>
        <w:gridCol w:w="65"/>
        <w:gridCol w:w="65"/>
        <w:gridCol w:w="116"/>
        <w:gridCol w:w="855"/>
        <w:gridCol w:w="65"/>
      </w:tblGrid>
      <w:tr w:rsidR="00000000">
        <w:trPr>
          <w:divId w:val="1984039399"/>
        </w:trPr>
        <w:tc>
          <w:tcPr>
            <w:tcW w:w="252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pPr>
            <w: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center"/>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59" w:type="pct"/>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128" w:type="pct"/>
            <w:gridSpan w:val="6"/>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Net Carrying Values</w:t>
            </w:r>
          </w:p>
        </w:tc>
        <w:tc>
          <w:tcPr>
            <w:tcW w:w="50" w:type="pct"/>
            <w:shd w:val="clear" w:color="auto" w:fill="FFFFFF"/>
            <w:noWrap/>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984039399"/>
        </w:trPr>
        <w:tc>
          <w:tcPr>
            <w:tcW w:w="252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Design</w:t>
            </w:r>
          </w:p>
        </w:tc>
        <w:tc>
          <w:tcPr>
            <w:tcW w:w="50" w:type="pct"/>
            <w:shd w:val="clear" w:color="auto" w:fill="FFFFFF"/>
            <w:noWrap/>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59" w:type="pct"/>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Date</w:t>
            </w:r>
          </w:p>
        </w:tc>
        <w:tc>
          <w:tcPr>
            <w:tcW w:w="59" w:type="pct"/>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984039399"/>
        </w:trPr>
        <w:tc>
          <w:tcPr>
            <w:tcW w:w="2523" w:type="pct"/>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Facility</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Capacity</w:t>
            </w:r>
          </w:p>
        </w:tc>
        <w:tc>
          <w:tcPr>
            <w:tcW w:w="50" w:type="pct"/>
            <w:shd w:val="clear" w:color="auto" w:fill="FFFFFF"/>
            <w:noWrap/>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59" w:type="pct"/>
            <w:tcBorders>
              <w:bottom w:val="single" w:sz="6" w:space="0" w:color="000000"/>
            </w:tcBorders>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Idled</w:t>
            </w:r>
          </w:p>
        </w:tc>
        <w:tc>
          <w:tcPr>
            <w:tcW w:w="59" w:type="pct"/>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984039399"/>
        </w:trPr>
        <w:tc>
          <w:tcPr>
            <w:tcW w:w="2523" w:type="pct"/>
            <w:tcBorders>
              <w:top w:val="single" w:sz="6" w:space="0" w:color="000000"/>
            </w:tcBorders>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Prairie Correctional Facility</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59" w:type="pct"/>
            <w:tcBorders>
              <w:top w:val="single" w:sz="6" w:space="0" w:color="000000"/>
            </w:tcBorders>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2010</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14,277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14,863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4039399"/>
        </w:trPr>
        <w:tc>
          <w:tcPr>
            <w:tcW w:w="252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Huerfano County Correctional Center</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752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2010</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16,062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16,266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4039399"/>
        </w:trPr>
        <w:tc>
          <w:tcPr>
            <w:tcW w:w="252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Diamondback Correctional Facility</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2,160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2010</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38,421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39,729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4039399"/>
        </w:trPr>
        <w:tc>
          <w:tcPr>
            <w:tcW w:w="252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Marion Adjustment Center</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826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2013</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11,148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11,351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4039399"/>
        </w:trPr>
        <w:tc>
          <w:tcPr>
            <w:tcW w:w="2523"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Kit Carson Correctional Center</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1,488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2016</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52,712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54,041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84039399"/>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6,826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132,620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136,250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ind w:left="476"/>
        <w:jc w:val="both"/>
        <w:rPr>
          <w:sz w:val="20"/>
          <w:szCs w:val="20"/>
        </w:rPr>
      </w:pPr>
      <w:r>
        <w:rPr>
          <w:sz w:val="20"/>
          <w:szCs w:val="20"/>
        </w:rPr>
        <w:t>As of September 30, 2020,</w:t>
      </w:r>
      <w:r>
        <w:t xml:space="preserve"> </w:t>
      </w:r>
      <w:r>
        <w:rPr>
          <w:sz w:val="20"/>
          <w:szCs w:val="20"/>
        </w:rPr>
        <w:t>CoreCivic also had one idled non-core facility in its Safety segment containing 240 beds with a total net book value of $3.1 million; four facilities in its Community segment, including three that became idle during 2020, containing an aggregate of 939 bed</w:t>
      </w:r>
      <w:r>
        <w:rPr>
          <w:sz w:val="20"/>
          <w:szCs w:val="20"/>
        </w:rPr>
        <w:t>s with a total net book value of $13.7 million; and three previously leased residential reentry centers in its Properties segment, containing an aggregate of 430 beds with a total net book value of $9.2 million.  </w:t>
      </w:r>
    </w:p>
    <w:p w:rsidR="00000000" w:rsidRDefault="005F13FD">
      <w:pPr>
        <w:pStyle w:val="a3"/>
        <w:spacing w:before="240" w:beforeAutospacing="0" w:after="0" w:afterAutospacing="0"/>
        <w:ind w:left="476"/>
        <w:jc w:val="both"/>
        <w:rPr>
          <w:sz w:val="20"/>
          <w:szCs w:val="20"/>
        </w:rPr>
      </w:pPr>
      <w:r>
        <w:rPr>
          <w:sz w:val="20"/>
          <w:szCs w:val="20"/>
        </w:rPr>
        <w:t>CoreCivic incurred approximately $2.1 mill</w:t>
      </w:r>
      <w:r>
        <w:rPr>
          <w:sz w:val="20"/>
          <w:szCs w:val="20"/>
        </w:rPr>
        <w:t>ion and $1.9 million in operating expenses at these idled facilities for the period they were idle during the three months ended September 30, 2020 and 2019, respectively.   CoreCivic incurred approximately $6.1 million and $5.4 million in operating expens</w:t>
      </w:r>
      <w:r>
        <w:rPr>
          <w:sz w:val="20"/>
          <w:szCs w:val="20"/>
        </w:rPr>
        <w:t>es at these idled facilities for the period they were idle during the nine months ended September 30, 2020 and 2019, respectively.</w:t>
      </w:r>
    </w:p>
    <w:p w:rsidR="00000000" w:rsidRDefault="005F13FD">
      <w:pPr>
        <w:pStyle w:val="a3"/>
        <w:spacing w:before="240" w:beforeAutospacing="0" w:after="0" w:afterAutospacing="0"/>
        <w:jc w:val="center"/>
        <w:rPr>
          <w:sz w:val="20"/>
          <w:szCs w:val="20"/>
        </w:rPr>
      </w:pPr>
      <w:r>
        <w:rPr>
          <w:sz w:val="20"/>
          <w:szCs w:val="20"/>
        </w:rPr>
        <w:t>9</w:t>
      </w:r>
    </w:p>
    <w:p w:rsidR="00000000" w:rsidRDefault="005F13FD">
      <w:pPr>
        <w:rPr>
          <w:rFonts w:eastAsia="Times New Roman"/>
        </w:rPr>
      </w:pPr>
      <w:r>
        <w:rPr>
          <w:rFonts w:eastAsia="Times New Roman"/>
        </w:rPr>
        <w:pict>
          <v:rect id="_x0000_i1035"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ind w:left="476"/>
        <w:jc w:val="both"/>
        <w:rPr>
          <w:sz w:val="20"/>
          <w:szCs w:val="20"/>
        </w:rPr>
      </w:pPr>
      <w:r>
        <w:rPr>
          <w:sz w:val="20"/>
          <w:szCs w:val="20"/>
        </w:rPr>
        <w:t>On April 15, 2020, CoreCivic sold an idled facility in its Community segment, contai</w:t>
      </w:r>
      <w:r>
        <w:rPr>
          <w:sz w:val="20"/>
          <w:szCs w:val="20"/>
        </w:rPr>
        <w:t>ning 92 beds, for a gross sales price of $1.6 million. In anticipation of the sale, CoreCivic reported an impairment charge of $0.5 million in the first quarter of 2020 based on the realizable value resulting from the sale.  On May 26, 2020, CoreCivic sold</w:t>
      </w:r>
      <w:r>
        <w:rPr>
          <w:sz w:val="20"/>
          <w:szCs w:val="20"/>
        </w:rPr>
        <w:t xml:space="preserve"> an idled non-core facility in its Safety segment, containing 200 beds with a net book value of $0.5 million, for net proceeds of $3.3 million.  The gain on the sale of $2.8 million was recognized in the second quarter of 2020 and reflected in other income</w:t>
      </w:r>
      <w:r>
        <w:rPr>
          <w:sz w:val="20"/>
          <w:szCs w:val="20"/>
        </w:rPr>
        <w:t xml:space="preserve"> on the consolidated statement of operations.</w:t>
      </w:r>
    </w:p>
    <w:p w:rsidR="00000000" w:rsidRDefault="005F13FD">
      <w:pPr>
        <w:pStyle w:val="a3"/>
        <w:spacing w:before="240" w:beforeAutospacing="0" w:after="0" w:afterAutospacing="0"/>
        <w:ind w:left="476"/>
        <w:jc w:val="both"/>
        <w:rPr>
          <w:sz w:val="20"/>
          <w:szCs w:val="20"/>
        </w:rPr>
      </w:pPr>
      <w:r>
        <w:rPr>
          <w:sz w:val="20"/>
          <w:szCs w:val="20"/>
        </w:rPr>
        <w:t>On September 15, 2020, CoreCivic announced that it had entered into a new contract under an IGSA between the city of Cushing, Oklahoma and the U.S. Marshals Service to utilize the Company's 1,692-bed Cimarron C</w:t>
      </w:r>
      <w:r>
        <w:rPr>
          <w:sz w:val="20"/>
          <w:szCs w:val="20"/>
        </w:rPr>
        <w:t>orrectional Facility in the CoreCivic Safety segment.  The Company had previously announced its intention to idle the Cimarron facility during the third quarter of 2020, predominately due to a lower number of inmate populations from the state of Oklahoma r</w:t>
      </w:r>
      <w:r>
        <w:rPr>
          <w:sz w:val="20"/>
          <w:szCs w:val="20"/>
        </w:rPr>
        <w:t>esulting from COVID-19, combined with the consequential impact of COVID-19 on the State's budget. The new management contract commenced on September 15, 2020, and has an initial term of three years, with unlimited 24-month extension options thereafter upon</w:t>
      </w:r>
      <w:r>
        <w:rPr>
          <w:sz w:val="20"/>
          <w:szCs w:val="20"/>
        </w:rPr>
        <w:t xml:space="preserve"> mutual agreement. As of September 30, 2020, the net book value of the Cimarron facility was $73.3 million. </w:t>
      </w:r>
    </w:p>
    <w:p w:rsidR="00000000" w:rsidRDefault="005F13FD">
      <w:pPr>
        <w:pStyle w:val="a3"/>
        <w:spacing w:before="240" w:beforeAutospacing="0" w:after="0" w:afterAutospacing="0"/>
        <w:ind w:left="476"/>
        <w:jc w:val="both"/>
        <w:rPr>
          <w:sz w:val="20"/>
          <w:szCs w:val="20"/>
        </w:rPr>
      </w:pPr>
      <w:r>
        <w:rPr>
          <w:sz w:val="20"/>
          <w:szCs w:val="20"/>
        </w:rPr>
        <w:t>Also as a result of the lower resident populations from the state of Oklahoma and the impact of COVID-19, CoreCivic Community transferred the remai</w:t>
      </w:r>
      <w:r>
        <w:rPr>
          <w:sz w:val="20"/>
          <w:szCs w:val="20"/>
        </w:rPr>
        <w:t xml:space="preserve">ning resident populations at its 390-bed Tulsa Transitional Center to Oklahoma's system, idling the Tulsa facility during the third quarter of 2020. Closure of the Tulsa facility followed the closure of the 200-bed Oklahoma City Transitional Center during </w:t>
      </w:r>
      <w:r>
        <w:rPr>
          <w:sz w:val="20"/>
          <w:szCs w:val="20"/>
        </w:rPr>
        <w:t>the second quarter of 2020, and the 289-bed Turley Residential Center in Oklahoma in 2019.  During the fourth quarter of 2020, the Federal Bureau of Prisons ("BOP") awarded a new contract to CoreCivic for residential reentry and home confinement services p</w:t>
      </w:r>
      <w:r>
        <w:rPr>
          <w:sz w:val="20"/>
          <w:szCs w:val="20"/>
        </w:rPr>
        <w:t>ursuant to a solicitation for capacity and services to be provided in the state of Oklahoma.  As a result, CoreCivic expects to reactivate the Turley Residential Center during the first quarter of 2021, and provide the BOP additional reentry services at it</w:t>
      </w:r>
      <w:r>
        <w:rPr>
          <w:sz w:val="20"/>
          <w:szCs w:val="20"/>
        </w:rPr>
        <w:t>s owned and operated Oklahoma Reentry Opportunity Center (formerly known as the Carver Transitional Center) in Oklahoma which will supplement the existing utilization by the state of Oklahoma.</w:t>
      </w:r>
    </w:p>
    <w:p w:rsidR="00000000" w:rsidRDefault="005F13FD">
      <w:pPr>
        <w:pStyle w:val="a3"/>
        <w:spacing w:before="240" w:beforeAutospacing="0" w:after="0" w:afterAutospacing="0"/>
        <w:ind w:left="476"/>
        <w:jc w:val="both"/>
        <w:rPr>
          <w:color w:val="000000"/>
          <w:sz w:val="20"/>
          <w:szCs w:val="20"/>
        </w:rPr>
      </w:pPr>
      <w:r>
        <w:rPr>
          <w:color w:val="000000"/>
          <w:sz w:val="20"/>
          <w:szCs w:val="20"/>
          <w:shd w:val="clear" w:color="auto" w:fill="FFFFFF"/>
        </w:rPr>
        <w:t>CoreCivic considers the cancellation of a contract or an expira</w:t>
      </w:r>
      <w:r>
        <w:rPr>
          <w:color w:val="000000"/>
          <w:sz w:val="20"/>
          <w:szCs w:val="20"/>
          <w:shd w:val="clear" w:color="auto" w:fill="FFFFFF"/>
        </w:rPr>
        <w:t>tion and non-renewal of a lease agreement in its CoreCivic Properties segment as an indicator of impairment, and tested each of the idled properties for impairment when it was notified by the respective</w:t>
      </w:r>
      <w:r>
        <w:rPr>
          <w:color w:val="000000"/>
          <w:sz w:val="20"/>
          <w:szCs w:val="20"/>
        </w:rPr>
        <w:t xml:space="preserve"> </w:t>
      </w:r>
      <w:r>
        <w:rPr>
          <w:color w:val="000000"/>
          <w:sz w:val="20"/>
          <w:szCs w:val="20"/>
        </w:rPr>
        <w:t xml:space="preserve">customers or tenants that they would no longer be utilizing such property.  CoreCivic </w:t>
      </w:r>
      <w:r>
        <w:rPr>
          <w:color w:val="000000"/>
          <w:sz w:val="20"/>
          <w:szCs w:val="20"/>
          <w:shd w:val="clear" w:color="auto" w:fill="FFFFFF"/>
        </w:rPr>
        <w:t>evaluates on a quarterly basis market developments for the potential utilization of each of these properties in order to identify events that may cause CoreCivic to recon</w:t>
      </w:r>
      <w:r>
        <w:rPr>
          <w:color w:val="000000"/>
          <w:sz w:val="20"/>
          <w:szCs w:val="20"/>
          <w:shd w:val="clear" w:color="auto" w:fill="FFFFFF"/>
        </w:rPr>
        <w:t>sider its most recent assumptions, such as the agreement to sell a property at less than its carrying value.  </w:t>
      </w:r>
      <w:r>
        <w:rPr>
          <w:color w:val="000000"/>
          <w:sz w:val="20"/>
          <w:szCs w:val="20"/>
        </w:rPr>
        <w:t>As a result of CoreCivic's analyses, in the second quarter of 2020, CoreCivic reported an impairment charge of $9.8 million on one of the resident</w:t>
      </w:r>
      <w:r>
        <w:rPr>
          <w:color w:val="000000"/>
          <w:sz w:val="20"/>
          <w:szCs w:val="20"/>
        </w:rPr>
        <w:t>ial reentry facilities in Oklahoma, based on its anticipated use as a commercial real estate property rather than a reentry facility.  The fair value measurement for the Oklahoma residential reentry facility was estimated using unobservable Level 3 inputs,</w:t>
      </w:r>
      <w:r>
        <w:rPr>
          <w:color w:val="000000"/>
          <w:sz w:val="20"/>
          <w:szCs w:val="20"/>
        </w:rPr>
        <w:t xml:space="preserve"> as defined in ASC 820, using market comparable data for similar properties in the local market</w:t>
      </w:r>
      <w:r>
        <w:rPr>
          <w:color w:val="000000"/>
          <w:sz w:val="20"/>
          <w:szCs w:val="20"/>
          <w:shd w:val="clear" w:color="auto" w:fill="FFFFFF"/>
        </w:rPr>
        <w:t>.</w: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center"/>
        <w:rPr>
          <w:sz w:val="20"/>
          <w:szCs w:val="20"/>
        </w:rPr>
      </w:pPr>
      <w:r>
        <w:rPr>
          <w:sz w:val="20"/>
          <w:szCs w:val="20"/>
        </w:rPr>
        <w:t>10</w:t>
      </w:r>
    </w:p>
    <w:p w:rsidR="00000000" w:rsidRDefault="005F13FD">
      <w:pPr>
        <w:rPr>
          <w:rFonts w:eastAsia="Times New Roman"/>
        </w:rPr>
      </w:pPr>
      <w:r>
        <w:rPr>
          <w:rFonts w:eastAsia="Times New Roman"/>
        </w:rPr>
        <w:pict>
          <v:rect id="_x0000_i1036"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51479151"/>
        </w:trPr>
        <w:tc>
          <w:tcPr>
            <w:tcW w:w="227" w:type="pct"/>
            <w:noWrap/>
            <w:hideMark/>
          </w:tcPr>
          <w:p w:rsidR="00000000" w:rsidRDefault="005F13FD">
            <w:pPr>
              <w:pStyle w:val="a3"/>
              <w:spacing w:before="0" w:beforeAutospacing="0" w:after="0" w:afterAutospacing="0"/>
              <w:jc w:val="both"/>
              <w:rPr>
                <w:b/>
                <w:bCs/>
                <w:sz w:val="20"/>
                <w:szCs w:val="20"/>
              </w:rPr>
            </w:pPr>
            <w:r>
              <w:rPr>
                <w:b/>
                <w:bCs/>
                <w:sz w:val="20"/>
                <w:szCs w:val="20"/>
              </w:rPr>
              <w:t>5.</w:t>
            </w:r>
          </w:p>
        </w:tc>
        <w:tc>
          <w:tcPr>
            <w:tcW w:w="0" w:type="auto"/>
            <w:hideMark/>
          </w:tcPr>
          <w:p w:rsidR="00000000" w:rsidRDefault="005F13FD">
            <w:pPr>
              <w:pStyle w:val="a3"/>
              <w:spacing w:before="0" w:beforeAutospacing="0" w:after="0" w:afterAutospacing="0"/>
              <w:jc w:val="both"/>
              <w:rPr>
                <w:b/>
                <w:bCs/>
                <w:sz w:val="20"/>
                <w:szCs w:val="20"/>
              </w:rPr>
            </w:pPr>
            <w:r>
              <w:rPr>
                <w:b/>
                <w:bCs/>
                <w:sz w:val="20"/>
                <w:szCs w:val="20"/>
              </w:rPr>
              <w:t>DEBT</w:t>
            </w:r>
          </w:p>
        </w:tc>
      </w:tr>
    </w:tbl>
    <w:p w:rsidR="00000000" w:rsidRDefault="005F13FD">
      <w:pPr>
        <w:pStyle w:val="a3"/>
        <w:spacing w:before="120" w:beforeAutospacing="0" w:after="0" w:afterAutospacing="0"/>
        <w:ind w:left="476"/>
        <w:jc w:val="both"/>
        <w:rPr>
          <w:sz w:val="20"/>
          <w:szCs w:val="20"/>
        </w:rPr>
      </w:pPr>
      <w:r>
        <w:rPr>
          <w:sz w:val="20"/>
          <w:szCs w:val="20"/>
        </w:rPr>
        <w:t>Debt outstanding as of September 30, 2020 and December 31, </w:t>
      </w:r>
      <w:r>
        <w:rPr>
          <w:sz w:val="20"/>
          <w:szCs w:val="20"/>
        </w:rPr>
        <w:t xml:space="preserve">2019 consisted of the following (in thousands): </w:t>
      </w:r>
    </w:p>
    <w:p w:rsidR="00000000" w:rsidRDefault="005F13FD">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320"/>
        <w:gridCol w:w="65"/>
        <w:gridCol w:w="116"/>
        <w:gridCol w:w="920"/>
        <w:gridCol w:w="82"/>
        <w:gridCol w:w="65"/>
        <w:gridCol w:w="116"/>
        <w:gridCol w:w="879"/>
        <w:gridCol w:w="82"/>
      </w:tblGrid>
      <w:tr w:rsidR="00000000">
        <w:trPr>
          <w:divId w:val="645162290"/>
        </w:trPr>
        <w:tc>
          <w:tcPr>
            <w:tcW w:w="340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pPr>
            <w:r>
              <w:t> </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645162290"/>
        </w:trPr>
        <w:tc>
          <w:tcPr>
            <w:tcW w:w="340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16"/>
                <w:szCs w:val="16"/>
              </w:rPr>
            </w:pPr>
            <w:r>
              <w:rPr>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center"/>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645162290"/>
        </w:trPr>
        <w:tc>
          <w:tcPr>
            <w:tcW w:w="340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Revolving Credit Facility 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w:t>
            </w:r>
          </w:p>
          <w:p w:rsidR="00000000" w:rsidRDefault="005F13FD">
            <w:pPr>
              <w:pStyle w:val="a3"/>
              <w:spacing w:before="0" w:beforeAutospacing="0" w:after="0" w:afterAutospacing="0"/>
              <w:rPr>
                <w:color w:val="000000"/>
                <w:sz w:val="20"/>
                <w:szCs w:val="20"/>
              </w:rPr>
            </w:pPr>
            <w:r>
              <w:rPr>
                <w:color w:val="000000"/>
                <w:sz w:val="20"/>
                <w:szCs w:val="20"/>
              </w:rPr>
              <w:t>    </w:t>
            </w:r>
            <w:r>
              <w:rPr>
                <w:color w:val="000000"/>
                <w:sz w:val="20"/>
                <w:szCs w:val="20"/>
              </w:rPr>
              <w:t>periodically at variable interest rates. The weighted average rate</w:t>
            </w:r>
          </w:p>
          <w:p w:rsidR="00000000" w:rsidRDefault="005F13FD">
            <w:pPr>
              <w:pStyle w:val="a3"/>
              <w:spacing w:before="0" w:beforeAutospacing="0" w:after="0" w:afterAutospacing="0"/>
              <w:rPr>
                <w:color w:val="000000"/>
                <w:sz w:val="20"/>
                <w:szCs w:val="20"/>
              </w:rPr>
            </w:pPr>
            <w:r>
              <w:rPr>
                <w:color w:val="000000"/>
                <w:sz w:val="20"/>
                <w:szCs w:val="20"/>
              </w:rPr>
              <w:t>    at September 30, 2020 and December 31, 2019 was 1.7% and 3.3%,</w:t>
            </w:r>
          </w:p>
          <w:p w:rsidR="00000000" w:rsidRDefault="005F13FD">
            <w:pPr>
              <w:pStyle w:val="a3"/>
              <w:spacing w:before="0" w:beforeAutospacing="0" w:after="0" w:afterAutospacing="0"/>
              <w:rPr>
                <w:color w:val="000000"/>
                <w:sz w:val="20"/>
                <w:szCs w:val="20"/>
              </w:rPr>
            </w:pPr>
            <w:r>
              <w:rPr>
                <w:color w:val="000000"/>
                <w:sz w:val="20"/>
                <w:szCs w:val="20"/>
              </w:rPr>
              <w:t>    respectively.</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456,000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365,000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45162290"/>
        </w:trPr>
        <w:tc>
          <w:tcPr>
            <w:tcW w:w="340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Term Loan A 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 periodically at</w:t>
            </w:r>
          </w:p>
          <w:p w:rsidR="00000000" w:rsidRDefault="005F13FD">
            <w:pPr>
              <w:pStyle w:val="a3"/>
              <w:spacing w:before="0" w:beforeAutospacing="0" w:after="0" w:afterAutospacing="0"/>
              <w:rPr>
                <w:color w:val="000000"/>
                <w:sz w:val="20"/>
                <w:szCs w:val="20"/>
              </w:rPr>
            </w:pPr>
            <w:r>
              <w:rPr>
                <w:color w:val="000000"/>
                <w:sz w:val="20"/>
                <w:szCs w:val="20"/>
              </w:rPr>
              <w:t>    vari</w:t>
            </w:r>
            <w:r>
              <w:rPr>
                <w:color w:val="000000"/>
                <w:sz w:val="20"/>
                <w:szCs w:val="20"/>
              </w:rPr>
              <w:t>able interest rates. The rate at September 30, 2020 and</w:t>
            </w:r>
          </w:p>
          <w:p w:rsidR="00000000" w:rsidRDefault="005F13FD">
            <w:pPr>
              <w:pStyle w:val="a3"/>
              <w:spacing w:before="0" w:beforeAutospacing="0" w:after="0" w:afterAutospacing="0"/>
              <w:rPr>
                <w:color w:val="000000"/>
                <w:sz w:val="20"/>
                <w:szCs w:val="20"/>
              </w:rPr>
            </w:pPr>
            <w:r>
              <w:rPr>
                <w:color w:val="000000"/>
                <w:sz w:val="20"/>
                <w:szCs w:val="20"/>
              </w:rPr>
              <w:t>    December 31, 2019 was 1.6% and 3.3%, respectively.</w:t>
            </w:r>
          </w:p>
          <w:p w:rsidR="00000000" w:rsidRDefault="005F13FD">
            <w:pPr>
              <w:pStyle w:val="a3"/>
              <w:spacing w:before="0" w:beforeAutospacing="0" w:after="0" w:afterAutospacing="0"/>
              <w:rPr>
                <w:color w:val="000000"/>
                <w:sz w:val="20"/>
                <w:szCs w:val="20"/>
              </w:rPr>
            </w:pPr>
            <w:r>
              <w:rPr>
                <w:color w:val="000000"/>
                <w:sz w:val="20"/>
                <w:szCs w:val="20"/>
              </w:rPr>
              <w:t>    Unamortized debt issuance costs amounted to $0.1 million at</w:t>
            </w:r>
          </w:p>
          <w:p w:rsidR="00000000" w:rsidRDefault="005F13FD">
            <w:pPr>
              <w:pStyle w:val="a3"/>
              <w:spacing w:before="0" w:beforeAutospacing="0" w:after="0" w:afterAutospacing="0"/>
              <w:rPr>
                <w:color w:val="000000"/>
                <w:sz w:val="20"/>
                <w:szCs w:val="20"/>
              </w:rPr>
            </w:pPr>
            <w:r>
              <w:rPr>
                <w:color w:val="000000"/>
                <w:sz w:val="20"/>
                <w:szCs w:val="20"/>
              </w:rPr>
              <w:t>    both September 30, 2020 and December 31, 2019.</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182,500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190,000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45162290"/>
        </w:trPr>
        <w:tc>
          <w:tcPr>
            <w:tcW w:w="340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Term Loan B maturing</w:t>
            </w:r>
            <w:r>
              <w:rPr>
                <w:color w:val="000000"/>
                <w:sz w:val="20"/>
                <w:szCs w:val="20"/>
              </w:rPr>
              <w:t xml:space="preserve"> </w:t>
            </w:r>
            <w:r>
              <w:rPr>
                <w:color w:val="000000"/>
                <w:sz w:val="20"/>
                <w:szCs w:val="20"/>
              </w:rPr>
              <w:t>December 202</w:t>
            </w:r>
            <w:r>
              <w:rPr>
                <w:color w:val="000000"/>
                <w:sz w:val="20"/>
                <w:szCs w:val="20"/>
              </w:rPr>
              <w:t>4</w:t>
            </w:r>
            <w:r>
              <w:rPr>
                <w:color w:val="000000"/>
                <w:sz w:val="20"/>
                <w:szCs w:val="20"/>
              </w:rPr>
              <w:t>.  Interest payable periodically</w:t>
            </w:r>
          </w:p>
          <w:p w:rsidR="00000000" w:rsidRDefault="005F13FD">
            <w:pPr>
              <w:pStyle w:val="a3"/>
              <w:spacing w:before="0" w:beforeAutospacing="0" w:after="0" w:afterAutospacing="0"/>
              <w:rPr>
                <w:color w:val="000000"/>
                <w:sz w:val="20"/>
                <w:szCs w:val="20"/>
              </w:rPr>
            </w:pPr>
            <w:r>
              <w:rPr>
                <w:color w:val="000000"/>
                <w:sz w:val="20"/>
                <w:szCs w:val="20"/>
              </w:rPr>
              <w:t>    at variable interest rates. The rate at September 30, 2020 and</w:t>
            </w:r>
          </w:p>
          <w:p w:rsidR="00000000" w:rsidRDefault="005F13FD">
            <w:pPr>
              <w:pStyle w:val="a3"/>
              <w:spacing w:before="0" w:beforeAutospacing="0" w:after="0" w:afterAutospacing="0"/>
              <w:rPr>
                <w:color w:val="000000"/>
                <w:sz w:val="20"/>
                <w:szCs w:val="20"/>
              </w:rPr>
            </w:pPr>
            <w:r>
              <w:rPr>
                <w:color w:val="000000"/>
                <w:sz w:val="20"/>
                <w:szCs w:val="20"/>
              </w:rPr>
              <w:t>    December 31, 2019 was 5.5% and 6.3%, respectively.</w:t>
            </w:r>
          </w:p>
          <w:p w:rsidR="00000000" w:rsidRDefault="005F13FD">
            <w:pPr>
              <w:pStyle w:val="a3"/>
              <w:spacing w:before="0" w:beforeAutospacing="0" w:after="0" w:afterAutospacing="0"/>
              <w:rPr>
                <w:color w:val="000000"/>
                <w:sz w:val="20"/>
                <w:szCs w:val="20"/>
              </w:rPr>
            </w:pPr>
            <w:r>
              <w:rPr>
                <w:color w:val="000000"/>
                <w:sz w:val="20"/>
                <w:szCs w:val="20"/>
              </w:rPr>
              <w:t>    Unamortized debt issuance costs amounted to $4.3 mil</w:t>
            </w:r>
            <w:r>
              <w:rPr>
                <w:color w:val="000000"/>
                <w:sz w:val="20"/>
                <w:szCs w:val="20"/>
              </w:rPr>
              <w:t>lion and $4.6</w:t>
            </w:r>
          </w:p>
          <w:p w:rsidR="00000000" w:rsidRDefault="005F13FD">
            <w:pPr>
              <w:pStyle w:val="a3"/>
              <w:spacing w:before="0" w:beforeAutospacing="0" w:after="0" w:afterAutospacing="0"/>
              <w:rPr>
                <w:color w:val="000000"/>
                <w:sz w:val="20"/>
                <w:szCs w:val="20"/>
              </w:rPr>
            </w:pPr>
            <w:r>
              <w:rPr>
                <w:color w:val="000000"/>
                <w:sz w:val="20"/>
                <w:szCs w:val="20"/>
              </w:rPr>
              <w:t>    million at September 30, 2020 and December 31, 2019, respectively.</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240,625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45162290"/>
        </w:trPr>
        <w:tc>
          <w:tcPr>
            <w:tcW w:w="340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4.625% Senior Notes maturing</w:t>
            </w:r>
            <w:r>
              <w:rPr>
                <w:color w:val="000000"/>
                <w:sz w:val="20"/>
                <w:szCs w:val="20"/>
              </w:rPr>
              <w:t xml:space="preserve"> </w:t>
            </w:r>
            <w:r>
              <w:rPr>
                <w:color w:val="000000"/>
                <w:sz w:val="20"/>
                <w:szCs w:val="20"/>
              </w:rPr>
              <w:t>May 202</w:t>
            </w:r>
            <w:r>
              <w:rPr>
                <w:color w:val="000000"/>
                <w:sz w:val="20"/>
                <w:szCs w:val="20"/>
              </w:rPr>
              <w:t>3</w:t>
            </w:r>
            <w:r>
              <w:rPr>
                <w:color w:val="000000"/>
                <w:sz w:val="20"/>
                <w:szCs w:val="20"/>
              </w:rPr>
              <w:t>.  Unamortized debt issuance</w:t>
            </w:r>
          </w:p>
          <w:p w:rsidR="00000000" w:rsidRDefault="005F13FD">
            <w:pPr>
              <w:pStyle w:val="a3"/>
              <w:spacing w:before="0" w:beforeAutospacing="0" w:after="0" w:afterAutospacing="0"/>
              <w:rPr>
                <w:color w:val="000000"/>
                <w:sz w:val="20"/>
                <w:szCs w:val="20"/>
              </w:rPr>
            </w:pPr>
            <w:r>
              <w:rPr>
                <w:color w:val="000000"/>
                <w:sz w:val="20"/>
                <w:szCs w:val="20"/>
              </w:rPr>
              <w:t>    costs amounted to $1.6 million and $2.1 million at</w:t>
            </w:r>
          </w:p>
          <w:p w:rsidR="00000000" w:rsidRDefault="005F13FD">
            <w:pPr>
              <w:pStyle w:val="a3"/>
              <w:spacing w:before="0" w:beforeAutospacing="0" w:after="0" w:afterAutospacing="0"/>
              <w:rPr>
                <w:color w:val="000000"/>
                <w:sz w:val="20"/>
                <w:szCs w:val="20"/>
              </w:rPr>
            </w:pPr>
            <w:r>
              <w:rPr>
                <w:color w:val="000000"/>
                <w:sz w:val="20"/>
                <w:szCs w:val="20"/>
              </w:rPr>
              <w:t>    </w:t>
            </w:r>
            <w:r>
              <w:rPr>
                <w:color w:val="000000"/>
                <w:sz w:val="20"/>
                <w:szCs w:val="20"/>
              </w:rPr>
              <w:t>September 30, 2020 and December 31, 2019, respectively.</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350,000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45162290"/>
        </w:trPr>
        <w:tc>
          <w:tcPr>
            <w:tcW w:w="340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5.0% Senior Notes maturing</w:t>
            </w:r>
            <w:r>
              <w:rPr>
                <w:color w:val="000000"/>
                <w:sz w:val="20"/>
                <w:szCs w:val="20"/>
              </w:rPr>
              <w:t xml:space="preserve"> </w:t>
            </w:r>
            <w:r>
              <w:rPr>
                <w:color w:val="000000"/>
                <w:sz w:val="20"/>
                <w:szCs w:val="20"/>
              </w:rPr>
              <w:t>October 202</w:t>
            </w:r>
            <w:r>
              <w:rPr>
                <w:color w:val="000000"/>
                <w:sz w:val="20"/>
                <w:szCs w:val="20"/>
              </w:rPr>
              <w:t>2</w:t>
            </w:r>
            <w:r>
              <w:rPr>
                <w:color w:val="000000"/>
                <w:sz w:val="20"/>
                <w:szCs w:val="20"/>
              </w:rPr>
              <w:t>.  Unamortized debt issuance</w:t>
            </w:r>
          </w:p>
          <w:p w:rsidR="00000000" w:rsidRDefault="005F13FD">
            <w:pPr>
              <w:pStyle w:val="a3"/>
              <w:spacing w:before="0" w:beforeAutospacing="0" w:after="0" w:afterAutospacing="0"/>
              <w:rPr>
                <w:color w:val="000000"/>
                <w:sz w:val="20"/>
                <w:szCs w:val="20"/>
              </w:rPr>
            </w:pPr>
            <w:r>
              <w:rPr>
                <w:color w:val="000000"/>
                <w:sz w:val="20"/>
                <w:szCs w:val="20"/>
              </w:rPr>
              <w:t>    costs amounted to $1.0 million and $1.3 million at</w:t>
            </w:r>
          </w:p>
          <w:p w:rsidR="00000000" w:rsidRDefault="005F13FD">
            <w:pPr>
              <w:pStyle w:val="a3"/>
              <w:spacing w:before="0" w:beforeAutospacing="0" w:after="0" w:afterAutospacing="0"/>
              <w:rPr>
                <w:color w:val="000000"/>
                <w:sz w:val="20"/>
                <w:szCs w:val="20"/>
              </w:rPr>
            </w:pPr>
            <w:r>
              <w:rPr>
                <w:color w:val="000000"/>
                <w:sz w:val="20"/>
                <w:szCs w:val="20"/>
              </w:rPr>
              <w:t>    September 30, 2020 and December 31, 2019, re</w:t>
            </w:r>
            <w:r>
              <w:rPr>
                <w:color w:val="000000"/>
                <w:sz w:val="20"/>
                <w:szCs w:val="20"/>
              </w:rPr>
              <w:t>spectively.</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45162290"/>
        </w:trPr>
        <w:tc>
          <w:tcPr>
            <w:tcW w:w="340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4.75% Senior Notes maturing</w:t>
            </w:r>
            <w:r>
              <w:rPr>
                <w:color w:val="000000"/>
                <w:sz w:val="20"/>
                <w:szCs w:val="20"/>
              </w:rPr>
              <w:t xml:space="preserve"> </w:t>
            </w:r>
            <w:r>
              <w:rPr>
                <w:color w:val="000000"/>
                <w:sz w:val="20"/>
                <w:szCs w:val="20"/>
              </w:rPr>
              <w:t>October 202</w:t>
            </w:r>
            <w:r>
              <w:rPr>
                <w:color w:val="000000"/>
                <w:sz w:val="20"/>
                <w:szCs w:val="20"/>
              </w:rPr>
              <w:t>7</w:t>
            </w:r>
            <w:r>
              <w:rPr>
                <w:color w:val="000000"/>
                <w:sz w:val="20"/>
                <w:szCs w:val="20"/>
              </w:rPr>
              <w:t>.  Unamortized debt issuance</w:t>
            </w:r>
          </w:p>
          <w:p w:rsidR="00000000" w:rsidRDefault="005F13FD">
            <w:pPr>
              <w:pStyle w:val="a3"/>
              <w:spacing w:before="0" w:beforeAutospacing="0" w:after="0" w:afterAutospacing="0"/>
              <w:rPr>
                <w:color w:val="000000"/>
                <w:sz w:val="20"/>
                <w:szCs w:val="20"/>
              </w:rPr>
            </w:pPr>
            <w:r>
              <w:rPr>
                <w:color w:val="000000"/>
                <w:sz w:val="20"/>
                <w:szCs w:val="20"/>
              </w:rPr>
              <w:t>    costs amounted to $2.8 million and $3.1 million at</w:t>
            </w:r>
          </w:p>
          <w:p w:rsidR="00000000" w:rsidRDefault="005F13FD">
            <w:pPr>
              <w:pStyle w:val="a3"/>
              <w:spacing w:before="0" w:beforeAutospacing="0" w:after="0" w:afterAutospacing="0"/>
              <w:rPr>
                <w:color w:val="000000"/>
                <w:sz w:val="20"/>
                <w:szCs w:val="20"/>
              </w:rPr>
            </w:pPr>
            <w:r>
              <w:rPr>
                <w:color w:val="000000"/>
                <w:sz w:val="20"/>
                <w:szCs w:val="20"/>
              </w:rPr>
              <w:t>    September 30, 2020 and December 31, 2019, respectively.</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45162290"/>
        </w:trPr>
        <w:tc>
          <w:tcPr>
            <w:tcW w:w="340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4.5% Capital Commerce Center Non-Recourse Mortgage Note</w:t>
            </w:r>
          </w:p>
          <w:p w:rsidR="00000000" w:rsidRDefault="005F13FD">
            <w:pPr>
              <w:pStyle w:val="a3"/>
              <w:spacing w:before="0" w:beforeAutospacing="0" w:after="0" w:afterAutospacing="0"/>
              <w:rPr>
                <w:color w:val="000000"/>
                <w:sz w:val="20"/>
                <w:szCs w:val="20"/>
              </w:rPr>
            </w:pPr>
            <w:r>
              <w:rPr>
                <w:color w:val="000000"/>
                <w:sz w:val="20"/>
                <w:szCs w:val="20"/>
              </w:rPr>
              <w:t>    maturing</w:t>
            </w:r>
            <w:r>
              <w:rPr>
                <w:color w:val="000000"/>
                <w:sz w:val="20"/>
                <w:szCs w:val="20"/>
              </w:rPr>
              <w:t xml:space="preserve"> </w:t>
            </w:r>
            <w:r>
              <w:rPr>
                <w:color w:val="000000"/>
                <w:sz w:val="20"/>
                <w:szCs w:val="20"/>
              </w:rPr>
              <w:t>January 203</w:t>
            </w:r>
            <w:r>
              <w:rPr>
                <w:color w:val="000000"/>
                <w:sz w:val="20"/>
                <w:szCs w:val="20"/>
              </w:rPr>
              <w:t>3</w:t>
            </w:r>
            <w:r>
              <w:rPr>
                <w:color w:val="000000"/>
                <w:sz w:val="20"/>
                <w:szCs w:val="20"/>
              </w:rPr>
              <w:t>.  Unamortized debt issuance costs amounted</w:t>
            </w:r>
          </w:p>
          <w:p w:rsidR="00000000" w:rsidRDefault="005F13FD">
            <w:pPr>
              <w:pStyle w:val="a3"/>
              <w:spacing w:before="0" w:beforeAutospacing="0" w:after="0" w:afterAutospacing="0"/>
              <w:rPr>
                <w:color w:val="000000"/>
                <w:sz w:val="20"/>
                <w:szCs w:val="20"/>
              </w:rPr>
            </w:pPr>
            <w:r>
              <w:rPr>
                <w:color w:val="000000"/>
                <w:sz w:val="20"/>
                <w:szCs w:val="20"/>
              </w:rPr>
              <w:t>    to $0.3 million at both September 30, 2020 and December 31, 2019.</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21,258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22,209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45162290"/>
        </w:trPr>
        <w:tc>
          <w:tcPr>
            <w:tcW w:w="340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4.43</w:t>
            </w:r>
            <w:r>
              <w:rPr>
                <w:color w:val="000000"/>
                <w:sz w:val="20"/>
                <w:szCs w:val="20"/>
              </w:rPr>
              <w:t>% Lansing Correctional Center Non-Recourse Mortgage Note</w:t>
            </w:r>
          </w:p>
          <w:p w:rsidR="00000000" w:rsidRDefault="005F13FD">
            <w:pPr>
              <w:pStyle w:val="a3"/>
              <w:spacing w:before="0" w:beforeAutospacing="0" w:after="0" w:afterAutospacing="0"/>
              <w:rPr>
                <w:color w:val="000000"/>
                <w:sz w:val="20"/>
                <w:szCs w:val="20"/>
              </w:rPr>
            </w:pPr>
            <w:r>
              <w:rPr>
                <w:color w:val="000000"/>
                <w:sz w:val="20"/>
                <w:szCs w:val="20"/>
              </w:rPr>
              <w:t>    maturing</w:t>
            </w:r>
            <w:r>
              <w:rPr>
                <w:color w:val="000000"/>
                <w:sz w:val="20"/>
                <w:szCs w:val="20"/>
              </w:rPr>
              <w:t xml:space="preserve"> </w:t>
            </w:r>
            <w:r>
              <w:rPr>
                <w:color w:val="000000"/>
                <w:sz w:val="20"/>
                <w:szCs w:val="20"/>
              </w:rPr>
              <w:t>January 204</w:t>
            </w:r>
            <w:r>
              <w:rPr>
                <w:color w:val="000000"/>
                <w:sz w:val="20"/>
                <w:szCs w:val="20"/>
              </w:rPr>
              <w:t>0</w:t>
            </w:r>
            <w:r>
              <w:rPr>
                <w:color w:val="000000"/>
                <w:sz w:val="20"/>
                <w:szCs w:val="20"/>
              </w:rPr>
              <w:t>.  Unamortized debt issuance costs amounted</w:t>
            </w:r>
          </w:p>
          <w:p w:rsidR="00000000" w:rsidRDefault="005F13FD">
            <w:pPr>
              <w:pStyle w:val="a3"/>
              <w:spacing w:before="0" w:beforeAutospacing="0" w:after="0" w:afterAutospacing="0"/>
              <w:rPr>
                <w:color w:val="000000"/>
                <w:sz w:val="20"/>
                <w:szCs w:val="20"/>
              </w:rPr>
            </w:pPr>
            <w:r>
              <w:rPr>
                <w:color w:val="000000"/>
                <w:sz w:val="20"/>
                <w:szCs w:val="20"/>
              </w:rPr>
              <w:t>    to $3.2 million and $3.3 million at September 30, 2020 and</w:t>
            </w:r>
          </w:p>
          <w:p w:rsidR="00000000" w:rsidRDefault="005F13FD">
            <w:pPr>
              <w:pStyle w:val="a3"/>
              <w:spacing w:before="0" w:beforeAutospacing="0" w:after="0" w:afterAutospacing="0"/>
              <w:rPr>
                <w:color w:val="000000"/>
                <w:sz w:val="20"/>
                <w:szCs w:val="20"/>
              </w:rPr>
            </w:pPr>
            <w:r>
              <w:rPr>
                <w:color w:val="000000"/>
                <w:sz w:val="20"/>
                <w:szCs w:val="20"/>
              </w:rPr>
              <w:t>    December 31, 2019, respectively.</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158,570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159,522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45162290"/>
        </w:trPr>
        <w:tc>
          <w:tcPr>
            <w:tcW w:w="340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4</w:t>
            </w:r>
            <w:r>
              <w:rPr>
                <w:color w:val="000000"/>
                <w:sz w:val="20"/>
                <w:szCs w:val="20"/>
              </w:rPr>
              <w:t>.5% SSA-Baltimore Non-Recourse Mortgage Note maturing</w:t>
            </w:r>
          </w:p>
          <w:p w:rsidR="00000000" w:rsidRDefault="005F13FD">
            <w:pPr>
              <w:pStyle w:val="a3"/>
              <w:spacing w:before="0" w:beforeAutospacing="0" w:after="0" w:afterAutospacing="0"/>
              <w:rPr>
                <w:color w:val="000000"/>
                <w:sz w:val="20"/>
                <w:szCs w:val="20"/>
              </w:rPr>
            </w:pPr>
            <w:r>
              <w:rPr>
                <w:color w:val="000000"/>
                <w:sz w:val="20"/>
                <w:szCs w:val="20"/>
              </w:rPr>
              <w:t>   </w:t>
            </w:r>
            <w:r>
              <w:rPr>
                <w:color w:val="000000"/>
                <w:sz w:val="20"/>
                <w:szCs w:val="20"/>
              </w:rPr>
              <w:t> </w:t>
            </w:r>
            <w:r>
              <w:rPr>
                <w:color w:val="000000"/>
                <w:sz w:val="20"/>
                <w:szCs w:val="20"/>
              </w:rPr>
              <w:t>February 203</w:t>
            </w:r>
            <w:r>
              <w:rPr>
                <w:color w:val="000000"/>
                <w:sz w:val="20"/>
                <w:szCs w:val="20"/>
              </w:rPr>
              <w:t>4</w:t>
            </w:r>
            <w:r>
              <w:rPr>
                <w:color w:val="000000"/>
                <w:sz w:val="20"/>
                <w:szCs w:val="20"/>
              </w:rPr>
              <w:t>.  Unamortized debt issuance costs amounted to $0.2</w:t>
            </w:r>
          </w:p>
          <w:p w:rsidR="00000000" w:rsidRDefault="005F13FD">
            <w:pPr>
              <w:pStyle w:val="a3"/>
              <w:spacing w:before="0" w:beforeAutospacing="0" w:after="0" w:afterAutospacing="0"/>
              <w:rPr>
                <w:color w:val="000000"/>
                <w:sz w:val="20"/>
                <w:szCs w:val="20"/>
              </w:rPr>
            </w:pPr>
            <w:r>
              <w:rPr>
                <w:color w:val="000000"/>
                <w:sz w:val="20"/>
                <w:szCs w:val="20"/>
              </w:rPr>
              <w:t>    million at both September 30, 2020 and December 31, 2019.</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145,915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150,134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45162290"/>
        </w:trPr>
        <w:tc>
          <w:tcPr>
            <w:tcW w:w="340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4.91</w:t>
            </w:r>
            <w:r>
              <w:rPr>
                <w:color w:val="000000"/>
                <w:sz w:val="20"/>
                <w:szCs w:val="20"/>
              </w:rPr>
              <w:t>% Government Real Estate Solutions Non-Recourse Mortgage</w:t>
            </w:r>
          </w:p>
          <w:p w:rsidR="00000000" w:rsidRDefault="005F13FD">
            <w:pPr>
              <w:pStyle w:val="a3"/>
              <w:spacing w:before="0" w:beforeAutospacing="0" w:after="0" w:afterAutospacing="0"/>
              <w:rPr>
                <w:color w:val="000000"/>
                <w:sz w:val="20"/>
                <w:szCs w:val="20"/>
              </w:rPr>
            </w:pPr>
            <w:r>
              <w:rPr>
                <w:color w:val="000000"/>
                <w:sz w:val="20"/>
                <w:szCs w:val="20"/>
              </w:rPr>
              <w:t>    Note maturing</w:t>
            </w:r>
            <w:r>
              <w:rPr>
                <w:color w:val="000000"/>
                <w:sz w:val="20"/>
                <w:szCs w:val="20"/>
              </w:rPr>
              <w:t xml:space="preserve"> </w:t>
            </w:r>
            <w:r>
              <w:rPr>
                <w:color w:val="000000"/>
                <w:sz w:val="20"/>
                <w:szCs w:val="20"/>
              </w:rPr>
              <w:t>November 202</w:t>
            </w:r>
            <w:r>
              <w:rPr>
                <w:color w:val="000000"/>
                <w:sz w:val="20"/>
                <w:szCs w:val="20"/>
              </w:rPr>
              <w:t>5</w:t>
            </w: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51,545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45162290"/>
        </w:trPr>
        <w:tc>
          <w:tcPr>
            <w:tcW w:w="340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Total debt</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2,106,413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1,986,865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45162290"/>
        </w:trPr>
        <w:tc>
          <w:tcPr>
            <w:tcW w:w="340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Unamortized debt issuance costs</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(13,452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(14,993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645162290"/>
        </w:trPr>
        <w:tc>
          <w:tcPr>
            <w:tcW w:w="340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Unamortized original issue discount</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(10,625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(12,500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645162290"/>
        </w:trPr>
        <w:tc>
          <w:tcPr>
            <w:tcW w:w="3400"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Current portion of long-term debt</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(38,644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(31,349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645162290"/>
        </w:trPr>
        <w:tc>
          <w:tcPr>
            <w:tcW w:w="3400"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Long-term debt, net</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2,043,692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1,928,023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ind w:left="476"/>
        <w:jc w:val="both"/>
        <w:rPr>
          <w:i/>
          <w:iCs/>
          <w:sz w:val="20"/>
          <w:szCs w:val="20"/>
        </w:rPr>
      </w:pPr>
      <w:r>
        <w:rPr>
          <w:i/>
          <w:iCs/>
          <w:sz w:val="20"/>
          <w:szCs w:val="20"/>
        </w:rPr>
        <w:t>Revolving Credit Facility.</w:t>
      </w:r>
      <w:r>
        <w:rPr>
          <w:sz w:val="20"/>
          <w:szCs w:val="20"/>
        </w:rPr>
        <w:t>  </w:t>
      </w:r>
      <w:r>
        <w:rPr>
          <w:sz w:val="20"/>
          <w:szCs w:val="20"/>
        </w:rPr>
        <w:t>On April 17, 2018, CoreCivic entered into the Second Amended and Restated Credit Agreement (referred to herein as the "Bank Credit Agreement") in an aggregate principal amount of up to $1.0 billion.  The Bank Credit Agreement provides for a term loan of $2</w:t>
      </w:r>
      <w:r>
        <w:rPr>
          <w:sz w:val="20"/>
          <w:szCs w:val="20"/>
        </w:rPr>
        <w:t>00.0 million (the "Term Loan A") and a revolving credit facility in an aggregate principal amount of up to $800.0 million (the "Revolving Credit Facility"). The Bank Credit Agreement has a maturity of</w:t>
      </w:r>
      <w:r>
        <w:rPr>
          <w:sz w:val="20"/>
          <w:szCs w:val="20"/>
        </w:rPr>
        <w:t xml:space="preserve"> </w:t>
      </w:r>
      <w:r>
        <w:rPr>
          <w:sz w:val="20"/>
          <w:szCs w:val="20"/>
        </w:rPr>
        <w:t>April 202</w:t>
      </w:r>
      <w:r>
        <w:rPr>
          <w:sz w:val="20"/>
          <w:szCs w:val="20"/>
        </w:rPr>
        <w:t>3</w:t>
      </w:r>
      <w:r>
        <w:rPr>
          <w:sz w:val="20"/>
          <w:szCs w:val="20"/>
        </w:rPr>
        <w:t>.  The Bank Credit Agreement also contains an</w:t>
      </w:r>
      <w:r>
        <w:rPr>
          <w:sz w:val="20"/>
          <w:szCs w:val="20"/>
        </w:rPr>
        <w:t xml:space="preserve"> "accordion" feature that provides for uncommitted incremental extensions of credit in the form of increases in the revolving commitments or incremental term loans of up to $350.0 million. At CoreCivic's option, interest on outstanding borrowings under the</w:t>
      </w:r>
      <w:r>
        <w:rPr>
          <w:sz w:val="20"/>
          <w:szCs w:val="20"/>
        </w:rPr>
        <w:t xml:space="preserve"> Revolving Credit Facility is based on either a base rate plus a margin ranging from 0.00% to 1.00% or at the London Interbank Offered Rate ("LIBOR") plus a margin ranging from 1.00% to 2.00% based on CoreCivic's then-current leverage ratio.  The Revolving</w:t>
      </w:r>
      <w:r>
        <w:rPr>
          <w:sz w:val="20"/>
          <w:szCs w:val="20"/>
        </w:rPr>
        <w:t xml:space="preserve"> Credit Facility includes a $30.0 million sublimit for swing line loans that enables CoreCivic to borrow at the base rate from the Administrative Agent on same-day notice. </w:t>
      </w:r>
    </w:p>
    <w:p w:rsidR="00000000" w:rsidRDefault="005F13FD">
      <w:pPr>
        <w:pStyle w:val="a3"/>
        <w:spacing w:before="240" w:beforeAutospacing="0" w:after="0" w:afterAutospacing="0"/>
        <w:jc w:val="center"/>
        <w:rPr>
          <w:sz w:val="20"/>
          <w:szCs w:val="20"/>
        </w:rPr>
      </w:pPr>
      <w:r>
        <w:rPr>
          <w:sz w:val="20"/>
          <w:szCs w:val="20"/>
        </w:rPr>
        <w:t>11</w:t>
      </w:r>
    </w:p>
    <w:p w:rsidR="00000000" w:rsidRDefault="005F13FD">
      <w:pPr>
        <w:rPr>
          <w:rFonts w:eastAsia="Times New Roman"/>
        </w:rPr>
      </w:pPr>
      <w:r>
        <w:rPr>
          <w:rFonts w:eastAsia="Times New Roman"/>
        </w:rPr>
        <w:pict>
          <v:rect id="_x0000_i1037"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120" w:beforeAutospacing="0" w:after="0" w:afterAutospacing="0"/>
        <w:ind w:left="476"/>
        <w:jc w:val="both"/>
        <w:rPr>
          <w:sz w:val="20"/>
          <w:szCs w:val="20"/>
        </w:rPr>
      </w:pPr>
      <w:r>
        <w:rPr>
          <w:sz w:val="20"/>
          <w:szCs w:val="20"/>
        </w:rPr>
        <w:t>Based on CoreCivic's total leverage ratio,</w:t>
      </w:r>
      <w:r>
        <w:rPr>
          <w:sz w:val="20"/>
          <w:szCs w:val="20"/>
        </w:rPr>
        <w:t xml:space="preserve"> loans under the Revolving Credit Facility during 2019 and the first nine months of 2020 were at the base rate plus a margin of 0.50% or at LIBOR plus a margin of 1.50%, and a commitment fee equal to 0.35% of the unfunded balance.  The Revolving Credit Fac</w:t>
      </w:r>
      <w:r>
        <w:rPr>
          <w:sz w:val="20"/>
          <w:szCs w:val="20"/>
        </w:rPr>
        <w:t>ility also has a $50.0 million sublimit for the issuance of standby letters of credit. As of September 30, 2020, CoreCivic had $456.0 million in borrowings outstanding under the Revolving Credit Facility as well as $14.8 million in letters of credit outsta</w:t>
      </w:r>
      <w:r>
        <w:rPr>
          <w:sz w:val="20"/>
          <w:szCs w:val="20"/>
        </w:rPr>
        <w:t>nding resulting in $329.2 million available under the Revolving Credit Facility.  </w:t>
      </w:r>
    </w:p>
    <w:p w:rsidR="00000000" w:rsidRDefault="005F13FD">
      <w:pPr>
        <w:pStyle w:val="a3"/>
        <w:spacing w:before="240" w:beforeAutospacing="0" w:after="0" w:afterAutospacing="0"/>
        <w:ind w:left="476"/>
        <w:jc w:val="both"/>
        <w:rPr>
          <w:sz w:val="20"/>
          <w:szCs w:val="20"/>
        </w:rPr>
      </w:pPr>
      <w:r>
        <w:rPr>
          <w:sz w:val="20"/>
          <w:szCs w:val="20"/>
        </w:rPr>
        <w:t>The Revolving Credit Facility is secured by a pledge of all of the capital stock of CoreCivic's domestic restricted subsidiaries, 65% of the capital stock of CoreCivic's foreign subsidiaries, all of CoreCivic's accounts receivable, and all of CoreCivic's d</w:t>
      </w:r>
      <w:r>
        <w:rPr>
          <w:sz w:val="20"/>
          <w:szCs w:val="20"/>
        </w:rPr>
        <w:t>eposit accounts. The Revolving Credit Facility requires CoreCivic to meet certain financial covenants, including, without limitation, a maximum total leverage ratio, a maximum secured leverage ratio, and a minimum fixed charge coverage ratio.  As of Septem</w:t>
      </w:r>
      <w:r>
        <w:rPr>
          <w:sz w:val="20"/>
          <w:szCs w:val="20"/>
        </w:rPr>
        <w:t>ber 30, 2020, CoreCivic was in compliance with all such covenants.  In addition, the Revolving Credit Facility contains certain covenants that, among other things, limit the incurrence of additional indebtedness, payment of dividends and other customary re</w:t>
      </w:r>
      <w:r>
        <w:rPr>
          <w:sz w:val="20"/>
          <w:szCs w:val="20"/>
        </w:rPr>
        <w:t>stricted payments, permitted investments, transactions with affiliates, asset sales, mergers and consolidations, liquidations, prepayments and modifications of other indebtedness, liens and other encumbrances and other matters customarily restricted in suc</w:t>
      </w:r>
      <w:r>
        <w:rPr>
          <w:sz w:val="20"/>
          <w:szCs w:val="20"/>
        </w:rPr>
        <w:t xml:space="preserve">h agreements.  In addition, the Revolving Credit Facility is subject to certain cross-default provisions with terms of CoreCivic's other unsecured indebtedness, and is subject to acceleration upon the occurrence of a change of control. </w:t>
      </w:r>
    </w:p>
    <w:p w:rsidR="00000000" w:rsidRDefault="005F13FD">
      <w:pPr>
        <w:pStyle w:val="a3"/>
        <w:spacing w:before="120" w:beforeAutospacing="0" w:after="0" w:afterAutospacing="0"/>
        <w:ind w:left="476"/>
        <w:jc w:val="both"/>
        <w:rPr>
          <w:sz w:val="20"/>
          <w:szCs w:val="20"/>
        </w:rPr>
      </w:pPr>
      <w:r>
        <w:rPr>
          <w:sz w:val="20"/>
          <w:szCs w:val="20"/>
        </w:rPr>
        <w:t>As a result of oppo</w:t>
      </w:r>
      <w:r>
        <w:rPr>
          <w:sz w:val="20"/>
          <w:szCs w:val="20"/>
        </w:rPr>
        <w:t>sition to immigration policies and the association of private companies with the enforcement of such policies, some banks, including several that are currently parties to the Bank Credit Agreement, have announced that they do not expect to continue providi</w:t>
      </w:r>
      <w:r>
        <w:rPr>
          <w:sz w:val="20"/>
          <w:szCs w:val="20"/>
        </w:rPr>
        <w:t>ng credit or financial services to private entities that operate correctional and detention</w:t>
      </w:r>
      <w:r>
        <w:rPr>
          <w:b/>
          <w:bCs/>
          <w:sz w:val="20"/>
          <w:szCs w:val="20"/>
        </w:rPr>
        <w:t xml:space="preserve"> </w:t>
      </w:r>
      <w:r>
        <w:rPr>
          <w:sz w:val="20"/>
          <w:szCs w:val="20"/>
        </w:rPr>
        <w:t>facilities, including CoreCivic.  The banks that are currently parties to the Bank Credit Agreement are obligated to honor their commitments under the Bank Credit A</w:t>
      </w:r>
      <w:r>
        <w:rPr>
          <w:sz w:val="20"/>
          <w:szCs w:val="20"/>
        </w:rPr>
        <w:t>greement, which expire in</w:t>
      </w:r>
      <w:r>
        <w:rPr>
          <w:sz w:val="20"/>
          <w:szCs w:val="20"/>
        </w:rPr>
        <w:t xml:space="preserve"> </w:t>
      </w:r>
      <w:r>
        <w:rPr>
          <w:sz w:val="20"/>
          <w:szCs w:val="20"/>
        </w:rPr>
        <w:t>April 202</w:t>
      </w:r>
      <w:r>
        <w:rPr>
          <w:sz w:val="20"/>
          <w:szCs w:val="20"/>
        </w:rPr>
        <w:t>3</w:t>
      </w:r>
      <w:r>
        <w:rPr>
          <w:sz w:val="20"/>
          <w:szCs w:val="20"/>
        </w:rPr>
        <w:t>.</w:t>
      </w:r>
    </w:p>
    <w:p w:rsidR="00000000" w:rsidRDefault="005F13FD">
      <w:pPr>
        <w:pStyle w:val="a3"/>
        <w:spacing w:before="240" w:beforeAutospacing="0" w:after="0" w:afterAutospacing="0"/>
        <w:ind w:left="476"/>
        <w:jc w:val="both"/>
        <w:rPr>
          <w:i/>
          <w:iCs/>
          <w:sz w:val="20"/>
          <w:szCs w:val="20"/>
        </w:rPr>
      </w:pPr>
      <w:r>
        <w:rPr>
          <w:i/>
          <w:iCs/>
          <w:sz w:val="20"/>
          <w:szCs w:val="20"/>
        </w:rPr>
        <w:t>Incremental Term Loan A.</w:t>
      </w:r>
      <w:r>
        <w:t xml:space="preserve"> </w:t>
      </w:r>
      <w:r>
        <w:rPr>
          <w:sz w:val="20"/>
          <w:szCs w:val="20"/>
        </w:rPr>
        <w:t xml:space="preserve">Interest rate margins under the Term Loan A are the same as the interest rate margins under the Revolving Credit Facility.  The Term Loan A also has the same collateral requirements, financial </w:t>
      </w:r>
      <w:r>
        <w:rPr>
          <w:sz w:val="20"/>
          <w:szCs w:val="20"/>
        </w:rPr>
        <w:t>and certain other covenants, and cross-default provisions as the Revolving Credit Facility.  The Term Loan A, which is pre-payable without penalty, also has a maturity concurrent with the Revolving Credit Facility due</w:t>
      </w:r>
      <w:r>
        <w:rPr>
          <w:sz w:val="20"/>
          <w:szCs w:val="20"/>
        </w:rPr>
        <w:t xml:space="preserve"> </w:t>
      </w:r>
      <w:r>
        <w:rPr>
          <w:sz w:val="20"/>
          <w:szCs w:val="20"/>
        </w:rPr>
        <w:t>April 202</w:t>
      </w:r>
      <w:r>
        <w:rPr>
          <w:sz w:val="20"/>
          <w:szCs w:val="20"/>
        </w:rPr>
        <w:t>3</w:t>
      </w:r>
      <w:r>
        <w:rPr>
          <w:sz w:val="20"/>
          <w:szCs w:val="20"/>
        </w:rPr>
        <w:t>, with scheduled quarterly p</w:t>
      </w:r>
      <w:r>
        <w:rPr>
          <w:sz w:val="20"/>
          <w:szCs w:val="20"/>
        </w:rPr>
        <w:t>rincipal payments through April 2023.  As of September 30, 2020, the outstanding balance of the Term Loan A was $182.5 million.  </w:t>
      </w:r>
    </w:p>
    <w:p w:rsidR="00000000" w:rsidRDefault="005F13FD">
      <w:pPr>
        <w:pStyle w:val="a3"/>
        <w:spacing w:before="240" w:beforeAutospacing="0" w:after="0" w:afterAutospacing="0"/>
        <w:ind w:left="476"/>
        <w:jc w:val="both"/>
        <w:rPr>
          <w:i/>
          <w:iCs/>
          <w:sz w:val="20"/>
          <w:szCs w:val="20"/>
        </w:rPr>
      </w:pPr>
      <w:r>
        <w:rPr>
          <w:i/>
          <w:iCs/>
          <w:sz w:val="20"/>
          <w:szCs w:val="20"/>
        </w:rPr>
        <w:t xml:space="preserve">Senior Secured Term Loan B. </w:t>
      </w:r>
      <w:r>
        <w:rPr>
          <w:sz w:val="20"/>
          <w:szCs w:val="20"/>
        </w:rPr>
        <w:t>On December 18, 2019, CoreCivic entered into a new $250.0 million Senior Secured Term Loan B ("Ter</w:t>
      </w:r>
      <w:r>
        <w:rPr>
          <w:sz w:val="20"/>
          <w:szCs w:val="20"/>
        </w:rPr>
        <w:t>m Loan B" and, together with the Bank Credit Agreement, the "Credit Agreements").  The Term Loan B bears interest at a rate of LIBOR plus 4.50%, with a 1.00% LIBOR floor (or, at CoreCivic's option, a base rate plus 3.50%), and has a</w:t>
      </w:r>
      <w:r>
        <w:rPr>
          <w:sz w:val="20"/>
          <w:szCs w:val="20"/>
        </w:rPr>
        <w:t xml:space="preserve"> </w:t>
      </w:r>
      <w:r>
        <w:rPr>
          <w:sz w:val="20"/>
          <w:szCs w:val="20"/>
        </w:rPr>
        <w:t>five-yea</w:t>
      </w:r>
      <w:r>
        <w:rPr>
          <w:sz w:val="20"/>
          <w:szCs w:val="20"/>
        </w:rPr>
        <w:t>r</w:t>
      </w:r>
      <w:r>
        <w:rPr>
          <w:sz w:val="20"/>
          <w:szCs w:val="20"/>
        </w:rPr>
        <w:t xml:space="preserve"> maturity with</w:t>
      </w:r>
      <w:r>
        <w:rPr>
          <w:sz w:val="20"/>
          <w:szCs w:val="20"/>
        </w:rPr>
        <w:t xml:space="preserve"> scheduled quarterly principal payments through</w:t>
      </w:r>
      <w:r>
        <w:rPr>
          <w:sz w:val="20"/>
          <w:szCs w:val="20"/>
        </w:rPr>
        <w:t xml:space="preserve"> </w:t>
      </w:r>
      <w:r>
        <w:rPr>
          <w:sz w:val="20"/>
          <w:szCs w:val="20"/>
        </w:rPr>
        <w:t>December 202</w:t>
      </w:r>
      <w:r>
        <w:rPr>
          <w:sz w:val="20"/>
          <w:szCs w:val="20"/>
        </w:rPr>
        <w:t>4</w:t>
      </w:r>
      <w:r>
        <w:rPr>
          <w:sz w:val="20"/>
          <w:szCs w:val="20"/>
        </w:rPr>
        <w:t>.  The Term Loan B is secured by a first lien on certain specified real property assets, representing a loan-to-value of no greater than 80%.  CoreCivic can prepay the Term Loan B at any time and</w:t>
      </w:r>
      <w:r>
        <w:rPr>
          <w:sz w:val="20"/>
          <w:szCs w:val="20"/>
        </w:rPr>
        <w:t xml:space="preserve"> from time to time, without premium or penalty, except that a premium of 1.0% of the amount prepaid must accompany any prepayment made prior to December 18, 2020, with the proceeds of any new or replacement tranche of term loans that are in the nature of w</w:t>
      </w:r>
      <w:r>
        <w:rPr>
          <w:sz w:val="20"/>
          <w:szCs w:val="20"/>
        </w:rPr>
        <w:t>hat are commonly referred to as "B" term loans and that bear interest with an all-in yield less than the all-in yield applicable to the Term Loan B. The 1.0% prepayment premium is also payable in respect of certain repricing events occurring prior to Decem</w:t>
      </w:r>
      <w:r>
        <w:rPr>
          <w:sz w:val="20"/>
          <w:szCs w:val="20"/>
        </w:rPr>
        <w:t>ber 18, 2020.  The Term Loan B was issued at a price of 95% of the principal amount of the Term Loan B, resulting in a discount of $12.5 million, which is amortized into interest expense over the term of the Term Loan B.   Proceeds from the issuance of the</w:t>
      </w:r>
      <w:r>
        <w:rPr>
          <w:sz w:val="20"/>
          <w:szCs w:val="20"/>
        </w:rPr>
        <w:t xml:space="preserve"> Term Loan B were used to partially fund the early redemption of </w:t>
      </w:r>
      <w:r>
        <w:rPr>
          <w:color w:val="000000"/>
          <w:sz w:val="20"/>
          <w:szCs w:val="20"/>
        </w:rPr>
        <w:t xml:space="preserve">$325.0 million in aggregate principal amount of 4.125% senior notes originally due 2020, </w:t>
      </w:r>
      <w:r>
        <w:rPr>
          <w:sz w:val="20"/>
          <w:szCs w:val="20"/>
        </w:rPr>
        <w:t>transaction fees and expenses, and to provide for general corporate purposes.  CoreCivic capitalized a</w:t>
      </w:r>
      <w:r>
        <w:rPr>
          <w:sz w:val="20"/>
          <w:szCs w:val="20"/>
        </w:rPr>
        <w:t>pproximately $5.1 million of costs associated with the issuance of the Term Loan B.  As of September 30, 2020, the outstanding balance of the Term Loan B was $240.6 million.</w:t>
      </w:r>
    </w:p>
    <w:p w:rsidR="00000000" w:rsidRDefault="005F13FD">
      <w:pPr>
        <w:pStyle w:val="a3"/>
        <w:spacing w:before="240" w:beforeAutospacing="0" w:after="0" w:afterAutospacing="0"/>
        <w:ind w:left="476"/>
        <w:jc w:val="both"/>
        <w:rPr>
          <w:i/>
          <w:iCs/>
          <w:sz w:val="20"/>
          <w:szCs w:val="20"/>
        </w:rPr>
      </w:pPr>
      <w:r>
        <w:rPr>
          <w:i/>
          <w:iCs/>
          <w:sz w:val="20"/>
          <w:szCs w:val="20"/>
        </w:rPr>
        <w:t>Senior Notes.</w:t>
      </w:r>
      <w:r>
        <w:rPr>
          <w:sz w:val="20"/>
          <w:szCs w:val="20"/>
        </w:rPr>
        <w:t>  Interest on the $350.0 million aggregate principal amount of CoreCi</w:t>
      </w:r>
      <w:r>
        <w:rPr>
          <w:sz w:val="20"/>
          <w:szCs w:val="20"/>
        </w:rPr>
        <w:t>vic's 4.625% senior notes issued in April 2013 (the "4.625% Senior Notes") accrues at the stated rate and is payable in May and November of each year.  The 4.625% Senior Notes are scheduled to mature on May 1, 2023.  Interest on the $250.0 million aggregat</w:t>
      </w:r>
      <w:r>
        <w:rPr>
          <w:sz w:val="20"/>
          <w:szCs w:val="20"/>
        </w:rPr>
        <w:t>e principal amount of CoreCivic's 5.0% senior notes issued in September 2015 (the "5.0% Senior Notes") accrues at the stated rate and is payable in April and October of each year.  The 5.0% Senior Notes are scheduled to mature on October 15, 2022.  Interes</w:t>
      </w:r>
      <w:r>
        <w:rPr>
          <w:sz w:val="20"/>
          <w:szCs w:val="20"/>
        </w:rPr>
        <w:t>t on the $250.0 million aggregate principal amount of CoreCivic's 4.75% senior notes issued in October 2017 (the "4.75% Senior Notes") accrues at the stated rate and is payable in April and October of each year.  The 4.75% Senior Notes are scheduled to mat</w:t>
      </w:r>
      <w:r>
        <w:rPr>
          <w:sz w:val="20"/>
          <w:szCs w:val="20"/>
        </w:rPr>
        <w:t>ure on October 15, 2027.</w:t>
      </w:r>
    </w:p>
    <w:p w:rsidR="00000000" w:rsidRDefault="005F13FD">
      <w:pPr>
        <w:pStyle w:val="a3"/>
        <w:spacing w:before="240" w:beforeAutospacing="0" w:after="0" w:afterAutospacing="0"/>
        <w:jc w:val="center"/>
        <w:rPr>
          <w:sz w:val="20"/>
          <w:szCs w:val="20"/>
        </w:rPr>
      </w:pPr>
      <w:r>
        <w:rPr>
          <w:sz w:val="20"/>
          <w:szCs w:val="20"/>
        </w:rPr>
        <w:t>12</w:t>
      </w:r>
    </w:p>
    <w:p w:rsidR="00000000" w:rsidRDefault="005F13FD">
      <w:pPr>
        <w:rPr>
          <w:rFonts w:eastAsia="Times New Roman"/>
        </w:rPr>
      </w:pPr>
      <w:r>
        <w:rPr>
          <w:rFonts w:eastAsia="Times New Roman"/>
        </w:rPr>
        <w:pict>
          <v:rect id="_x0000_i1038"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ind w:left="476"/>
        <w:jc w:val="both"/>
        <w:rPr>
          <w:sz w:val="20"/>
          <w:szCs w:val="20"/>
        </w:rPr>
      </w:pPr>
      <w:r>
        <w:rPr>
          <w:sz w:val="20"/>
          <w:szCs w:val="20"/>
        </w:rPr>
        <w:t>The 4.625% Senior Notes, the 5.0% Senior Notes, and the 4.75% Senior Notes, collectively referred to herein as the "Senior Notes", are senior unsecured obligations of the Company and are gua</w:t>
      </w:r>
      <w:r>
        <w:rPr>
          <w:sz w:val="20"/>
          <w:szCs w:val="20"/>
        </w:rPr>
        <w:t>ranteed by all of the Company's subsidiaries that guarantee the Revolving Credit Facility.  CoreCivic may redeem all or part of the Senior Notes at any time prior to three months before their respective maturity date at a "make-whole" redemption price, plu</w:t>
      </w:r>
      <w:r>
        <w:rPr>
          <w:sz w:val="20"/>
          <w:szCs w:val="20"/>
        </w:rPr>
        <w:t>s accrued and unpaid interest thereon to, but not including, the redemption date.  Thereafter, the Senior Notes are redeemable at CoreCivic's option, in whole or in part, at a redemption price equal to 100% of the aggregate principal amount of the notes to</w:t>
      </w:r>
      <w:r>
        <w:rPr>
          <w:sz w:val="20"/>
          <w:szCs w:val="20"/>
        </w:rPr>
        <w:t xml:space="preserve"> be redeemed plus accrued and unpaid interest thereon to, but not including, the redemption date.  </w:t>
      </w:r>
    </w:p>
    <w:p w:rsidR="00000000" w:rsidRDefault="005F13FD">
      <w:pPr>
        <w:pStyle w:val="a3"/>
        <w:spacing w:before="240" w:beforeAutospacing="0" w:after="0" w:afterAutospacing="0"/>
        <w:ind w:left="476"/>
        <w:jc w:val="both"/>
        <w:rPr>
          <w:b/>
          <w:bCs/>
          <w:i/>
          <w:iCs/>
          <w:sz w:val="20"/>
          <w:szCs w:val="20"/>
        </w:rPr>
      </w:pPr>
      <w:r>
        <w:rPr>
          <w:b/>
          <w:bCs/>
          <w:i/>
          <w:iCs/>
          <w:sz w:val="20"/>
          <w:szCs w:val="20"/>
        </w:rPr>
        <w:t>Non-Recourse Mortgage Notes:</w:t>
      </w:r>
    </w:p>
    <w:p w:rsidR="00000000" w:rsidRDefault="005F13FD">
      <w:pPr>
        <w:pStyle w:val="a3"/>
        <w:spacing w:before="120" w:beforeAutospacing="0" w:after="0" w:afterAutospacing="0"/>
        <w:ind w:left="476"/>
        <w:jc w:val="both"/>
        <w:rPr>
          <w:i/>
          <w:iCs/>
          <w:sz w:val="20"/>
          <w:szCs w:val="20"/>
        </w:rPr>
      </w:pPr>
      <w:r>
        <w:rPr>
          <w:i/>
          <w:iCs/>
          <w:sz w:val="20"/>
          <w:szCs w:val="20"/>
        </w:rPr>
        <w:t>Capital Commerce Center</w:t>
      </w:r>
      <w:r>
        <w:rPr>
          <w:sz w:val="20"/>
          <w:szCs w:val="20"/>
        </w:rPr>
        <w:t>.  On January 19, 2018, CoreCivic acquired the 261,000 square-foot Capital Commerce Center, located in T</w:t>
      </w:r>
      <w:r>
        <w:rPr>
          <w:sz w:val="20"/>
          <w:szCs w:val="20"/>
        </w:rPr>
        <w:t>allahassee, Florida, for a purchase price of $44.7 million.  The acquisition was partially financed with a $24.5 million non-recourse mortgage note (the "Capital Commerce Note"), which is fully-secured by the Capital Commerce Center property, with an inter</w:t>
      </w:r>
      <w:r>
        <w:rPr>
          <w:sz w:val="20"/>
          <w:szCs w:val="20"/>
        </w:rPr>
        <w:t>est rate of 4.5%, maturing in January 2033.  Principal and interest on the Capital Commerce Note are payable in equal monthly payments over the 15-year term of the note. The Capital Commerce Note is pre-payable at any time with a prepayment charge, if any,</w:t>
      </w:r>
      <w:r>
        <w:rPr>
          <w:sz w:val="20"/>
          <w:szCs w:val="20"/>
        </w:rPr>
        <w:t xml:space="preserve"> equal to an amount so as to maintain the same yield on the Capital Commerce Note as if it had been carried through to its full term using Treasury instruments having a term equal to the remaining term of the Capital Commerce Note as of the prepayment date</w:t>
      </w:r>
      <w:r>
        <w:rPr>
          <w:sz w:val="20"/>
          <w:szCs w:val="20"/>
        </w:rPr>
        <w:t>. CoreCivic capitalized approximately $0.4 million of costs associated with the Capital Commerce Note.  As of September 30, 2020, the outstanding balance of the mortgage note was $21.3 million.</w:t>
      </w:r>
    </w:p>
    <w:p w:rsidR="00000000" w:rsidRDefault="005F13FD">
      <w:pPr>
        <w:pStyle w:val="a3"/>
        <w:spacing w:before="240" w:beforeAutospacing="0" w:after="0" w:afterAutospacing="0"/>
        <w:ind w:left="476"/>
        <w:jc w:val="both"/>
        <w:rPr>
          <w:i/>
          <w:iCs/>
          <w:sz w:val="20"/>
          <w:szCs w:val="20"/>
        </w:rPr>
      </w:pPr>
      <w:r>
        <w:rPr>
          <w:i/>
          <w:iCs/>
          <w:sz w:val="20"/>
          <w:szCs w:val="20"/>
        </w:rPr>
        <w:t>Lansing Correctional Facility.  </w:t>
      </w:r>
      <w:r>
        <w:rPr>
          <w:color w:val="000000"/>
          <w:sz w:val="20"/>
          <w:szCs w:val="20"/>
        </w:rPr>
        <w:t>On April 20, 2018, CoreCivic o</w:t>
      </w:r>
      <w:r>
        <w:rPr>
          <w:color w:val="000000"/>
          <w:sz w:val="20"/>
          <w:szCs w:val="20"/>
        </w:rPr>
        <w:t>f Kansas, LLC (the "Issuer"), a wholly-owned unrestricted subsidiary of the Company, priced $159.5 million in aggregate principal amount of non-recourse senior secured notes of the Issuer (the "Kansas Notes"), in a private placement pursuant to Section 4(a</w:t>
      </w:r>
      <w:r>
        <w:rPr>
          <w:color w:val="000000"/>
          <w:sz w:val="20"/>
          <w:szCs w:val="20"/>
        </w:rPr>
        <w:t>)(2) of the Securities Act of 1933, as amended.  The private placement closed on June 1, 2018.  The Company used the proceeds of the private placement, which were drawn on quarterly funding dates beginning in the second quarter of 2018, to fund constructio</w:t>
      </w:r>
      <w:r>
        <w:rPr>
          <w:color w:val="000000"/>
          <w:sz w:val="20"/>
          <w:szCs w:val="20"/>
        </w:rPr>
        <w:t>n of the Lansing Correctional Facility, along with costs and expenses of the project.  The Kansas Notes have a yield to maturity of 4.43% and are scheduled to mature in January 2040, 20 years following completion of the project, which occurred in January 2</w:t>
      </w:r>
      <w:r>
        <w:rPr>
          <w:color w:val="000000"/>
          <w:sz w:val="20"/>
          <w:szCs w:val="20"/>
        </w:rPr>
        <w:t xml:space="preserve">020. Principal and interest on the Kansas Notes will be payable in quarterly payments beginning in July 2020 until maturity. CoreCivic may redeem all or part of the Kansas Notes at any time upon written notice of not less than 30 days and not more than 60 </w:t>
      </w:r>
      <w:r>
        <w:rPr>
          <w:color w:val="000000"/>
          <w:sz w:val="20"/>
          <w:szCs w:val="20"/>
        </w:rPr>
        <w:t>days prior to the date fixed for such prepayment, with a "make-whole" amount, together with interest on the Kansas Notes accrued to, but not including, the redemption date. CoreCivic capitalized approximately $3.4 million of costs associated with the priva</w:t>
      </w:r>
      <w:r>
        <w:rPr>
          <w:color w:val="000000"/>
          <w:sz w:val="20"/>
          <w:szCs w:val="20"/>
        </w:rPr>
        <w:t>te placement. Because the Issuer has been designated as an unrestricted subsidiary of the Company under terms of the Company's Credit Agreements, the issuance and service of the Kansas Notes, and the revenues and expenses associated with the facility lease</w:t>
      </w:r>
      <w:r>
        <w:rPr>
          <w:color w:val="000000"/>
          <w:sz w:val="20"/>
          <w:szCs w:val="20"/>
        </w:rPr>
        <w:t>, do not impact the financial covenants associated with the Company's Credit Agreements.  As of September 30, 2020, the outstanding balance of the Kansas Notes was $158.6 million.</w:t>
      </w:r>
    </w:p>
    <w:p w:rsidR="00000000" w:rsidRDefault="005F13FD">
      <w:pPr>
        <w:pStyle w:val="a3"/>
        <w:spacing w:before="240" w:beforeAutospacing="0" w:after="0" w:afterAutospacing="0"/>
        <w:ind w:left="476"/>
        <w:jc w:val="both"/>
        <w:rPr>
          <w:i/>
          <w:iCs/>
          <w:sz w:val="20"/>
          <w:szCs w:val="20"/>
        </w:rPr>
      </w:pPr>
      <w:r>
        <w:rPr>
          <w:i/>
          <w:iCs/>
          <w:sz w:val="20"/>
          <w:szCs w:val="20"/>
        </w:rPr>
        <w:t>SSA-Baltimore.  </w:t>
      </w:r>
      <w:r>
        <w:rPr>
          <w:sz w:val="20"/>
          <w:szCs w:val="20"/>
        </w:rPr>
        <w:t>On August 23, 2018, CoreCivic acquired the 541,000 square-fo</w:t>
      </w:r>
      <w:r>
        <w:rPr>
          <w:sz w:val="20"/>
          <w:szCs w:val="20"/>
        </w:rPr>
        <w:t xml:space="preserve">ot SSA-Baltimore office building for a purchase price of $242.0 million.  In connection with the acquisition, a wholly-owned unrestricted subsidiary of the Company assumed $157.3 million of in-place financing that was used to fund the initial construction </w:t>
      </w:r>
      <w:r>
        <w:rPr>
          <w:sz w:val="20"/>
          <w:szCs w:val="20"/>
        </w:rPr>
        <w:t>of the property in 2014.  The assumed non-recourse mortgage note (the "SSA-Baltimore Note") carries a fixed interest rate of 4.5% and requires monthly principal and interest payments, with a balloon payment of $40.0 million due at maturity in</w:t>
      </w:r>
      <w:r>
        <w:rPr>
          <w:sz w:val="20"/>
          <w:szCs w:val="20"/>
        </w:rPr>
        <w:t xml:space="preserve"> </w:t>
      </w:r>
      <w:r>
        <w:rPr>
          <w:sz w:val="20"/>
          <w:szCs w:val="20"/>
        </w:rPr>
        <w:t>February 203</w:t>
      </w:r>
      <w:r>
        <w:rPr>
          <w:sz w:val="20"/>
          <w:szCs w:val="20"/>
        </w:rPr>
        <w:t>4</w:t>
      </w:r>
      <w:r>
        <w:rPr>
          <w:sz w:val="20"/>
          <w:szCs w:val="20"/>
        </w:rPr>
        <w:t>. The SSA-Baltimore Note is fully-secured by the SSA-Baltimore property.  CoreCivic may pre-pay the SSA-Baltimore Note in whole or in part upon not less than 30 days' and not more than 60 days' prior written notice and such pre-payment shall include a "mak</w:t>
      </w:r>
      <w:r>
        <w:rPr>
          <w:sz w:val="20"/>
          <w:szCs w:val="20"/>
        </w:rPr>
        <w:t>e-whole" amount.  During the last 90 days of the permanent loan term and upon 30 days' prior written notice, CoreCivic may prepay the note in full, including any accrued and outstanding interest on any permanent loan payment date, without the payment of th</w:t>
      </w:r>
      <w:r>
        <w:rPr>
          <w:sz w:val="20"/>
          <w:szCs w:val="20"/>
        </w:rPr>
        <w:t>e "make-whole" amount.  CoreCivic capitalized approximately $0.2 million of costs associated with the assumption of the SSA-Baltimore Note.  As of September 30, 2020, the outstanding balance of the SSA-Baltimore Note was $145.9 million.</w:t>
      </w:r>
    </w:p>
    <w:p w:rsidR="00000000" w:rsidRDefault="005F13FD">
      <w:pPr>
        <w:pStyle w:val="a3"/>
        <w:spacing w:before="240" w:beforeAutospacing="0" w:after="0" w:afterAutospacing="0"/>
        <w:ind w:left="476"/>
        <w:jc w:val="both"/>
        <w:rPr>
          <w:i/>
          <w:iCs/>
          <w:sz w:val="20"/>
          <w:szCs w:val="20"/>
        </w:rPr>
      </w:pPr>
      <w:r>
        <w:rPr>
          <w:i/>
          <w:iCs/>
          <w:sz w:val="20"/>
          <w:szCs w:val="20"/>
        </w:rPr>
        <w:t>Government Real Est</w:t>
      </w:r>
      <w:r>
        <w:rPr>
          <w:i/>
          <w:iCs/>
          <w:sz w:val="20"/>
          <w:szCs w:val="20"/>
        </w:rPr>
        <w:t>ate Solutions.</w:t>
      </w:r>
      <w:r>
        <w:rPr>
          <w:sz w:val="20"/>
          <w:szCs w:val="20"/>
        </w:rPr>
        <w:t>  As previously described herein, on January 2, 2020, CoreCivic acquired a portfolio of 28 properties, 24 of which the counter-party contributed to a newly formed partnership of the Company's, for total consideration of $83.2 million.  In con</w:t>
      </w:r>
      <w:r>
        <w:rPr>
          <w:sz w:val="20"/>
          <w:szCs w:val="20"/>
        </w:rPr>
        <w:t>nection with the acquisition, a wholly-owned subsidiary of GRES assumed $52.2 million of in-place financing.  The assumed non-recourse mortgage note (the "GRES Note") carries a fixed interest rate of 4.91% and requires monthly principal and interest paymen</w:t>
      </w:r>
      <w:r>
        <w:rPr>
          <w:sz w:val="20"/>
          <w:szCs w:val="20"/>
        </w:rPr>
        <w:t>ts, with a balloon payment of $46.2 million due at maturity in</w:t>
      </w:r>
      <w:r>
        <w:rPr>
          <w:sz w:val="20"/>
          <w:szCs w:val="20"/>
        </w:rPr>
        <w:t xml:space="preserve"> </w:t>
      </w:r>
      <w:r>
        <w:rPr>
          <w:sz w:val="20"/>
          <w:szCs w:val="20"/>
        </w:rPr>
        <w:t>November 202</w:t>
      </w:r>
      <w:r>
        <w:rPr>
          <w:sz w:val="20"/>
          <w:szCs w:val="20"/>
        </w:rPr>
        <w:t>5</w:t>
      </w:r>
      <w:r>
        <w:rPr>
          <w:sz w:val="20"/>
          <w:szCs w:val="20"/>
        </w:rPr>
        <w:t>.  The GRES Note continues to be fully-secured by the same 24 properties originally pledged as collateral at the time the debt was issued.  Generally, a prepayment of the GRES Note</w:t>
      </w:r>
      <w:r>
        <w:rPr>
          <w:sz w:val="20"/>
          <w:szCs w:val="20"/>
        </w:rPr>
        <w:t xml:space="preserve"> is not permitted, except during the last three months prior to maturity of the note.  As of September 30, 2020, the outstanding balance of the GRES Note was $51.5 million.</w:t>
      </w:r>
    </w:p>
    <w:p w:rsidR="00000000" w:rsidRDefault="005F13FD">
      <w:pPr>
        <w:pStyle w:val="a3"/>
        <w:spacing w:before="240" w:beforeAutospacing="0" w:after="0" w:afterAutospacing="0"/>
        <w:ind w:left="476"/>
        <w:jc w:val="both"/>
        <w:rPr>
          <w:sz w:val="20"/>
          <w:szCs w:val="20"/>
        </w:rPr>
      </w:pPr>
      <w:r>
        <w:rPr>
          <w:sz w:val="20"/>
          <w:szCs w:val="20"/>
        </w:rPr>
        <w:t xml:space="preserve">CoreCivic may also seek to issue additional debt or equity securities from time to </w:t>
      </w:r>
      <w:r>
        <w:rPr>
          <w:sz w:val="20"/>
          <w:szCs w:val="20"/>
        </w:rPr>
        <w:t>time when the Company determines that market conditions and the opportunity to utilize the proceeds from the issuance of such securities are favorable.</w:t>
      </w:r>
    </w:p>
    <w:p w:rsidR="00000000" w:rsidRDefault="005F13FD">
      <w:pPr>
        <w:pStyle w:val="a3"/>
        <w:spacing w:before="240" w:beforeAutospacing="0" w:after="0" w:afterAutospacing="0"/>
        <w:jc w:val="center"/>
        <w:rPr>
          <w:sz w:val="20"/>
          <w:szCs w:val="20"/>
        </w:rPr>
      </w:pPr>
      <w:r>
        <w:rPr>
          <w:sz w:val="20"/>
          <w:szCs w:val="20"/>
        </w:rPr>
        <w:t>13</w:t>
      </w:r>
    </w:p>
    <w:p w:rsidR="00000000" w:rsidRDefault="005F13FD">
      <w:pPr>
        <w:rPr>
          <w:rFonts w:eastAsia="Times New Roman"/>
        </w:rPr>
      </w:pPr>
      <w:r>
        <w:rPr>
          <w:rFonts w:eastAsia="Times New Roman"/>
        </w:rPr>
        <w:pict>
          <v:rect id="_x0000_i1039"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120" w:beforeAutospacing="0" w:after="0" w:afterAutospacing="0"/>
        <w:ind w:left="476"/>
        <w:jc w:val="both"/>
        <w:rPr>
          <w:i/>
          <w:iCs/>
          <w:sz w:val="20"/>
          <w:szCs w:val="20"/>
        </w:rPr>
      </w:pPr>
      <w:r>
        <w:rPr>
          <w:i/>
          <w:iCs/>
          <w:sz w:val="20"/>
          <w:szCs w:val="20"/>
        </w:rPr>
        <w:t>Debt Maturities.</w:t>
      </w:r>
      <w:r>
        <w:rPr>
          <w:sz w:val="20"/>
          <w:szCs w:val="20"/>
        </w:rPr>
        <w:t>  Scheduled principal payments as of September</w:t>
      </w:r>
      <w:r>
        <w:rPr>
          <w:sz w:val="20"/>
          <w:szCs w:val="20"/>
        </w:rPr>
        <w:t> 30, 2020 for the remainder of 2020, the next five years, and thereafter were as follows (in thousands):</w:t>
      </w:r>
    </w:p>
    <w:p w:rsidR="00000000" w:rsidRDefault="005F13FD">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24"/>
        <w:gridCol w:w="65"/>
        <w:gridCol w:w="115"/>
        <w:gridCol w:w="815"/>
        <w:gridCol w:w="65"/>
      </w:tblGrid>
      <w:tr w:rsidR="00000000">
        <w:trPr>
          <w:divId w:val="50545763"/>
        </w:trPr>
        <w:tc>
          <w:tcPr>
            <w:tcW w:w="401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2020 (remainder)</w:t>
            </w:r>
          </w:p>
        </w:tc>
        <w:tc>
          <w:tcPr>
            <w:tcW w:w="9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8,585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0545763"/>
        </w:trPr>
        <w:tc>
          <w:tcPr>
            <w:tcW w:w="401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2021</w:t>
            </w:r>
          </w:p>
        </w:tc>
        <w:tc>
          <w:tcPr>
            <w:tcW w:w="9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40,047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0545763"/>
        </w:trPr>
        <w:tc>
          <w:tcPr>
            <w:tcW w:w="401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2022</w:t>
            </w:r>
          </w:p>
        </w:tc>
        <w:tc>
          <w:tcPr>
            <w:tcW w:w="9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293,990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0545763"/>
        </w:trPr>
        <w:tc>
          <w:tcPr>
            <w:tcW w:w="401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2023</w:t>
            </w:r>
          </w:p>
        </w:tc>
        <w:tc>
          <w:tcPr>
            <w:tcW w:w="9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996,170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0545763"/>
        </w:trPr>
        <w:tc>
          <w:tcPr>
            <w:tcW w:w="401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2024</w:t>
            </w:r>
          </w:p>
        </w:tc>
        <w:tc>
          <w:tcPr>
            <w:tcW w:w="9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196,044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0545763"/>
        </w:trPr>
        <w:tc>
          <w:tcPr>
            <w:tcW w:w="401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2025</w:t>
            </w:r>
          </w:p>
        </w:tc>
        <w:tc>
          <w:tcPr>
            <w:tcW w:w="9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61,730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0545763"/>
        </w:trPr>
        <w:tc>
          <w:tcPr>
            <w:tcW w:w="401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Thereafter</w:t>
            </w:r>
          </w:p>
        </w:tc>
        <w:tc>
          <w:tcPr>
            <w:tcW w:w="9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509,847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0545763"/>
        </w:trPr>
        <w:tc>
          <w:tcPr>
            <w:tcW w:w="401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Total debt</w:t>
            </w:r>
          </w:p>
        </w:tc>
        <w:tc>
          <w:tcPr>
            <w:tcW w:w="9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2,106,413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8880734"/>
        </w:trPr>
        <w:tc>
          <w:tcPr>
            <w:tcW w:w="227" w:type="pct"/>
            <w:noWrap/>
            <w:hideMark/>
          </w:tcPr>
          <w:p w:rsidR="00000000" w:rsidRDefault="005F13FD">
            <w:pPr>
              <w:pStyle w:val="a3"/>
              <w:spacing w:before="160" w:beforeAutospacing="0" w:after="0" w:afterAutospacing="0"/>
              <w:jc w:val="both"/>
              <w:rPr>
                <w:b/>
                <w:bCs/>
                <w:sz w:val="20"/>
                <w:szCs w:val="20"/>
              </w:rPr>
            </w:pPr>
            <w:r>
              <w:rPr>
                <w:b/>
                <w:bCs/>
                <w:sz w:val="20"/>
                <w:szCs w:val="20"/>
              </w:rPr>
              <w:t>6.</w:t>
            </w:r>
          </w:p>
        </w:tc>
        <w:tc>
          <w:tcPr>
            <w:tcW w:w="0" w:type="auto"/>
            <w:hideMark/>
          </w:tcPr>
          <w:p w:rsidR="00000000" w:rsidRDefault="005F13FD">
            <w:pPr>
              <w:pStyle w:val="a3"/>
              <w:spacing w:before="160" w:beforeAutospacing="0" w:after="0" w:afterAutospacing="0"/>
              <w:jc w:val="both"/>
              <w:rPr>
                <w:b/>
                <w:bCs/>
                <w:sz w:val="20"/>
                <w:szCs w:val="20"/>
              </w:rPr>
            </w:pPr>
            <w:r>
              <w:rPr>
                <w:b/>
                <w:bCs/>
                <w:sz w:val="20"/>
                <w:szCs w:val="20"/>
              </w:rPr>
              <w:t>STOCKHOLDERS' EQUITY</w:t>
            </w:r>
          </w:p>
        </w:tc>
      </w:tr>
    </w:tbl>
    <w:p w:rsidR="00000000" w:rsidRDefault="005F13FD">
      <w:pPr>
        <w:pStyle w:val="a3"/>
        <w:spacing w:before="120" w:beforeAutospacing="0" w:after="0" w:afterAutospacing="0"/>
        <w:ind w:firstLine="556"/>
        <w:jc w:val="both"/>
        <w:rPr>
          <w:b/>
          <w:bCs/>
          <w:sz w:val="20"/>
          <w:szCs w:val="20"/>
        </w:rPr>
      </w:pPr>
      <w:r>
        <w:rPr>
          <w:b/>
          <w:bCs/>
          <w:sz w:val="20"/>
          <w:szCs w:val="20"/>
        </w:rPr>
        <w:t>Dividends on Common Stock</w:t>
      </w:r>
    </w:p>
    <w:p w:rsidR="00000000" w:rsidRDefault="005F13FD">
      <w:pPr>
        <w:pStyle w:val="a3"/>
        <w:spacing w:before="120" w:beforeAutospacing="0" w:after="0" w:afterAutospacing="0"/>
        <w:ind w:left="476"/>
        <w:jc w:val="both"/>
        <w:rPr>
          <w:sz w:val="20"/>
          <w:szCs w:val="20"/>
        </w:rPr>
      </w:pPr>
      <w:r>
        <w:rPr>
          <w:sz w:val="20"/>
          <w:szCs w:val="20"/>
        </w:rPr>
        <w:t xml:space="preserve">During 2019 and the first quarter of 2020, CoreCivic's BOD declared the following quarterly dividends on its common stock: </w:t>
      </w:r>
    </w:p>
    <w:p w:rsidR="00000000" w:rsidRDefault="005F13FD">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1736"/>
        <w:gridCol w:w="109"/>
        <w:gridCol w:w="1737"/>
        <w:gridCol w:w="109"/>
        <w:gridCol w:w="1737"/>
        <w:gridCol w:w="110"/>
        <w:gridCol w:w="115"/>
        <w:gridCol w:w="927"/>
        <w:gridCol w:w="65"/>
      </w:tblGrid>
      <w:tr w:rsidR="00000000">
        <w:trPr>
          <w:divId w:val="160703695"/>
        </w:trPr>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Declaration Date</w:t>
            </w:r>
          </w:p>
        </w:tc>
        <w:tc>
          <w:tcPr>
            <w:tcW w:w="87"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Record Date</w:t>
            </w:r>
          </w:p>
        </w:tc>
        <w:tc>
          <w:tcPr>
            <w:tcW w:w="87"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Payable Date</w:t>
            </w:r>
          </w:p>
        </w:tc>
        <w:tc>
          <w:tcPr>
            <w:tcW w:w="87"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75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Per Share</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60703695"/>
        </w:trPr>
        <w:tc>
          <w:tcPr>
            <w:tcW w:w="1311" w:type="pct"/>
            <w:tcBorders>
              <w:top w:val="single" w:sz="6" w:space="0" w:color="000000"/>
            </w:tcBorders>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February 21, 2019</w:t>
            </w:r>
          </w:p>
        </w:tc>
        <w:tc>
          <w:tcPr>
            <w:tcW w:w="87"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1311" w:type="pct"/>
            <w:tcBorders>
              <w:top w:val="single" w:sz="6" w:space="0" w:color="000000"/>
            </w:tcBorders>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April 1, 2019</w:t>
            </w:r>
          </w:p>
        </w:tc>
        <w:tc>
          <w:tcPr>
            <w:tcW w:w="87"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1311" w:type="pct"/>
            <w:tcBorders>
              <w:top w:val="single" w:sz="6" w:space="0" w:color="000000"/>
            </w:tcBorders>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April 15, 2019</w:t>
            </w:r>
          </w:p>
        </w:tc>
        <w:tc>
          <w:tcPr>
            <w:tcW w:w="87"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70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0703695"/>
        </w:trPr>
        <w:tc>
          <w:tcPr>
            <w:tcW w:w="1311"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May 16, 2019</w:t>
            </w:r>
          </w:p>
        </w:tc>
        <w:tc>
          <w:tcPr>
            <w:tcW w:w="87"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July 1, 2019</w:t>
            </w:r>
          </w:p>
        </w:tc>
        <w:tc>
          <w:tcPr>
            <w:tcW w:w="87"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July 16, 2019</w:t>
            </w:r>
          </w:p>
        </w:tc>
        <w:tc>
          <w:tcPr>
            <w:tcW w:w="87"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0703695"/>
        </w:trPr>
        <w:tc>
          <w:tcPr>
            <w:tcW w:w="1311"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August 15, 2019</w:t>
            </w:r>
          </w:p>
        </w:tc>
        <w:tc>
          <w:tcPr>
            <w:tcW w:w="87"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October 1, 2019</w:t>
            </w:r>
          </w:p>
        </w:tc>
        <w:tc>
          <w:tcPr>
            <w:tcW w:w="87"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October 15, 2019</w:t>
            </w:r>
          </w:p>
        </w:tc>
        <w:tc>
          <w:tcPr>
            <w:tcW w:w="87"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701"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0703695"/>
        </w:trPr>
        <w:tc>
          <w:tcPr>
            <w:tcW w:w="1311"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December 12, 2019</w:t>
            </w:r>
          </w:p>
        </w:tc>
        <w:tc>
          <w:tcPr>
            <w:tcW w:w="87"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January 6, 2020</w:t>
            </w:r>
          </w:p>
        </w:tc>
        <w:tc>
          <w:tcPr>
            <w:tcW w:w="87"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January 15, 2020</w:t>
            </w:r>
          </w:p>
        </w:tc>
        <w:tc>
          <w:tcPr>
            <w:tcW w:w="87"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0703695"/>
        </w:trPr>
        <w:tc>
          <w:tcPr>
            <w:tcW w:w="1311"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February 20, 2020</w:t>
            </w:r>
          </w:p>
        </w:tc>
        <w:tc>
          <w:tcPr>
            <w:tcW w:w="87"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April 1, 2020</w:t>
            </w:r>
          </w:p>
        </w:tc>
        <w:tc>
          <w:tcPr>
            <w:tcW w:w="87"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April 15, 2020</w:t>
            </w:r>
          </w:p>
        </w:tc>
        <w:tc>
          <w:tcPr>
            <w:tcW w:w="87"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701"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ind w:left="476"/>
        <w:jc w:val="both"/>
        <w:rPr>
          <w:sz w:val="20"/>
          <w:szCs w:val="20"/>
        </w:rPr>
      </w:pPr>
      <w:r>
        <w:rPr>
          <w:sz w:val="20"/>
          <w:szCs w:val="20"/>
        </w:rPr>
        <w:t>Future dividends will depend on CoreCivic's distribution requirements as a REIT, future cash flows and earnings, capital requirements, financial condition, limitations under debt covenants, opportunities for alternative uses of capital, and on such other f</w:t>
      </w:r>
      <w:r>
        <w:rPr>
          <w:sz w:val="20"/>
          <w:szCs w:val="20"/>
        </w:rPr>
        <w:t>actors as the BOD of CoreCivic may consider relevant. As further discussed in Note 1, the Company announced on June 17, 2020 that the BOD suspended the Company's quarterly dividend while it evaluated corporate structure and capital allocation alternatives.</w:t>
      </w:r>
      <w:r>
        <w:rPr>
          <w:sz w:val="20"/>
          <w:szCs w:val="20"/>
        </w:rPr>
        <w:t>  On August 5, 2020, the BOD voted unanimously to approve a plan to revoke the Company’s REIT election and become a taxable C Corporation, effective January 1, 2021; the BOD also voted unanimously to discontinue the quarterly dividend and prioritize alloca</w:t>
      </w:r>
      <w:r>
        <w:rPr>
          <w:sz w:val="20"/>
          <w:szCs w:val="20"/>
        </w:rPr>
        <w:t xml:space="preserve">ting the Company's free cash flow to reduce debt levels.   </w:t>
      </w:r>
    </w:p>
    <w:p w:rsidR="00000000" w:rsidRDefault="005F13FD">
      <w:pPr>
        <w:pStyle w:val="a3"/>
        <w:spacing w:before="360" w:beforeAutospacing="0" w:after="0" w:afterAutospacing="0"/>
        <w:ind w:left="476"/>
        <w:jc w:val="both"/>
        <w:rPr>
          <w:b/>
          <w:bCs/>
          <w:sz w:val="20"/>
          <w:szCs w:val="20"/>
        </w:rPr>
      </w:pPr>
      <w:r>
        <w:rPr>
          <w:b/>
          <w:bCs/>
          <w:sz w:val="20"/>
          <w:szCs w:val="20"/>
        </w:rPr>
        <w:t>Stock Options</w:t>
      </w:r>
    </w:p>
    <w:p w:rsidR="00000000" w:rsidRDefault="005F13FD">
      <w:pPr>
        <w:pStyle w:val="a3"/>
        <w:spacing w:before="120" w:beforeAutospacing="0" w:after="0" w:afterAutospacing="0"/>
        <w:ind w:left="476"/>
        <w:jc w:val="both"/>
        <w:rPr>
          <w:sz w:val="20"/>
          <w:szCs w:val="20"/>
        </w:rPr>
      </w:pPr>
      <w:r>
        <w:rPr>
          <w:sz w:val="20"/>
          <w:szCs w:val="20"/>
        </w:rPr>
        <w:t>Since 2012, CoreCivic has elected not to issue stock options to its non-employee directors, officers, and executive officers as it had in prior years, and instead elected to issue al</w:t>
      </w:r>
      <w:r>
        <w:rPr>
          <w:sz w:val="20"/>
          <w:szCs w:val="20"/>
        </w:rPr>
        <w:t>l of its equity compensation in the form of restricted common stock units ("RSUs"), as described hereafter.  All outstanding stock options were fully vested as of December 31, 2016.  As of September 30, 2020, options to purchase 0.5 million shares of commo</w:t>
      </w:r>
      <w:r>
        <w:rPr>
          <w:sz w:val="20"/>
          <w:szCs w:val="20"/>
        </w:rPr>
        <w:t xml:space="preserve">n stock were outstanding with a weighted average exercise price of $22.13 per share. </w:t>
      </w:r>
    </w:p>
    <w:p w:rsidR="00000000" w:rsidRDefault="005F13FD">
      <w:pPr>
        <w:pStyle w:val="a3"/>
        <w:spacing w:before="360" w:beforeAutospacing="0" w:after="0" w:afterAutospacing="0"/>
        <w:ind w:left="476"/>
        <w:jc w:val="both"/>
        <w:rPr>
          <w:b/>
          <w:bCs/>
          <w:sz w:val="20"/>
          <w:szCs w:val="20"/>
        </w:rPr>
      </w:pPr>
      <w:r>
        <w:rPr>
          <w:b/>
          <w:bCs/>
          <w:sz w:val="20"/>
          <w:szCs w:val="20"/>
        </w:rPr>
        <w:t>Restricted Stock Units</w:t>
      </w:r>
    </w:p>
    <w:p w:rsidR="00000000" w:rsidRDefault="005F13FD">
      <w:pPr>
        <w:pStyle w:val="a3"/>
        <w:spacing w:before="120" w:beforeAutospacing="0" w:after="0" w:afterAutospacing="0"/>
        <w:ind w:left="476"/>
        <w:jc w:val="both"/>
        <w:rPr>
          <w:sz w:val="20"/>
          <w:szCs w:val="20"/>
        </w:rPr>
      </w:pPr>
      <w:r>
        <w:rPr>
          <w:sz w:val="20"/>
          <w:szCs w:val="20"/>
        </w:rPr>
        <w:t xml:space="preserve">During the first nine months of 2020, CoreCivic issued approximately 1.2 </w:t>
      </w:r>
      <w:r>
        <w:rPr>
          <w:sz w:val="20"/>
          <w:szCs w:val="20"/>
        </w:rPr>
        <w:t>million RSUs to certain of its employees and non-employee directors, with an aggregate value of $20.9 million, including 1.1 million RSUs to employees and non-employee directors whose compensation is charged to general and administrative expense and 0.1 mi</w:t>
      </w:r>
      <w:r>
        <w:rPr>
          <w:sz w:val="20"/>
          <w:szCs w:val="20"/>
        </w:rPr>
        <w:t>llion RSUs to employees whose compensation is charged to operating expense.  During 2019, CoreCivic issued approximately 0.9 million RSUs to certain of its employees and non-employee directors, with an aggregate value of $20.1 million, including 0.8 millio</w:t>
      </w:r>
      <w:r>
        <w:rPr>
          <w:sz w:val="20"/>
          <w:szCs w:val="20"/>
        </w:rPr>
        <w:t xml:space="preserve">n RSUs to employees and non-employee directors whose compensation is charged to general and administrative expense and 0.1 million RSUs to employees whose compensation is charged to operating expense. </w:t>
      </w:r>
    </w:p>
    <w:p w:rsidR="00000000" w:rsidRDefault="005F13FD">
      <w:pPr>
        <w:pStyle w:val="a3"/>
        <w:spacing w:before="240" w:beforeAutospacing="0" w:after="0" w:afterAutospacing="0"/>
        <w:ind w:left="476"/>
        <w:jc w:val="both"/>
        <w:rPr>
          <w:sz w:val="20"/>
          <w:szCs w:val="20"/>
        </w:rPr>
      </w:pPr>
      <w:r>
        <w:rPr>
          <w:sz w:val="20"/>
          <w:szCs w:val="20"/>
        </w:rPr>
        <w:t xml:space="preserve">Since 2015, </w:t>
      </w:r>
      <w:r>
        <w:rPr>
          <w:color w:val="000000"/>
          <w:sz w:val="20"/>
          <w:szCs w:val="20"/>
        </w:rPr>
        <w:t xml:space="preserve">CoreCivic has </w:t>
      </w:r>
      <w:r>
        <w:rPr>
          <w:sz w:val="20"/>
          <w:szCs w:val="20"/>
        </w:rPr>
        <w:t>established performance-base</w:t>
      </w:r>
      <w:r>
        <w:rPr>
          <w:sz w:val="20"/>
          <w:szCs w:val="20"/>
        </w:rPr>
        <w:t>d vesting conditions on the RSUs awarded to its officers and executive officers that, unless earlier vested under the terms of the agreements, were subject to vesting over a</w:t>
      </w:r>
      <w:r>
        <w:rPr>
          <w:sz w:val="20"/>
          <w:szCs w:val="20"/>
        </w:rPr>
        <w:t xml:space="preserve"> </w:t>
      </w:r>
      <w:r>
        <w:rPr>
          <w:sz w:val="20"/>
          <w:szCs w:val="20"/>
        </w:rPr>
        <w:t>three-yea</w:t>
      </w:r>
      <w:r>
        <w:rPr>
          <w:sz w:val="20"/>
          <w:szCs w:val="20"/>
        </w:rPr>
        <w:t>r</w:t>
      </w:r>
      <w:r>
        <w:rPr>
          <w:sz w:val="20"/>
          <w:szCs w:val="20"/>
        </w:rPr>
        <w:t xml:space="preserve"> period based upon the satisfaction of certain annual performance criter</w:t>
      </w:r>
      <w:r>
        <w:rPr>
          <w:sz w:val="20"/>
          <w:szCs w:val="20"/>
        </w:rPr>
        <w:t>ia, and no more than</w:t>
      </w:r>
      <w:r>
        <w:rPr>
          <w:sz w:val="20"/>
          <w:szCs w:val="20"/>
        </w:rPr>
        <w:t xml:space="preserve"> </w:t>
      </w:r>
      <w:r>
        <w:rPr>
          <w:sz w:val="20"/>
          <w:szCs w:val="20"/>
        </w:rPr>
        <w:t>one-thir</w:t>
      </w:r>
      <w:r>
        <w:rPr>
          <w:sz w:val="20"/>
          <w:szCs w:val="20"/>
        </w:rPr>
        <w:t>d</w:t>
      </w:r>
      <w:r>
        <w:rPr>
          <w:sz w:val="20"/>
          <w:szCs w:val="20"/>
        </w:rPr>
        <w:t xml:space="preserve"> of the RSUs could vest in any one performance period.  The RSUs awarded to officers and executive officers in 2019 and 2020 consist of a combination of awards with performance-based conditions and time-based conditions.  Unle</w:t>
      </w:r>
      <w:r>
        <w:rPr>
          <w:sz w:val="20"/>
          <w:szCs w:val="20"/>
        </w:rPr>
        <w:t>ss earlier vested under the terms of the RSU agreements, the RSUs with time-based vesting conditions vest evenly generally on the first, second, and third anniversary of the award. The RSUs with performance-based vesting conditions are divided into one-thi</w:t>
      </w:r>
      <w:r>
        <w:rPr>
          <w:sz w:val="20"/>
          <w:szCs w:val="20"/>
        </w:rPr>
        <w:t xml:space="preserve">rd increments, each of which is subject to vesting based upon </w:t>
      </w:r>
    </w:p>
    <w:p w:rsidR="00000000" w:rsidRDefault="005F13FD">
      <w:pPr>
        <w:pStyle w:val="a3"/>
        <w:spacing w:before="240" w:beforeAutospacing="0" w:after="0" w:afterAutospacing="0"/>
        <w:jc w:val="center"/>
        <w:rPr>
          <w:sz w:val="20"/>
          <w:szCs w:val="20"/>
        </w:rPr>
      </w:pPr>
      <w:r>
        <w:rPr>
          <w:sz w:val="20"/>
          <w:szCs w:val="20"/>
        </w:rPr>
        <w:t>14</w:t>
      </w:r>
    </w:p>
    <w:p w:rsidR="00000000" w:rsidRDefault="005F13FD">
      <w:pPr>
        <w:rPr>
          <w:rFonts w:eastAsia="Times New Roman"/>
        </w:rPr>
      </w:pPr>
      <w:r>
        <w:rPr>
          <w:rFonts w:eastAsia="Times New Roman"/>
        </w:rPr>
        <w:pict>
          <v:rect id="_x0000_i1040"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ind w:left="476"/>
        <w:jc w:val="both"/>
        <w:rPr>
          <w:sz w:val="20"/>
          <w:szCs w:val="20"/>
        </w:rPr>
      </w:pPr>
      <w:r>
        <w:rPr>
          <w:sz w:val="20"/>
          <w:szCs w:val="20"/>
        </w:rPr>
        <w:t>satisfaction of certain annual performance criteria established at the beginning of the fiscal years ending December 31, 2019, 2020, and 2021 for the 20</w:t>
      </w:r>
      <w:r>
        <w:rPr>
          <w:sz w:val="20"/>
          <w:szCs w:val="20"/>
        </w:rPr>
        <w:t>19 awards, and December 31, 2020, 2021, and 2022 for the 2020 awards, and which can be increased by up to 150% or decreased to 0% based on performance relative to the annual performance criteria, and further increased or decreased using a modifier of 80% t</w:t>
      </w:r>
      <w:r>
        <w:rPr>
          <w:sz w:val="20"/>
          <w:szCs w:val="20"/>
        </w:rPr>
        <w:t xml:space="preserve">o 120% based on CoreCivic's total shareholder return relative to a peer group.  Because the performance criteria for the fiscal years ending December 31, 2021 and 2022 have not yet been established, the values of the third RSU increment of the 2019 awards </w:t>
      </w:r>
      <w:r>
        <w:rPr>
          <w:sz w:val="20"/>
          <w:szCs w:val="20"/>
        </w:rPr>
        <w:t>and of the second and third increments of the 2020 awards for financial reporting purposes will not be determined until such criteria are established.  Time-based RSUs issued to other employees, unless earlier vested under the terms of the agreements, gene</w:t>
      </w:r>
      <w:r>
        <w:rPr>
          <w:sz w:val="20"/>
          <w:szCs w:val="20"/>
        </w:rPr>
        <w:t>rally vest equally on the first, second, and third anniversary of the award.  RSUs issued to non-employee directors vest one year from the date of award.  </w:t>
      </w:r>
    </w:p>
    <w:p w:rsidR="00000000" w:rsidRDefault="005F13FD">
      <w:pPr>
        <w:pStyle w:val="a3"/>
        <w:spacing w:before="240" w:beforeAutospacing="0" w:after="0" w:afterAutospacing="0"/>
        <w:ind w:left="476"/>
        <w:jc w:val="both"/>
        <w:rPr>
          <w:sz w:val="20"/>
          <w:szCs w:val="20"/>
        </w:rPr>
      </w:pPr>
      <w:r>
        <w:rPr>
          <w:sz w:val="20"/>
          <w:szCs w:val="20"/>
        </w:rPr>
        <w:t>During the three months ended September 30, 2020, CoreCivic expensed $4.1 million, net of forfeiture</w:t>
      </w:r>
      <w:r>
        <w:rPr>
          <w:sz w:val="20"/>
          <w:szCs w:val="20"/>
        </w:rPr>
        <w:t>s, relating to RSUs ($0.4 million of which was recorded in operating expenses and $3.7 million of which was recorded in general and administrative expenses).  During the three months ended September 30, 2019, CoreCivic expensed $4.6 million, net of forfeit</w:t>
      </w:r>
      <w:r>
        <w:rPr>
          <w:sz w:val="20"/>
          <w:szCs w:val="20"/>
        </w:rPr>
        <w:t>ures, relating to RSUs ($0.4 million of which was recorded in operating expenses and $4.2 million of which was recorded in general and administrative expenses).  </w:t>
      </w:r>
    </w:p>
    <w:p w:rsidR="00000000" w:rsidRDefault="005F13FD">
      <w:pPr>
        <w:pStyle w:val="a3"/>
        <w:spacing w:before="240" w:beforeAutospacing="0" w:after="0" w:afterAutospacing="0"/>
        <w:ind w:left="476"/>
        <w:jc w:val="both"/>
        <w:rPr>
          <w:sz w:val="20"/>
          <w:szCs w:val="20"/>
        </w:rPr>
      </w:pPr>
      <w:r>
        <w:rPr>
          <w:sz w:val="20"/>
          <w:szCs w:val="20"/>
        </w:rPr>
        <w:t>During the nine months ended September 30, 2020, CoreCivic expensed $13.0 million, net of for</w:t>
      </w:r>
      <w:r>
        <w:rPr>
          <w:sz w:val="20"/>
          <w:szCs w:val="20"/>
        </w:rPr>
        <w:t xml:space="preserve">feitures, relating to RSUs ($1.3 million of which was recorded in operating expenses and $11.7 million of which was recorded in general and administrative expenses). During the nine months ended September 30, 2019, CoreCivic expensed $12.7 million, net of </w:t>
      </w:r>
      <w:r>
        <w:rPr>
          <w:sz w:val="20"/>
          <w:szCs w:val="20"/>
        </w:rPr>
        <w:t>forfeitures, relating to RSUs ($1.4 million of which was recorded in operating expenses and $11.3 million of which was recorded in general and administrative expenses).  As of September 30, 2020, approximately 2.0 million RSUs remained outstanding and subj</w:t>
      </w:r>
      <w:r>
        <w:rPr>
          <w:sz w:val="20"/>
          <w:szCs w:val="20"/>
        </w:rPr>
        <w:t>ect to vesting.</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38846711"/>
        </w:trPr>
        <w:tc>
          <w:tcPr>
            <w:tcW w:w="227" w:type="pct"/>
            <w:noWrap/>
            <w:hideMark/>
          </w:tcPr>
          <w:p w:rsidR="00000000" w:rsidRDefault="005F13FD">
            <w:pPr>
              <w:pStyle w:val="a3"/>
              <w:spacing w:before="360" w:beforeAutospacing="0" w:after="0" w:afterAutospacing="0"/>
              <w:jc w:val="both"/>
              <w:rPr>
                <w:b/>
                <w:bCs/>
                <w:sz w:val="20"/>
                <w:szCs w:val="20"/>
              </w:rPr>
            </w:pPr>
            <w:r>
              <w:rPr>
                <w:b/>
                <w:bCs/>
                <w:sz w:val="20"/>
                <w:szCs w:val="20"/>
              </w:rPr>
              <w:t>7.</w:t>
            </w:r>
          </w:p>
        </w:tc>
        <w:tc>
          <w:tcPr>
            <w:tcW w:w="0" w:type="auto"/>
            <w:hideMark/>
          </w:tcPr>
          <w:p w:rsidR="00000000" w:rsidRDefault="005F13FD">
            <w:pPr>
              <w:pStyle w:val="a3"/>
              <w:spacing w:before="360" w:beforeAutospacing="0" w:after="0" w:afterAutospacing="0"/>
              <w:jc w:val="both"/>
              <w:rPr>
                <w:b/>
                <w:bCs/>
                <w:sz w:val="20"/>
                <w:szCs w:val="20"/>
              </w:rPr>
            </w:pPr>
            <w:r>
              <w:rPr>
                <w:b/>
                <w:bCs/>
                <w:sz w:val="20"/>
                <w:szCs w:val="20"/>
              </w:rPr>
              <w:t>EARNINGS PER SHARE</w:t>
            </w:r>
          </w:p>
        </w:tc>
      </w:tr>
    </w:tbl>
    <w:p w:rsidR="00000000" w:rsidRDefault="005F13FD">
      <w:pPr>
        <w:pStyle w:val="a3"/>
        <w:spacing w:before="120" w:beforeAutospacing="0" w:after="0" w:afterAutospacing="0"/>
        <w:ind w:left="476"/>
        <w:jc w:val="both"/>
        <w:rPr>
          <w:sz w:val="20"/>
          <w:szCs w:val="20"/>
        </w:rPr>
      </w:pPr>
      <w:r>
        <w:rPr>
          <w:sz w:val="20"/>
          <w:szCs w:val="20"/>
        </w:rPr>
        <w:t xml:space="preserve">Basic earnings per share is computed by dividing net income by the weighted average number of common shares outstanding during the year.  Diluted earnings per share reflects the potential dilution that could occur if </w:t>
      </w:r>
      <w:r>
        <w:rPr>
          <w:sz w:val="20"/>
          <w:szCs w:val="20"/>
        </w:rPr>
        <w:t>securities or other contracts to issue common stock were exercised or converted into common stock or resulted in the issuance of common stock that then shared in the earnings of the entity.  For CoreCivic, diluted earnings per share is computed by dividing</w:t>
      </w:r>
      <w:r>
        <w:rPr>
          <w:sz w:val="20"/>
          <w:szCs w:val="20"/>
        </w:rPr>
        <w:t xml:space="preserve"> net income by the weighted average number of common shares after considering the additional dilution related to restricted stock-based awards, stock options, and Operating Partnership Units.</w:t>
      </w:r>
    </w:p>
    <w:p w:rsidR="00000000" w:rsidRDefault="005F13FD">
      <w:pPr>
        <w:pStyle w:val="a3"/>
        <w:spacing w:before="240" w:beforeAutospacing="0" w:after="0" w:afterAutospacing="0"/>
        <w:jc w:val="center"/>
        <w:rPr>
          <w:sz w:val="20"/>
          <w:szCs w:val="20"/>
        </w:rPr>
      </w:pPr>
      <w:r>
        <w:rPr>
          <w:sz w:val="20"/>
          <w:szCs w:val="20"/>
        </w:rPr>
        <w:t>15</w:t>
      </w:r>
    </w:p>
    <w:p w:rsidR="00000000" w:rsidRDefault="005F13FD">
      <w:pPr>
        <w:rPr>
          <w:rFonts w:eastAsia="Times New Roman"/>
        </w:rPr>
      </w:pPr>
      <w:r>
        <w:rPr>
          <w:rFonts w:eastAsia="Times New Roman"/>
        </w:rPr>
        <w:pict>
          <v:rect id="_x0000_i1041"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ind w:left="476"/>
        <w:jc w:val="both"/>
        <w:rPr>
          <w:sz w:val="20"/>
          <w:szCs w:val="20"/>
        </w:rPr>
      </w:pPr>
      <w:r>
        <w:rPr>
          <w:sz w:val="20"/>
          <w:szCs w:val="20"/>
        </w:rPr>
        <w:t>A reconciliation of the numerator and denominator of the basic earnings per share computation to the numerator and denominator of the diluted earnings per share computation is as follows (in thousands, except per share data):</w:t>
      </w:r>
    </w:p>
    <w:p w:rsidR="00000000" w:rsidRDefault="005F13FD">
      <w:pPr>
        <w:pStyle w:val="a3"/>
        <w:spacing w:before="0" w:beforeAutospacing="0" w:after="0" w:afterAutospacing="0"/>
        <w:ind w:left="595" w:hanging="612"/>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61"/>
        <w:gridCol w:w="74"/>
        <w:gridCol w:w="115"/>
        <w:gridCol w:w="673"/>
        <w:gridCol w:w="65"/>
        <w:gridCol w:w="73"/>
        <w:gridCol w:w="115"/>
        <w:gridCol w:w="676"/>
        <w:gridCol w:w="65"/>
        <w:gridCol w:w="74"/>
        <w:gridCol w:w="115"/>
        <w:gridCol w:w="674"/>
        <w:gridCol w:w="65"/>
        <w:gridCol w:w="74"/>
        <w:gridCol w:w="115"/>
        <w:gridCol w:w="676"/>
        <w:gridCol w:w="65"/>
      </w:tblGrid>
      <w:tr w:rsidR="00000000">
        <w:trPr>
          <w:divId w:val="2058311550"/>
        </w:trPr>
        <w:tc>
          <w:tcPr>
            <w:tcW w:w="2523" w:type="pct"/>
            <w:shd w:val="clear" w:color="auto" w:fill="FFFFFF"/>
            <w:tcMar>
              <w:top w:w="15" w:type="dxa"/>
              <w:left w:w="0" w:type="dxa"/>
              <w:bottom w:w="0" w:type="dxa"/>
              <w:right w:w="15" w:type="dxa"/>
            </w:tcMar>
            <w:vAlign w:val="bottom"/>
            <w:hideMark/>
          </w:tcPr>
          <w:p w:rsidR="00000000" w:rsidRDefault="005F13FD">
            <w:pPr>
              <w:rPr>
                <w:sz w:val="20"/>
                <w:szCs w:val="20"/>
              </w:rPr>
            </w:pP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Three Months Ende</w:t>
            </w:r>
            <w:r>
              <w:rPr>
                <w:b/>
                <w:bCs/>
                <w:color w:val="000000"/>
                <w:sz w:val="16"/>
                <w:szCs w:val="16"/>
              </w:rPr>
              <w:t>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2058311550"/>
        </w:trPr>
        <w:tc>
          <w:tcPr>
            <w:tcW w:w="252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2058311550"/>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NUMERATOR</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Basic:</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Net income attributable to common stockholders</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26,717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48,994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80,960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146,912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Diluted:</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Net income attributable to common stockholders</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26,717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48,994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80,960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146,912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Net income attributable to non-controlling interest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1,181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r>
      <w:tr w:rsidR="00000000">
        <w:trPr>
          <w:divId w:val="2058311550"/>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Diluted net income attributable to common stockholders</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26,717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48,994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82,141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146,912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DENOMINATOR</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Basic:</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119,632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119,533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119,028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Diluted:</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119,632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119,533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119,028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Effect of dilutive securities:</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Stock options</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Restricted stock-based awards</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 xml:space="preserve">Non-controlling interest – </w:t>
            </w:r>
            <w:r>
              <w:rPr>
                <w:color w:val="000000"/>
                <w:sz w:val="20"/>
                <w:szCs w:val="20"/>
              </w:rPr>
              <w:t>Operating Partnership</w:t>
            </w:r>
          </w:p>
          <w:p w:rsidR="00000000" w:rsidRDefault="005F13FD">
            <w:pPr>
              <w:pStyle w:val="a3"/>
              <w:spacing w:before="0" w:beforeAutospacing="0" w:after="0" w:afterAutospacing="0"/>
              <w:ind w:left="547"/>
              <w:rPr>
                <w:color w:val="000000"/>
                <w:sz w:val="20"/>
                <w:szCs w:val="20"/>
              </w:rPr>
            </w:pPr>
            <w:r>
              <w:rPr>
                <w:color w:val="000000"/>
                <w:sz w:val="20"/>
                <w:szCs w:val="20"/>
              </w:rPr>
              <w:t>     Units</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1,342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1,342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r>
      <w:tr w:rsidR="00000000">
        <w:trPr>
          <w:divId w:val="2058311550"/>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Weighted average shares and assumed conversions</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120,980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119,189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120,900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119,162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BASIC EARNINGS PER SHARE</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0.22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0.68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1.23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058311550"/>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DILUTED EARNINGS PER SHARE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0.22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0.68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1.23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ind w:left="476"/>
        <w:jc w:val="both"/>
        <w:rPr>
          <w:sz w:val="20"/>
          <w:szCs w:val="20"/>
        </w:rPr>
      </w:pPr>
      <w:r>
        <w:rPr>
          <w:sz w:val="20"/>
          <w:szCs w:val="20"/>
        </w:rPr>
        <w:t xml:space="preserve">Approximately 0.5 </w:t>
      </w:r>
      <w:r>
        <w:rPr>
          <w:sz w:val="20"/>
          <w:szCs w:val="20"/>
        </w:rPr>
        <w:t>million stock options were excluded from the computation of diluted earnings per share for each of the three months ended September 30, 2020 and 2019, because they were anti-dilutive.  Approximately 0.5 million and 0.4 million stock options were excluded f</w:t>
      </w:r>
      <w:r>
        <w:rPr>
          <w:sz w:val="20"/>
          <w:szCs w:val="20"/>
        </w:rPr>
        <w:t>rom the computation of diluted earnings per share for the nine months ended September 30, 2020 and 2019, respectively, because they were anti-dilutive.</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28150992"/>
        </w:trPr>
        <w:tc>
          <w:tcPr>
            <w:tcW w:w="227" w:type="pct"/>
            <w:noWrap/>
            <w:hideMark/>
          </w:tcPr>
          <w:p w:rsidR="00000000" w:rsidRDefault="005F13FD">
            <w:pPr>
              <w:pStyle w:val="a3"/>
              <w:spacing w:before="360" w:beforeAutospacing="0" w:after="0" w:afterAutospacing="0"/>
              <w:jc w:val="both"/>
              <w:rPr>
                <w:b/>
                <w:bCs/>
                <w:sz w:val="20"/>
                <w:szCs w:val="20"/>
              </w:rPr>
            </w:pPr>
            <w:r>
              <w:rPr>
                <w:b/>
                <w:bCs/>
                <w:sz w:val="20"/>
                <w:szCs w:val="20"/>
              </w:rPr>
              <w:t>8.</w:t>
            </w:r>
          </w:p>
        </w:tc>
        <w:tc>
          <w:tcPr>
            <w:tcW w:w="0" w:type="auto"/>
            <w:hideMark/>
          </w:tcPr>
          <w:p w:rsidR="00000000" w:rsidRDefault="005F13FD">
            <w:pPr>
              <w:pStyle w:val="a3"/>
              <w:spacing w:before="360" w:beforeAutospacing="0" w:after="0" w:afterAutospacing="0"/>
              <w:jc w:val="both"/>
              <w:rPr>
                <w:b/>
                <w:bCs/>
                <w:sz w:val="20"/>
                <w:szCs w:val="20"/>
              </w:rPr>
            </w:pPr>
            <w:r>
              <w:rPr>
                <w:b/>
                <w:bCs/>
                <w:sz w:val="20"/>
                <w:szCs w:val="20"/>
              </w:rPr>
              <w:t>COMMITMENTS AND CONTINGENCIES</w:t>
            </w:r>
          </w:p>
        </w:tc>
      </w:tr>
    </w:tbl>
    <w:p w:rsidR="00000000" w:rsidRDefault="005F13FD">
      <w:pPr>
        <w:pStyle w:val="a3"/>
        <w:spacing w:before="120" w:beforeAutospacing="0" w:after="0" w:afterAutospacing="0"/>
        <w:ind w:left="476"/>
        <w:jc w:val="both"/>
        <w:rPr>
          <w:b/>
          <w:bCs/>
          <w:sz w:val="20"/>
          <w:szCs w:val="20"/>
        </w:rPr>
      </w:pPr>
      <w:r>
        <w:rPr>
          <w:b/>
          <w:bCs/>
          <w:sz w:val="20"/>
          <w:szCs w:val="20"/>
        </w:rPr>
        <w:t>Legal Proceedings</w:t>
      </w:r>
    </w:p>
    <w:p w:rsidR="00000000" w:rsidRDefault="005F13FD">
      <w:pPr>
        <w:pStyle w:val="a3"/>
        <w:spacing w:before="120" w:beforeAutospacing="0" w:after="0" w:afterAutospacing="0"/>
        <w:ind w:left="476"/>
        <w:jc w:val="both"/>
        <w:rPr>
          <w:sz w:val="20"/>
          <w:szCs w:val="20"/>
        </w:rPr>
      </w:pPr>
      <w:r>
        <w:rPr>
          <w:sz w:val="20"/>
          <w:szCs w:val="20"/>
        </w:rPr>
        <w:t>The nature of CoreCivic's business results in claims</w:t>
      </w:r>
      <w:r>
        <w:rPr>
          <w:sz w:val="20"/>
          <w:szCs w:val="20"/>
        </w:rPr>
        <w:t xml:space="preserve"> and litigation alleging that it is liable for damages arising from the conduct of its employees, offenders or others.  The nature of such claims includes, but is not limited to, claims arising from employee or offender misconduct, medical malpractice, emp</w:t>
      </w:r>
      <w:r>
        <w:rPr>
          <w:sz w:val="20"/>
          <w:szCs w:val="20"/>
        </w:rPr>
        <w:t>loyment matters, property loss, contractual claims, including claims regarding compliance with contract performance requirements, and personal injury or other damages resulting from contact with CoreCivic's facilities, personnel or offenders, including dam</w:t>
      </w:r>
      <w:r>
        <w:rPr>
          <w:sz w:val="20"/>
          <w:szCs w:val="20"/>
        </w:rPr>
        <w:t>ages arising from an offender's escape or from a disturbance at a facility.  CoreCivic maintains insurance to cover many of these claims, which may mitigate the risk that any single claim would have a material effect on CoreCivic's consolidated financial p</w:t>
      </w:r>
      <w:r>
        <w:rPr>
          <w:sz w:val="20"/>
          <w:szCs w:val="20"/>
        </w:rPr>
        <w:t>osition, results of operations, or cash flows, provided the claim is one for which coverage is available.  The combination of self-insured retentions and deductible amounts means that, in the aggregate, CoreCivic is subject to substantial self-insurance ri</w:t>
      </w:r>
      <w:r>
        <w:rPr>
          <w:sz w:val="20"/>
          <w:szCs w:val="20"/>
        </w:rPr>
        <w:t>sk.  </w:t>
      </w:r>
    </w:p>
    <w:p w:rsidR="00000000" w:rsidRDefault="005F13FD">
      <w:pPr>
        <w:pStyle w:val="a3"/>
        <w:spacing w:before="240" w:beforeAutospacing="0" w:after="0" w:afterAutospacing="0"/>
        <w:ind w:left="476"/>
        <w:jc w:val="both"/>
        <w:rPr>
          <w:sz w:val="20"/>
          <w:szCs w:val="20"/>
        </w:rPr>
      </w:pPr>
      <w:r>
        <w:rPr>
          <w:sz w:val="20"/>
          <w:szCs w:val="20"/>
        </w:rPr>
        <w:t xml:space="preserve">Based upon management's review of the potential claims and outstanding litigation, and based upon management's experience and history of estimating losses, and taking into consideration CoreCivic's self-insured retention amounts, management believes </w:t>
      </w:r>
      <w:r>
        <w:rPr>
          <w:sz w:val="20"/>
          <w:szCs w:val="20"/>
        </w:rPr>
        <w:t>a loss in excess of amounts already recognized would not be material to CoreCivic's financial statements.  Adversarial proceedings and litigation are, however, subject to inherent uncertainties, and unfavorable decisions and rulings resulting from legal pr</w:t>
      </w:r>
      <w:r>
        <w:rPr>
          <w:sz w:val="20"/>
          <w:szCs w:val="20"/>
        </w:rPr>
        <w:t>oceedings could occur which could have a material adverse impact on CoreCivic's consolidated financial position, results of operations, or cash flows for the period in which such decisions or rulings occur, or future periods.  Expenses associated with lega</w:t>
      </w:r>
      <w:r>
        <w:rPr>
          <w:sz w:val="20"/>
          <w:szCs w:val="20"/>
        </w:rPr>
        <w:t>l proceedings may also fluctuate from quarter to quarter based on changes in CoreCivic's assumptions, new developments, or by the effectiveness of CoreCivic's litigation and settlement strategies.  </w:t>
      </w:r>
    </w:p>
    <w:p w:rsidR="00000000" w:rsidRDefault="005F13FD">
      <w:pPr>
        <w:pStyle w:val="a3"/>
        <w:spacing w:before="240" w:beforeAutospacing="0" w:after="0" w:afterAutospacing="0"/>
        <w:jc w:val="center"/>
        <w:rPr>
          <w:sz w:val="20"/>
          <w:szCs w:val="20"/>
        </w:rPr>
      </w:pPr>
      <w:r>
        <w:rPr>
          <w:sz w:val="20"/>
          <w:szCs w:val="20"/>
        </w:rPr>
        <w:t>16</w:t>
      </w:r>
    </w:p>
    <w:p w:rsidR="00000000" w:rsidRDefault="005F13FD">
      <w:pPr>
        <w:rPr>
          <w:rFonts w:eastAsia="Times New Roman"/>
        </w:rPr>
      </w:pPr>
      <w:r>
        <w:rPr>
          <w:rFonts w:eastAsia="Times New Roman"/>
        </w:rPr>
        <w:pict>
          <v:rect id="_x0000_i1042"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ind w:left="476"/>
        <w:jc w:val="both"/>
        <w:rPr>
          <w:sz w:val="20"/>
          <w:szCs w:val="20"/>
        </w:rPr>
      </w:pPr>
      <w:r>
        <w:rPr>
          <w:sz w:val="20"/>
          <w:szCs w:val="20"/>
        </w:rPr>
        <w:t>CoreCivic was na</w:t>
      </w:r>
      <w:r>
        <w:rPr>
          <w:sz w:val="20"/>
          <w:szCs w:val="20"/>
        </w:rPr>
        <w:t>med as a defendant in the lawsuits detailed below.  Due to the stage of these proceedings, the Company cannot reasonably predict the outcome, nor can it estimate the amount of loss or range of loss, if any, that may result.  As a result, the Company has no</w:t>
      </w:r>
      <w:r>
        <w:rPr>
          <w:sz w:val="20"/>
          <w:szCs w:val="20"/>
        </w:rPr>
        <w:t xml:space="preserve">t recorded an accrual relating to these matters at this time, as losses are not considered probable or reasonably estimable at this stage of these lawsuits. CoreCivic records a liability in the consolidated financial statements for loss contingencies when </w:t>
      </w:r>
      <w:r>
        <w:rPr>
          <w:sz w:val="20"/>
          <w:szCs w:val="20"/>
        </w:rPr>
        <w:t>a loss is known or considered probable, and the amount can be reasonably estimated.  If the reasonable estimate of a known or probable loss is a range, and no amount within the range is a better estimate than any other, the minimum amount of the range is a</w:t>
      </w:r>
      <w:r>
        <w:rPr>
          <w:sz w:val="20"/>
          <w:szCs w:val="20"/>
        </w:rPr>
        <w:t xml:space="preserve">ccrued.  If a loss is reasonably possible but not known or probable, and can be reasonably estimated, the estimated loss or range of loss is disclosed.  When determining the estimated loss or range of loss, significant judgment is required to estimate the </w:t>
      </w:r>
      <w:r>
        <w:rPr>
          <w:sz w:val="20"/>
          <w:szCs w:val="20"/>
        </w:rPr>
        <w:t>amount and timing of a loss to be recorded.  Any receivable for insurance recoveries is recorded separately from the corresponding litigation reserve, and only if recovery is determined to be probable and the amount of payment can be determined.  CoreCivic</w:t>
      </w:r>
      <w:r>
        <w:rPr>
          <w:sz w:val="20"/>
          <w:szCs w:val="20"/>
        </w:rPr>
        <w:t xml:space="preserve"> does not accrue for anticipated legal fees and costs but expenses those items as incurred.  </w:t>
      </w:r>
    </w:p>
    <w:p w:rsidR="00000000" w:rsidRDefault="005F13FD">
      <w:pPr>
        <w:pStyle w:val="a3"/>
        <w:spacing w:before="240" w:beforeAutospacing="0" w:after="0" w:afterAutospacing="0"/>
        <w:ind w:left="476"/>
        <w:jc w:val="both"/>
        <w:rPr>
          <w:i/>
          <w:iCs/>
          <w:sz w:val="20"/>
          <w:szCs w:val="20"/>
        </w:rPr>
      </w:pPr>
      <w:r>
        <w:rPr>
          <w:i/>
          <w:iCs/>
          <w:sz w:val="20"/>
          <w:szCs w:val="20"/>
        </w:rPr>
        <w:t>ICE Detainee Labor and Related Matters.</w:t>
      </w:r>
    </w:p>
    <w:p w:rsidR="00000000" w:rsidRDefault="005F13FD">
      <w:pPr>
        <w:pStyle w:val="a3"/>
        <w:spacing w:before="0" w:beforeAutospacing="0" w:after="0" w:afterAutospacing="0"/>
        <w:ind w:left="476"/>
        <w:jc w:val="both"/>
        <w:rPr>
          <w:sz w:val="20"/>
          <w:szCs w:val="20"/>
        </w:rPr>
      </w:pPr>
      <w:r>
        <w:rPr>
          <w:sz w:val="20"/>
          <w:szCs w:val="20"/>
        </w:rPr>
        <w:t>On May 31, 2017, two former ICE detainees, who were detained at the Company's Otay Mesa Detention Center (“OMDC”) in San D</w:t>
      </w:r>
      <w:r>
        <w:rPr>
          <w:sz w:val="20"/>
          <w:szCs w:val="20"/>
        </w:rPr>
        <w:t>iego, California, filed a class action against the Company in the United States District Court for the Southern District of California. The complaint alleged that the Company forces detainees to perform labor under threat of punishment in violation of stat</w:t>
      </w:r>
      <w:r>
        <w:rPr>
          <w:sz w:val="20"/>
          <w:szCs w:val="20"/>
        </w:rPr>
        <w:t>e and federal anti-trafficking laws and that OMDC’s Voluntary Work Program (“VWP”) violates state labor laws including state minimum wage law. ICE requires that CoreCivic offer and operate the VWP in conformance with ICE standards and ICE prescribes the mi</w:t>
      </w:r>
      <w:r>
        <w:rPr>
          <w:sz w:val="20"/>
          <w:szCs w:val="20"/>
        </w:rPr>
        <w:t>nimum rate of pay for VWP participants. The Plaintiffs seek compensatory damages, exemplary damages, restitution, penalties, and interest as well as declaratory and injunctive relief on behalf of former and current detainees. On April 1, 2020, the district</w:t>
      </w:r>
      <w:r>
        <w:rPr>
          <w:sz w:val="20"/>
          <w:szCs w:val="20"/>
        </w:rPr>
        <w:t xml:space="preserve"> court certified a nationwide anti-trafficking claims class of former and current detainees at all CoreCivic ICE detention facilities. It also certified a state law class of former and current detainees at the Company’s ICE detention facilities in Californ</w:t>
      </w:r>
      <w:r>
        <w:rPr>
          <w:sz w:val="20"/>
          <w:szCs w:val="20"/>
        </w:rPr>
        <w:t xml:space="preserve">ia. The court did not certify any claims for injunctive or declaratory relief. Since this case was initially filed, three similar lawsuits have been filed in other courts in California, Texas and Georgia. The Company disputes these allegations and intends </w:t>
      </w:r>
      <w:r>
        <w:rPr>
          <w:sz w:val="20"/>
          <w:szCs w:val="20"/>
        </w:rPr>
        <w:t>to take all necessary steps to vigorously defend itself against all claims.</w:t>
      </w:r>
    </w:p>
    <w:p w:rsidR="00000000" w:rsidRDefault="005F13FD">
      <w:pPr>
        <w:pStyle w:val="a3"/>
        <w:spacing w:before="240" w:beforeAutospacing="0" w:after="0" w:afterAutospacing="0"/>
        <w:ind w:left="476"/>
        <w:jc w:val="both"/>
        <w:rPr>
          <w:i/>
          <w:iCs/>
          <w:sz w:val="20"/>
          <w:szCs w:val="20"/>
        </w:rPr>
      </w:pPr>
      <w:r>
        <w:rPr>
          <w:i/>
          <w:iCs/>
          <w:sz w:val="20"/>
          <w:szCs w:val="20"/>
        </w:rPr>
        <w:t>Shareholder Litigation.</w:t>
      </w:r>
    </w:p>
    <w:p w:rsidR="00000000" w:rsidRDefault="005F13FD">
      <w:pPr>
        <w:pStyle w:val="a3"/>
        <w:spacing w:before="0" w:beforeAutospacing="0" w:after="0" w:afterAutospacing="0"/>
        <w:ind w:left="476"/>
        <w:jc w:val="both"/>
        <w:rPr>
          <w:sz w:val="20"/>
          <w:szCs w:val="20"/>
        </w:rPr>
      </w:pPr>
      <w:r>
        <w:rPr>
          <w:sz w:val="20"/>
          <w:szCs w:val="20"/>
        </w:rPr>
        <w:t>In a memorandum to the BOP dated August 18, 2016, the Department of Justice ("DOJ") directed that, as each contract with privately operated prisons reaches the end of its term, the BOP should either decline to renew that contract or substantially reduce it</w:t>
      </w:r>
      <w:r>
        <w:rPr>
          <w:sz w:val="20"/>
          <w:szCs w:val="20"/>
        </w:rPr>
        <w:t xml:space="preserve">s scope in a manner consistent with law and the overall decline of the BOP's inmate population.  In addition to the decline in the BOP's inmate population, the DOJ memorandum cites purported operational, programming, and cost efficiency factors as reasons </w:t>
      </w:r>
      <w:r>
        <w:rPr>
          <w:sz w:val="20"/>
          <w:szCs w:val="20"/>
        </w:rPr>
        <w:t>for the DOJ directive.  On February 21, 2017, the newly appointed U.S. Attorney General issued a memorandum rescinding the DOJ's prior directive stating the memorandum changed long-standing policy and practice and impaired the BOP's ability to meet the fut</w:t>
      </w:r>
      <w:r>
        <w:rPr>
          <w:sz w:val="20"/>
          <w:szCs w:val="20"/>
        </w:rPr>
        <w:t>ure needs of the federal correctional system.</w:t>
      </w:r>
    </w:p>
    <w:p w:rsidR="00000000" w:rsidRDefault="005F13FD">
      <w:pPr>
        <w:pStyle w:val="a3"/>
        <w:spacing w:before="240" w:beforeAutospacing="0" w:after="0" w:afterAutospacing="0"/>
        <w:ind w:left="476"/>
        <w:jc w:val="both"/>
        <w:rPr>
          <w:sz w:val="20"/>
          <w:szCs w:val="20"/>
        </w:rPr>
      </w:pPr>
      <w:r>
        <w:rPr>
          <w:sz w:val="20"/>
          <w:szCs w:val="20"/>
        </w:rPr>
        <w:t>Following the release of the August 18, 2016 DOJ memorandum, a purported securities class action lawsuit was filed on August 23, 2016 against the Company and certain of its current and former officers in the Un</w:t>
      </w:r>
      <w:r>
        <w:rPr>
          <w:sz w:val="20"/>
          <w:szCs w:val="20"/>
        </w:rPr>
        <w:t xml:space="preserve">ited States District Court for the Middle District of Tennessee (the "District Court"), captioned </w:t>
      </w:r>
      <w:r>
        <w:rPr>
          <w:i/>
          <w:iCs/>
          <w:sz w:val="20"/>
          <w:szCs w:val="20"/>
        </w:rPr>
        <w:t>Grae v. Corrections Corporation of America et al.</w:t>
      </w:r>
      <w:r>
        <w:rPr>
          <w:sz w:val="20"/>
          <w:szCs w:val="20"/>
        </w:rPr>
        <w:t>, Case No. 3:16-cv-02267.  The lawsuit is brought on behalf of a putative class of shareholders who purchased</w:t>
      </w:r>
      <w:r>
        <w:rPr>
          <w:sz w:val="20"/>
          <w:szCs w:val="20"/>
        </w:rPr>
        <w:t xml:space="preserve"> or acquired the Company's securities between February 27, 2012 and August 17, 2016. The Plaintiffs seek compensatory damages and costs incurred in connection with the lawsuit.  In general, the lawsuit alleges that, during this timeframe, the Company's pub</w:t>
      </w:r>
      <w:r>
        <w:rPr>
          <w:sz w:val="20"/>
          <w:szCs w:val="20"/>
        </w:rPr>
        <w:t>lic statements were false and/or misleading regarding the purported operational, programming, and cost efficiency factors cited in the DOJ memorandum and, as a result, the Company's stock price was artificially inflated.  The lawsuit alleges that the publi</w:t>
      </w:r>
      <w:r>
        <w:rPr>
          <w:sz w:val="20"/>
          <w:szCs w:val="20"/>
        </w:rPr>
        <w:t>cation of the DOJ memorandum on August 18, 2016 revealed the alleged fraud, causing the per share price of the Company's stock to decline, thereby causing harm to the putative class of shareholders.  </w:t>
      </w:r>
    </w:p>
    <w:p w:rsidR="00000000" w:rsidRDefault="005F13FD">
      <w:pPr>
        <w:pStyle w:val="a3"/>
        <w:spacing w:before="240" w:beforeAutospacing="0" w:after="0" w:afterAutospacing="0"/>
        <w:ind w:left="476"/>
        <w:jc w:val="both"/>
        <w:rPr>
          <w:sz w:val="20"/>
          <w:szCs w:val="20"/>
        </w:rPr>
      </w:pPr>
      <w:r>
        <w:rPr>
          <w:sz w:val="20"/>
          <w:szCs w:val="20"/>
        </w:rPr>
        <w:t>On December 18, 2017, the District Court denied the Com</w:t>
      </w:r>
      <w:r>
        <w:rPr>
          <w:sz w:val="20"/>
          <w:szCs w:val="20"/>
        </w:rPr>
        <w:t>pany's motion to dismiss. On March 26, 2019, the District Court certified the class proposed by the plaintiff.  The United States Court of Appeals for the Sixth Circuit denied the Company's appeal of the class certification order on August 23, 2019.  The c</w:t>
      </w:r>
      <w:r>
        <w:rPr>
          <w:sz w:val="20"/>
          <w:szCs w:val="20"/>
        </w:rPr>
        <w:t>ase is currently in the discovery phase of litigation.  A trial before United States District Judge Aleta Trauger is scheduled for May 2021 in the Middle District of Tennessee.  CoreCivic believes the lawsuit is entirely without merit and intends to vigoro</w:t>
      </w:r>
      <w:r>
        <w:rPr>
          <w:sz w:val="20"/>
          <w:szCs w:val="20"/>
        </w:rPr>
        <w:t xml:space="preserve">usly defend against it. </w:t>
      </w:r>
      <w: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54948483"/>
        </w:trPr>
        <w:tc>
          <w:tcPr>
            <w:tcW w:w="227" w:type="pct"/>
            <w:noWrap/>
            <w:hideMark/>
          </w:tcPr>
          <w:p w:rsidR="00000000" w:rsidRDefault="005F13FD">
            <w:pPr>
              <w:pStyle w:val="a3"/>
              <w:spacing w:before="360" w:beforeAutospacing="0" w:after="0" w:afterAutospacing="0"/>
              <w:jc w:val="both"/>
              <w:rPr>
                <w:b/>
                <w:bCs/>
                <w:sz w:val="20"/>
                <w:szCs w:val="20"/>
              </w:rPr>
            </w:pPr>
            <w:r>
              <w:rPr>
                <w:b/>
                <w:bCs/>
                <w:sz w:val="20"/>
                <w:szCs w:val="20"/>
              </w:rPr>
              <w:t>9.</w:t>
            </w:r>
          </w:p>
        </w:tc>
        <w:tc>
          <w:tcPr>
            <w:tcW w:w="0" w:type="auto"/>
            <w:hideMark/>
          </w:tcPr>
          <w:p w:rsidR="00000000" w:rsidRDefault="005F13FD">
            <w:pPr>
              <w:pStyle w:val="a3"/>
              <w:spacing w:before="360" w:beforeAutospacing="0" w:after="0" w:afterAutospacing="0"/>
              <w:jc w:val="both"/>
              <w:rPr>
                <w:b/>
                <w:bCs/>
                <w:sz w:val="20"/>
                <w:szCs w:val="20"/>
              </w:rPr>
            </w:pPr>
            <w:r>
              <w:rPr>
                <w:b/>
                <w:bCs/>
                <w:sz w:val="20"/>
                <w:szCs w:val="20"/>
              </w:rPr>
              <w:t>INCOME TAXES</w:t>
            </w:r>
          </w:p>
        </w:tc>
      </w:tr>
    </w:tbl>
    <w:p w:rsidR="00000000" w:rsidRDefault="005F13FD">
      <w:pPr>
        <w:pStyle w:val="a3"/>
        <w:spacing w:before="120" w:beforeAutospacing="0" w:after="0" w:afterAutospacing="0"/>
        <w:ind w:left="476"/>
        <w:jc w:val="both"/>
        <w:rPr>
          <w:color w:val="000000"/>
          <w:sz w:val="20"/>
          <w:szCs w:val="20"/>
        </w:rPr>
      </w:pPr>
      <w:r>
        <w:rPr>
          <w:color w:val="000000"/>
          <w:sz w:val="20"/>
          <w:szCs w:val="20"/>
        </w:rPr>
        <w:t>As discussed in Note 1, the Company began operating in compliance with REIT requirements for federal income tax purposes effective January 1, 2013.  As a REIT, the Company must distribute at least 90% of its taxab</w:t>
      </w:r>
      <w:r>
        <w:rPr>
          <w:color w:val="000000"/>
          <w:sz w:val="20"/>
          <w:szCs w:val="20"/>
        </w:rPr>
        <w:t>le income (including dividends paid to it by its TRSs) and will not pay federal income taxes on the amount distributed to its stockholders.  In addition, the Company must meet a number of other organizational and operational requirements, which the Company</w:t>
      </w:r>
      <w:r>
        <w:rPr>
          <w:color w:val="000000"/>
          <w:sz w:val="20"/>
          <w:szCs w:val="20"/>
        </w:rPr>
        <w:t xml:space="preserve"> currently expects to continue to </w:t>
      </w:r>
    </w:p>
    <w:p w:rsidR="00000000" w:rsidRDefault="005F13FD">
      <w:pPr>
        <w:pStyle w:val="a3"/>
        <w:spacing w:before="240" w:beforeAutospacing="0" w:after="0" w:afterAutospacing="0"/>
        <w:jc w:val="center"/>
        <w:rPr>
          <w:sz w:val="20"/>
          <w:szCs w:val="20"/>
        </w:rPr>
      </w:pPr>
      <w:r>
        <w:rPr>
          <w:sz w:val="20"/>
          <w:szCs w:val="20"/>
        </w:rPr>
        <w:t>17</w:t>
      </w:r>
    </w:p>
    <w:p w:rsidR="00000000" w:rsidRDefault="005F13FD">
      <w:pPr>
        <w:rPr>
          <w:rFonts w:eastAsia="Times New Roman"/>
        </w:rPr>
      </w:pPr>
      <w:r>
        <w:rPr>
          <w:rFonts w:eastAsia="Times New Roman"/>
        </w:rPr>
        <w:pict>
          <v:rect id="_x0000_i1043"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120" w:beforeAutospacing="0" w:after="0" w:afterAutospacing="0"/>
        <w:ind w:left="476"/>
        <w:jc w:val="both"/>
        <w:rPr>
          <w:color w:val="000000"/>
          <w:sz w:val="20"/>
          <w:szCs w:val="20"/>
        </w:rPr>
      </w:pPr>
      <w:r>
        <w:rPr>
          <w:color w:val="000000"/>
          <w:sz w:val="20"/>
          <w:szCs w:val="20"/>
        </w:rPr>
        <w:t>meet through the year ending December 31, 2020.  Most states where CoreCivic holds investments in real estate conform to the federal rules recognizing REITs. Certain subsidiaries h</w:t>
      </w:r>
      <w:r>
        <w:rPr>
          <w:color w:val="000000"/>
          <w:sz w:val="20"/>
          <w:szCs w:val="20"/>
        </w:rPr>
        <w:t xml:space="preserve">ave made an election with the Company to be treated as TRSs in conjunction with the Company's REIT election; the TRS elections permit CoreCivic to engage in certain business activities in which the REIT may not engage directly. A TRS is subject to federal </w:t>
      </w:r>
      <w:r>
        <w:rPr>
          <w:color w:val="000000"/>
          <w:sz w:val="20"/>
          <w:szCs w:val="20"/>
        </w:rPr>
        <w:t>and state income taxes on the income from these activities and therefore, CoreCivic includes a provision for taxes in its consolidated financial statements.</w:t>
      </w:r>
    </w:p>
    <w:p w:rsidR="00000000" w:rsidRDefault="005F13FD">
      <w:pPr>
        <w:pStyle w:val="a3"/>
        <w:spacing w:before="240" w:beforeAutospacing="0" w:after="0" w:afterAutospacing="0"/>
        <w:ind w:left="476"/>
        <w:jc w:val="both"/>
        <w:rPr>
          <w:sz w:val="20"/>
          <w:szCs w:val="20"/>
        </w:rPr>
      </w:pPr>
      <w:r>
        <w:rPr>
          <w:sz w:val="20"/>
          <w:szCs w:val="20"/>
        </w:rPr>
        <w:t>Income taxes are accounted for under the provisions of ASC 740, "Income Taxes". ASC 740 generally r</w:t>
      </w:r>
      <w:r>
        <w:rPr>
          <w:sz w:val="20"/>
          <w:szCs w:val="20"/>
        </w:rPr>
        <w:t>equires CoreCivic to record deferred income taxes for the tax effect of differences between book and tax bases of its assets and liabilities. Deferred income taxes reflect the available net operating losses and the net tax effect of temporary differences b</w:t>
      </w:r>
      <w:r>
        <w:rPr>
          <w:sz w:val="20"/>
          <w:szCs w:val="20"/>
        </w:rPr>
        <w:t>etween the carrying amounts of assets and liabilities for financial reporting purposes and the amounts used for income tax purposes using enacted tax rates in effect for the year in which the differences are expected to reverse. The effect of a change in t</w:t>
      </w:r>
      <w:r>
        <w:rPr>
          <w:sz w:val="20"/>
          <w:szCs w:val="20"/>
        </w:rPr>
        <w:t>ax rates on deferred tax assets and liabilities is recognized in the statement of operations in the period that includes the enactment date.  Realization of the future tax benefits related to deferred tax assets is dependent on many factors, including Core</w:t>
      </w:r>
      <w:r>
        <w:rPr>
          <w:sz w:val="20"/>
          <w:szCs w:val="20"/>
        </w:rPr>
        <w:t>Civic's past earnings history, expected future earnings, the character and jurisdiction of such earnings, unsettled circumstances that, if unfavorably resolved, would adversely affect utilization of its deferred tax assets, carryback and carryforward perio</w:t>
      </w:r>
      <w:r>
        <w:rPr>
          <w:sz w:val="20"/>
          <w:szCs w:val="20"/>
        </w:rPr>
        <w:t>ds, and tax strategies that could potentially enhance the likelihood of realization of a deferred tax asset.</w:t>
      </w:r>
    </w:p>
    <w:p w:rsidR="00000000" w:rsidRDefault="005F13FD">
      <w:pPr>
        <w:pStyle w:val="a3"/>
        <w:spacing w:before="240" w:beforeAutospacing="0" w:after="0" w:afterAutospacing="0"/>
        <w:ind w:left="476"/>
        <w:jc w:val="both"/>
        <w:rPr>
          <w:sz w:val="20"/>
          <w:szCs w:val="20"/>
        </w:rPr>
      </w:pPr>
      <w:r>
        <w:rPr>
          <w:sz w:val="20"/>
          <w:szCs w:val="20"/>
        </w:rPr>
        <w:t>As a REIT, CoreCivic is entitled to a deduction for dividends paid, resulting in a substantial reduction in the amount of federal income tax expens</w:t>
      </w:r>
      <w:r>
        <w:rPr>
          <w:sz w:val="20"/>
          <w:szCs w:val="20"/>
        </w:rPr>
        <w:t>e it recognizes.  Substantially all of CoreCivic's income tax expense is currently incurred based on the earnings generated by its TRSs.  The Company's consolidated effective tax rate could fluctuate in the future based on changes in estimates of taxable i</w:t>
      </w:r>
      <w:r>
        <w:rPr>
          <w:sz w:val="20"/>
          <w:szCs w:val="20"/>
        </w:rPr>
        <w:t>ncome, the relative amounts of taxable income generated by the TRSs and the REIT, the implementation of additional tax planning strategies, changes in federal or state tax rates or laws affecting tax credits available to the Company, changes in other tax l</w:t>
      </w:r>
      <w:r>
        <w:rPr>
          <w:sz w:val="20"/>
          <w:szCs w:val="20"/>
        </w:rPr>
        <w:t>aws, changes in estimates related to uncertain tax positions, or changes in state apportionment factors, as well as changes in the valuation allowance applied to the Company's deferred tax assets that are based primarily on the amount of state net operatin</w:t>
      </w:r>
      <w:r>
        <w:rPr>
          <w:sz w:val="20"/>
          <w:szCs w:val="20"/>
        </w:rPr>
        <w:t xml:space="preserve">g losses and tax credits that could expire unused. </w:t>
      </w:r>
    </w:p>
    <w:p w:rsidR="00000000" w:rsidRDefault="005F13FD">
      <w:pPr>
        <w:pStyle w:val="a3"/>
        <w:spacing w:before="240" w:beforeAutospacing="0" w:after="0" w:afterAutospacing="0"/>
        <w:ind w:left="476"/>
        <w:jc w:val="both"/>
        <w:rPr>
          <w:sz w:val="20"/>
          <w:szCs w:val="20"/>
        </w:rPr>
      </w:pPr>
      <w:r>
        <w:rPr>
          <w:sz w:val="20"/>
          <w:szCs w:val="20"/>
        </w:rPr>
        <w:t>CoreCivic recorded income tax expense of $0.4 million and $1.5 million for the three months ended September 30, 2020 and 2019, respectively.  CoreCivic recorded income tax expense of $3.2 million and $5.9</w:t>
      </w:r>
      <w:r>
        <w:rPr>
          <w:sz w:val="20"/>
          <w:szCs w:val="20"/>
        </w:rPr>
        <w:t xml:space="preserve"> million for the nine months ended September 30, 2020 and 2019, respectively.  Income tax expense during the nine months ended September 30, 2020 included $3.1 million, recorded in the first quarter of 2020, that had been deferred during the construction p</w:t>
      </w:r>
      <w:r>
        <w:rPr>
          <w:sz w:val="20"/>
          <w:szCs w:val="20"/>
        </w:rPr>
        <w:t>eriod of the Lansing Correctional Facility, which was owned by a TRS of the Company's until it converted to a qualified REIT subsidiary ("QRS") upon completion of construction in the first quarter of 2020.  Because ownership of this facility reverts to the</w:t>
      </w:r>
      <w:r>
        <w:rPr>
          <w:sz w:val="20"/>
          <w:szCs w:val="20"/>
        </w:rPr>
        <w:t xml:space="preserve"> state of Kansas upon expiration of the</w:t>
      </w:r>
      <w:r>
        <w:rPr>
          <w:sz w:val="20"/>
          <w:szCs w:val="20"/>
        </w:rPr>
        <w:t xml:space="preserve"> </w:t>
      </w:r>
      <w:r>
        <w:rPr>
          <w:sz w:val="20"/>
          <w:szCs w:val="20"/>
        </w:rPr>
        <w:t>twenty-yea</w:t>
      </w:r>
      <w:r>
        <w:rPr>
          <w:sz w:val="20"/>
          <w:szCs w:val="20"/>
        </w:rPr>
        <w:t>r</w:t>
      </w:r>
      <w:r>
        <w:rPr>
          <w:sz w:val="20"/>
          <w:szCs w:val="20"/>
        </w:rPr>
        <w:t xml:space="preserve"> lease, the construction and subsequent lease of the facility to the State was a deemed sale for federal and state income tax purposes.  The gain on sale was reported as a deferred tax asset based on the p</w:t>
      </w:r>
      <w:r>
        <w:rPr>
          <w:sz w:val="20"/>
          <w:szCs w:val="20"/>
        </w:rPr>
        <w:t>ercentage of completion method over the construction period.  This deferred tax asset was revalued to zero upon conversion of the TRS to a QRS.</w:t>
      </w:r>
    </w:p>
    <w:p w:rsidR="00000000" w:rsidRDefault="005F13FD">
      <w:pPr>
        <w:pStyle w:val="a3"/>
        <w:spacing w:before="240" w:beforeAutospacing="0" w:after="0" w:afterAutospacing="0"/>
        <w:ind w:left="476"/>
        <w:jc w:val="both"/>
        <w:rPr>
          <w:sz w:val="20"/>
          <w:szCs w:val="20"/>
        </w:rPr>
      </w:pPr>
      <w:r>
        <w:rPr>
          <w:sz w:val="20"/>
          <w:szCs w:val="20"/>
        </w:rPr>
        <w:t xml:space="preserve">On March 27, 2020, President Trump signed into law the Coronavirus Aid, Relief and Economic Security Act (the “CARES Act”). The CARES Act, among other things, includes provisions relating to refundable payroll tax credits, deferral of employer side social </w:t>
      </w:r>
      <w:r>
        <w:rPr>
          <w:sz w:val="20"/>
          <w:szCs w:val="20"/>
        </w:rPr>
        <w:t>security payments, net operating loss carryback periods, alternative minimum tax credit refunds, modifications to the net interest deduction limitations and technical corrections to tax depreciation methods for qualified improvement property. While CoreCiv</w:t>
      </w:r>
      <w:r>
        <w:rPr>
          <w:sz w:val="20"/>
          <w:szCs w:val="20"/>
        </w:rPr>
        <w:t>ic is still assessing the impact of the legislation, the Company does not currently expect there to be a material impact to its consolidated financial statements.  However, the accelerated depreciation methods for qualified improvement property are expecte</w:t>
      </w:r>
      <w:r>
        <w:rPr>
          <w:sz w:val="20"/>
          <w:szCs w:val="20"/>
        </w:rPr>
        <w:t>d to significantly reduce the Company's taxable income and, therefore, its distribution requirement as a REIT for 2020.  Additionally, as of September 30, 2020, the Company has deferred payment of $19.6 million of employer-side social security payments, an</w:t>
      </w:r>
      <w:r>
        <w:rPr>
          <w:sz w:val="20"/>
          <w:szCs w:val="20"/>
        </w:rPr>
        <w:t>d expects to continue to defer such payments through December 31, 2020.  Half of these deferrals will be due December 31, 2021, with the other half due December 31, 2022.</w:t>
      </w:r>
    </w:p>
    <w:p w:rsidR="00000000" w:rsidRDefault="005F13FD">
      <w:pPr>
        <w:pStyle w:val="a3"/>
        <w:spacing w:before="240" w:beforeAutospacing="0" w:after="0" w:afterAutospacing="0"/>
        <w:ind w:left="476"/>
        <w:jc w:val="both"/>
        <w:rPr>
          <w:sz w:val="20"/>
          <w:szCs w:val="20"/>
        </w:rPr>
      </w:pPr>
      <w:r>
        <w:rPr>
          <w:sz w:val="20"/>
          <w:szCs w:val="20"/>
        </w:rPr>
        <w:t xml:space="preserve">On August 5, 2020, the Company announced that the BOD unanimously approved a plan to </w:t>
      </w:r>
      <w:r>
        <w:rPr>
          <w:sz w:val="20"/>
          <w:szCs w:val="20"/>
        </w:rPr>
        <w:t>revoke its REIT election and become a taxable C Corporation, effective January 1, 2021.  As a result, the Company will no longer be required to operate under REIT rules, including the requirement to distribute at least 90% of its taxable income to its stoc</w:t>
      </w:r>
      <w:r>
        <w:rPr>
          <w:sz w:val="20"/>
          <w:szCs w:val="20"/>
        </w:rPr>
        <w:t>kholders, which will provide the Company with greater flexibility to use its free cash flow.  Beginning January 1, 2021, the Company will be subject to federal and state income taxes on its taxable income at applicable tax rates, and will no longer be enti</w:t>
      </w:r>
      <w:r>
        <w:rPr>
          <w:sz w:val="20"/>
          <w:szCs w:val="20"/>
        </w:rPr>
        <w:t>tled to a tax deduction for dividends paid</w:t>
      </w:r>
      <w:r>
        <w:rPr>
          <w:sz w:val="23"/>
          <w:szCs w:val="23"/>
        </w:rPr>
        <w:t xml:space="preserve">. </w:t>
      </w:r>
      <w:r>
        <w:rPr>
          <w:sz w:val="20"/>
          <w:szCs w:val="20"/>
        </w:rPr>
        <w:t>The revocation of the Company's REIT election will also result in a revaluation of its net deferred tax liabilities, resulting in a material income tax charge in the period the Company has completed all significa</w:t>
      </w:r>
      <w:r>
        <w:rPr>
          <w:sz w:val="20"/>
          <w:szCs w:val="20"/>
        </w:rPr>
        <w:t>nt actions necessary to revoke its REIT election, currently expected to occur in the first quarter of 2021.  The Company has not yet completed its estimate of such charge. The Company will continue to operate as a REIT for the remainder of the 2020 tax yea</w:t>
      </w:r>
      <w:r>
        <w:rPr>
          <w:sz w:val="20"/>
          <w:szCs w:val="20"/>
        </w:rPr>
        <w:t xml:space="preserve">r, and existing REIT requirements and limitations, including those established by the Company’s organizational documents, will remain in place until January 1, 2021. </w:t>
      </w:r>
    </w:p>
    <w:p w:rsidR="00000000" w:rsidRDefault="005F13FD">
      <w:pPr>
        <w:pStyle w:val="a3"/>
        <w:spacing w:before="240" w:beforeAutospacing="0" w:after="0" w:afterAutospacing="0"/>
        <w:jc w:val="center"/>
        <w:rPr>
          <w:sz w:val="20"/>
          <w:szCs w:val="20"/>
        </w:rPr>
      </w:pPr>
      <w:r>
        <w:rPr>
          <w:sz w:val="20"/>
          <w:szCs w:val="20"/>
        </w:rPr>
        <w:t>18</w:t>
      </w:r>
    </w:p>
    <w:p w:rsidR="00000000" w:rsidRDefault="005F13FD">
      <w:pPr>
        <w:rPr>
          <w:rFonts w:eastAsia="Times New Roman"/>
        </w:rPr>
      </w:pPr>
      <w:r>
        <w:rPr>
          <w:rFonts w:eastAsia="Times New Roman"/>
        </w:rPr>
        <w:pict>
          <v:rect id="_x0000_i1044"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360" w:beforeAutospacing="0" w:after="0" w:afterAutospacing="0"/>
        <w:ind w:left="476"/>
        <w:jc w:val="both"/>
        <w:rPr>
          <w:b/>
          <w:bCs/>
          <w:sz w:val="20"/>
          <w:szCs w:val="20"/>
        </w:rPr>
      </w:pPr>
      <w:r>
        <w:rPr>
          <w:b/>
          <w:bCs/>
          <w:sz w:val="20"/>
          <w:szCs w:val="20"/>
        </w:rPr>
        <w:t>Income Tax Contingencies</w:t>
      </w:r>
    </w:p>
    <w:p w:rsidR="00000000" w:rsidRDefault="005F13FD">
      <w:pPr>
        <w:pStyle w:val="a3"/>
        <w:spacing w:before="120" w:beforeAutospacing="0" w:after="0" w:afterAutospacing="0"/>
        <w:ind w:left="476"/>
        <w:jc w:val="both"/>
        <w:rPr>
          <w:sz w:val="20"/>
          <w:szCs w:val="20"/>
        </w:rPr>
      </w:pPr>
      <w:r>
        <w:rPr>
          <w:sz w:val="20"/>
          <w:szCs w:val="20"/>
        </w:rPr>
        <w:t xml:space="preserve">ASC 740 prescribes a recognition threshold and measurement attribute for the financial statement recognition and measurement of a tax position taken or expected to be taken in a tax return. </w:t>
      </w:r>
      <w:r>
        <w:rPr>
          <w:color w:val="000000"/>
          <w:sz w:val="20"/>
          <w:szCs w:val="20"/>
        </w:rPr>
        <w:t>The guidance prescribed in ASC 740 establishes a recognition thres</w:t>
      </w:r>
      <w:r>
        <w:rPr>
          <w:color w:val="000000"/>
          <w:sz w:val="20"/>
          <w:szCs w:val="20"/>
        </w:rPr>
        <w:t>hold of more likely than not that a tax position will be sustained upon examination.  The measurement attribute requires that a tax position be measured at the largest amount of benefit that is greater than 50% likely of being realized upon ultimate settle</w:t>
      </w:r>
      <w:r>
        <w:rPr>
          <w:color w:val="000000"/>
          <w:sz w:val="20"/>
          <w:szCs w:val="20"/>
        </w:rPr>
        <w:t>ment.</w:t>
      </w:r>
    </w:p>
    <w:p w:rsidR="00000000" w:rsidRDefault="005F13FD">
      <w:pPr>
        <w:pStyle w:val="a3"/>
        <w:spacing w:before="240" w:beforeAutospacing="0" w:after="0" w:afterAutospacing="0"/>
        <w:ind w:left="476"/>
        <w:jc w:val="both"/>
        <w:rPr>
          <w:sz w:val="20"/>
          <w:szCs w:val="20"/>
        </w:rPr>
      </w:pPr>
      <w:r>
        <w:rPr>
          <w:sz w:val="20"/>
          <w:szCs w:val="20"/>
        </w:rPr>
        <w:t>CoreCivic had no liabilities recorded for uncertain tax positions as of September 30, 2020 and December 31, 2019.  CoreCivic recognizes interest and penalties related to unrecognized tax positions in income tax expense. CoreCivic does not currently a</w:t>
      </w:r>
      <w:r>
        <w:rPr>
          <w:sz w:val="20"/>
          <w:szCs w:val="20"/>
        </w:rPr>
        <w:t>nticipate that the total amount of unrecognized tax positions will significantly change in the next twelve months.  </w:t>
      </w:r>
    </w:p>
    <w:p w:rsidR="00000000" w:rsidRDefault="005F13FD">
      <w:pPr>
        <w:pStyle w:val="a3"/>
        <w:spacing w:before="240" w:beforeAutospacing="0" w:after="0" w:afterAutospacing="0"/>
        <w:ind w:left="476"/>
        <w:jc w:val="both"/>
        <w:rPr>
          <w:sz w:val="20"/>
          <w:szCs w:val="20"/>
        </w:rPr>
      </w:pPr>
      <w:r>
        <w:rPr>
          <w:sz w:val="20"/>
          <w:szCs w:val="20"/>
        </w:rPr>
        <w:t>In October 2019, the Company received notification that the Internal Revenue Service ("IRS") intended to commence an audit of the federal i</w:t>
      </w:r>
      <w:r>
        <w:rPr>
          <w:sz w:val="20"/>
          <w:szCs w:val="20"/>
        </w:rPr>
        <w:t>ncome tax return of the Company's REIT for the year ended December 31, 2017.  The IRS is in the process of such audit, which has included audit procedures related to the Company's TRSs for the same year.  Audit outcomes and the timing of any settlements of</w:t>
      </w:r>
      <w:r>
        <w:rPr>
          <w:sz w:val="20"/>
          <w:szCs w:val="20"/>
        </w:rPr>
        <w:t xml:space="preserve"> asserted income tax liabilities, if any, are subject to significant uncertainty.  The generally applicable statute of limitations for assessments of United States federal income taxes remains open for tax years 2016 to present.</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99359761"/>
        </w:trPr>
        <w:tc>
          <w:tcPr>
            <w:tcW w:w="227" w:type="pct"/>
            <w:noWrap/>
            <w:hideMark/>
          </w:tcPr>
          <w:p w:rsidR="00000000" w:rsidRDefault="005F13FD">
            <w:pPr>
              <w:pStyle w:val="a3"/>
              <w:spacing w:before="360" w:beforeAutospacing="0" w:after="0" w:afterAutospacing="0"/>
              <w:jc w:val="both"/>
              <w:rPr>
                <w:b/>
                <w:bCs/>
                <w:sz w:val="20"/>
                <w:szCs w:val="20"/>
              </w:rPr>
            </w:pPr>
            <w:r>
              <w:rPr>
                <w:b/>
                <w:bCs/>
                <w:sz w:val="20"/>
                <w:szCs w:val="20"/>
              </w:rPr>
              <w:t>10.</w:t>
            </w:r>
          </w:p>
        </w:tc>
        <w:tc>
          <w:tcPr>
            <w:tcW w:w="0" w:type="auto"/>
            <w:hideMark/>
          </w:tcPr>
          <w:p w:rsidR="00000000" w:rsidRDefault="005F13FD">
            <w:pPr>
              <w:pStyle w:val="a3"/>
              <w:spacing w:before="360" w:beforeAutospacing="0" w:after="0" w:afterAutospacing="0"/>
              <w:jc w:val="both"/>
              <w:rPr>
                <w:b/>
                <w:bCs/>
                <w:sz w:val="20"/>
                <w:szCs w:val="20"/>
              </w:rPr>
            </w:pPr>
            <w:r>
              <w:rPr>
                <w:b/>
                <w:bCs/>
                <w:sz w:val="20"/>
                <w:szCs w:val="20"/>
              </w:rPr>
              <w:t>SEGMENT REPORTING</w:t>
            </w:r>
          </w:p>
        </w:tc>
      </w:tr>
    </w:tbl>
    <w:p w:rsidR="00000000" w:rsidRDefault="005F13FD">
      <w:pPr>
        <w:pStyle w:val="a3"/>
        <w:spacing w:before="120" w:beforeAutospacing="0" w:after="0" w:afterAutospacing="0"/>
        <w:ind w:left="476"/>
        <w:jc w:val="both"/>
        <w:rPr>
          <w:sz w:val="20"/>
          <w:szCs w:val="20"/>
        </w:rPr>
      </w:pPr>
      <w:r>
        <w:rPr>
          <w:sz w:val="20"/>
          <w:szCs w:val="20"/>
        </w:rPr>
        <w:t>As o</w:t>
      </w:r>
      <w:r>
        <w:rPr>
          <w:sz w:val="20"/>
          <w:szCs w:val="20"/>
        </w:rPr>
        <w:t>f September 30, 2020, CoreCivic operated 49 correctional and detention facilities, 42 of which the Company owned.  In addition, CoreCivic owned and operated 27 residential reentry centers and owned 57 properties for lease to third parties.  Management view</w:t>
      </w:r>
      <w:r>
        <w:rPr>
          <w:sz w:val="20"/>
          <w:szCs w:val="20"/>
        </w:rPr>
        <w:t>s CoreCivic's operating results in three operating segments, CoreCivic Safety, CoreCivic Community, and CoreCivic Properties.  CoreCivic Safety includes the operating results of those correctional and detention facilities placed into service that were owne</w:t>
      </w:r>
      <w:r>
        <w:rPr>
          <w:sz w:val="20"/>
          <w:szCs w:val="20"/>
        </w:rPr>
        <w:t>d, or controlled via a long-term lease, and managed by CoreCivic, as well as those correctional and detention facilities owned by a third party and managed by CoreCivic.  CoreCivic Safety also includes the operating results of TransCor America, LLC, a subs</w:t>
      </w:r>
      <w:r>
        <w:rPr>
          <w:sz w:val="20"/>
          <w:szCs w:val="20"/>
        </w:rPr>
        <w:t>idiary of the Company that provides transportation services to governmental agencies.  CoreCivic Community includes the operating results of those residential reentry centers placed into service that were owned, or controlled via a long-term lease, and man</w:t>
      </w:r>
      <w:r>
        <w:rPr>
          <w:sz w:val="20"/>
          <w:szCs w:val="20"/>
        </w:rPr>
        <w:t>aged by CoreCivic.  CoreCivic Community also includes the operating results of the Company's electronic monitoring and case management services. CoreCivic Properties includes the operating results of those properties leased to third parties.  The operating</w:t>
      </w:r>
      <w:r>
        <w:rPr>
          <w:sz w:val="20"/>
          <w:szCs w:val="20"/>
        </w:rPr>
        <w:t xml:space="preserve"> performance of the three segments can be measured based on their net operating income.  CoreCivic defines facility net operating income as a facility's revenues less operating expenses.  </w:t>
      </w:r>
    </w:p>
    <w:p w:rsidR="00000000" w:rsidRDefault="005F13FD">
      <w:pPr>
        <w:pStyle w:val="a3"/>
        <w:spacing w:before="240" w:beforeAutospacing="0" w:after="0" w:afterAutospacing="0"/>
        <w:jc w:val="center"/>
        <w:rPr>
          <w:sz w:val="20"/>
          <w:szCs w:val="20"/>
        </w:rPr>
      </w:pPr>
      <w:r>
        <w:rPr>
          <w:sz w:val="20"/>
          <w:szCs w:val="20"/>
        </w:rPr>
        <w:t>19</w:t>
      </w:r>
    </w:p>
    <w:p w:rsidR="00000000" w:rsidRDefault="005F13FD">
      <w:pPr>
        <w:rPr>
          <w:rFonts w:eastAsia="Times New Roman"/>
        </w:rPr>
      </w:pPr>
      <w:r>
        <w:rPr>
          <w:rFonts w:eastAsia="Times New Roman"/>
        </w:rPr>
        <w:pict>
          <v:rect id="_x0000_i1045"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ind w:left="476"/>
        <w:jc w:val="both"/>
        <w:rPr>
          <w:sz w:val="20"/>
          <w:szCs w:val="20"/>
        </w:rPr>
      </w:pPr>
      <w:r>
        <w:rPr>
          <w:sz w:val="20"/>
          <w:szCs w:val="20"/>
        </w:rPr>
        <w:t>The revenue and net operating income for each of the three segments and a reconciliation to CoreCivic's operating income is as follows for the three and nine months ended September 30, 2020 and 2019 (in thousands):</w:t>
      </w:r>
    </w:p>
    <w:p w:rsidR="00000000" w:rsidRDefault="005F13FD">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467"/>
        <w:gridCol w:w="65"/>
        <w:gridCol w:w="115"/>
        <w:gridCol w:w="665"/>
        <w:gridCol w:w="82"/>
        <w:gridCol w:w="65"/>
        <w:gridCol w:w="115"/>
        <w:gridCol w:w="665"/>
        <w:gridCol w:w="82"/>
        <w:gridCol w:w="65"/>
        <w:gridCol w:w="115"/>
        <w:gridCol w:w="815"/>
        <w:gridCol w:w="82"/>
        <w:gridCol w:w="65"/>
        <w:gridCol w:w="115"/>
        <w:gridCol w:w="815"/>
        <w:gridCol w:w="82"/>
      </w:tblGrid>
      <w:tr w:rsidR="00000000">
        <w:trPr>
          <w:divId w:val="339550986"/>
        </w:trPr>
        <w:tc>
          <w:tcPr>
            <w:tcW w:w="252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w:t>
            </w:r>
            <w:r>
              <w:rPr>
                <w:b/>
                <w:bCs/>
                <w:color w:val="000000"/>
                <w:sz w:val="16"/>
                <w:szCs w:val="16"/>
              </w:rPr>
              <w:t>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339550986"/>
        </w:trPr>
        <w:tc>
          <w:tcPr>
            <w:tcW w:w="252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339550986"/>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Revenue: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Safety</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420,032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457,817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1,281,914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1,332,545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Community</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24,067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30,848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80,670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92,120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Properties</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24,134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19,828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69,296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58,083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Total segment revenue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468,233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508,493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1,431,880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1,482,748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Operating expenses:</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Safety</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319,335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338,116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973,811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971,706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Community</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21,095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24,168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67,745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70,750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Properties</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7,411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6,230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21,271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17,377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Total segment operating expenses</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347,841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368,514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1,062,827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1,059,833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Facility net operating income: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Safety</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100,697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119,701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308,103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360,839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Community</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2,972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6,680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12,925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21,370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Properties</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16,723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13,598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48,025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40,706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Total facility net operating income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120,392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139,979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369,053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422,915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Other revenue (expense):</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Other revenue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128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Other operating expense</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(221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(342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(413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339550986"/>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General and administrative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(35,883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(32,038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(97,307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(94,847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339550986"/>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Depreciation and amortization</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(37,865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(36,654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(114,436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(107,768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339550986"/>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Contingent consideration for acquisition of businesses</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(620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(620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339550986"/>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Asset impairments</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(805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(13,058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339550986"/>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Operating income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45,166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71,095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143,418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215,313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120" w:beforeAutospacing="0" w:after="120" w:afterAutospacing="0"/>
        <w:ind w:left="476"/>
        <w:jc w:val="both"/>
        <w:rPr>
          <w:sz w:val="20"/>
          <w:szCs w:val="20"/>
        </w:rPr>
      </w:pPr>
      <w:r>
        <w:rPr>
          <w:sz w:val="20"/>
          <w:szCs w:val="20"/>
        </w:rPr>
        <w:t>The following table summarizes capital expenditures including accrued amounts for the three and nine months ended September 30, 2020 and 2019 (in thousands):</w:t>
      </w:r>
    </w:p>
    <w:tbl>
      <w:tblPr>
        <w:tblW w:w="4500" w:type="pct"/>
        <w:tblCellMar>
          <w:left w:w="0" w:type="dxa"/>
          <w:right w:w="0" w:type="dxa"/>
        </w:tblCellMar>
        <w:tblLook w:val="04A0" w:firstRow="1" w:lastRow="0" w:firstColumn="1" w:lastColumn="0" w:noHBand="0" w:noVBand="1"/>
      </w:tblPr>
      <w:tblGrid>
        <w:gridCol w:w="3731"/>
        <w:gridCol w:w="76"/>
        <w:gridCol w:w="115"/>
        <w:gridCol w:w="669"/>
        <w:gridCol w:w="65"/>
        <w:gridCol w:w="74"/>
        <w:gridCol w:w="115"/>
        <w:gridCol w:w="670"/>
        <w:gridCol w:w="65"/>
        <w:gridCol w:w="76"/>
        <w:gridCol w:w="115"/>
        <w:gridCol w:w="691"/>
        <w:gridCol w:w="65"/>
        <w:gridCol w:w="76"/>
        <w:gridCol w:w="115"/>
        <w:gridCol w:w="692"/>
        <w:gridCol w:w="65"/>
      </w:tblGrid>
      <w:tr w:rsidR="00000000">
        <w:trPr>
          <w:divId w:val="685208730"/>
        </w:trPr>
        <w:tc>
          <w:tcPr>
            <w:tcW w:w="250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pPr>
            <w: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685208730"/>
        </w:trPr>
        <w:tc>
          <w:tcPr>
            <w:tcW w:w="250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685208730"/>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Capital expenditures:</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85208730"/>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Safety</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11,856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19,088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25,261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58,015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85208730"/>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Community</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515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657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1,553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3,381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85208730"/>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Properties</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3,177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20,235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102,446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80,329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85208730"/>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Corporate and other</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1,239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4,878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4,859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13,049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85208730"/>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Total capital expenditures</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16,787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44,858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134,119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154,774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120" w:beforeAutospacing="0" w:after="120" w:afterAutospacing="0"/>
        <w:ind w:left="476"/>
        <w:jc w:val="both"/>
        <w:rPr>
          <w:sz w:val="20"/>
          <w:szCs w:val="20"/>
        </w:rPr>
      </w:pPr>
      <w:r>
        <w:rPr>
          <w:sz w:val="20"/>
          <w:szCs w:val="20"/>
        </w:rPr>
        <w:t>The total assets are as follows (in thousands):</w:t>
      </w:r>
    </w:p>
    <w:tbl>
      <w:tblPr>
        <w:tblW w:w="3500" w:type="pct"/>
        <w:tblCellMar>
          <w:left w:w="0" w:type="dxa"/>
          <w:right w:w="0" w:type="dxa"/>
        </w:tblCellMar>
        <w:tblLook w:val="04A0" w:firstRow="1" w:lastRow="0" w:firstColumn="1" w:lastColumn="0" w:noHBand="0" w:noVBand="1"/>
      </w:tblPr>
      <w:tblGrid>
        <w:gridCol w:w="3146"/>
        <w:gridCol w:w="65"/>
        <w:gridCol w:w="116"/>
        <w:gridCol w:w="939"/>
        <w:gridCol w:w="65"/>
        <w:gridCol w:w="65"/>
        <w:gridCol w:w="116"/>
        <w:gridCol w:w="1237"/>
        <w:gridCol w:w="65"/>
      </w:tblGrid>
      <w:tr w:rsidR="00000000">
        <w:trPr>
          <w:divId w:val="220020593"/>
        </w:trPr>
        <w:tc>
          <w:tcPr>
            <w:tcW w:w="287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 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220020593"/>
        </w:trPr>
        <w:tc>
          <w:tcPr>
            <w:tcW w:w="2875"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Assets:</w:t>
            </w:r>
          </w:p>
        </w:tc>
        <w:tc>
          <w:tcPr>
            <w:tcW w:w="8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20020593"/>
        </w:trPr>
        <w:tc>
          <w:tcPr>
            <w:tcW w:w="287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Safety</w:t>
            </w:r>
          </w:p>
        </w:tc>
        <w:tc>
          <w:tcPr>
            <w:tcW w:w="8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2,593,986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2,606,127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20020593"/>
        </w:trPr>
        <w:tc>
          <w:tcPr>
            <w:tcW w:w="2875"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Community</w:t>
            </w:r>
          </w:p>
        </w:tc>
        <w:tc>
          <w:tcPr>
            <w:tcW w:w="8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250,022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275,882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20020593"/>
        </w:trPr>
        <w:tc>
          <w:tcPr>
            <w:tcW w:w="287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Properties</w:t>
            </w:r>
          </w:p>
        </w:tc>
        <w:tc>
          <w:tcPr>
            <w:tcW w:w="8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784,397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682,249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20020593"/>
        </w:trPr>
        <w:tc>
          <w:tcPr>
            <w:tcW w:w="2875"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Corporate and other</w:t>
            </w:r>
          </w:p>
        </w:tc>
        <w:tc>
          <w:tcPr>
            <w:tcW w:w="8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412,798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227,373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220020593"/>
        </w:trPr>
        <w:tc>
          <w:tcPr>
            <w:tcW w:w="287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4,041,203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3,791,631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jc w:val="both"/>
        <w:rPr>
          <w:sz w:val="23"/>
          <w:szCs w:val="23"/>
        </w:rPr>
      </w:pPr>
      <w:r>
        <w:rPr>
          <w:sz w:val="23"/>
          <w:szCs w:val="23"/>
        </w:rPr>
        <w:t> </w:t>
      </w:r>
    </w:p>
    <w:p w:rsidR="00000000" w:rsidRDefault="005F13FD">
      <w:pPr>
        <w:pStyle w:val="a3"/>
        <w:spacing w:before="240" w:beforeAutospacing="0" w:after="0" w:afterAutospacing="0"/>
        <w:jc w:val="center"/>
        <w:rPr>
          <w:sz w:val="20"/>
          <w:szCs w:val="20"/>
        </w:rPr>
      </w:pPr>
      <w:r>
        <w:rPr>
          <w:sz w:val="20"/>
          <w:szCs w:val="20"/>
        </w:rPr>
        <w:t>20</w:t>
      </w:r>
    </w:p>
    <w:p w:rsidR="00000000" w:rsidRDefault="005F13FD">
      <w:pPr>
        <w:rPr>
          <w:rFonts w:eastAsia="Times New Roman"/>
        </w:rPr>
      </w:pPr>
      <w:r>
        <w:rPr>
          <w:rFonts w:eastAsia="Times New Roman"/>
        </w:rPr>
        <w:pict>
          <v:rect id="_x0000_i1046"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584152532"/>
        </w:trPr>
        <w:tc>
          <w:tcPr>
            <w:tcW w:w="453" w:type="pct"/>
            <w:noWrap/>
            <w:hideMark/>
          </w:tcPr>
          <w:p w:rsidR="00000000" w:rsidRDefault="005F13FD">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5F13FD">
            <w:pPr>
              <w:pStyle w:val="a3"/>
              <w:spacing w:before="0" w:beforeAutospacing="0" w:after="0" w:afterAutospacing="0"/>
              <w:jc w:val="both"/>
              <w:rPr>
                <w:b/>
                <w:bCs/>
                <w:sz w:val="20"/>
                <w:szCs w:val="20"/>
              </w:rPr>
            </w:pPr>
            <w:r>
              <w:rPr>
                <w:b/>
                <w:bCs/>
                <w:sz w:val="20"/>
                <w:szCs w:val="20"/>
              </w:rPr>
              <w:t>MANAGEMENT'S DISCUSSION AND ANALYSIS OF FINANCIAL CONDITION AND RESULTS OF OPERATIONS.</w:t>
            </w:r>
          </w:p>
        </w:tc>
      </w:tr>
    </w:tbl>
    <w:p w:rsidR="00000000" w:rsidRDefault="005F13FD">
      <w:pPr>
        <w:pStyle w:val="a3"/>
        <w:spacing w:before="120" w:beforeAutospacing="0" w:after="0" w:afterAutospacing="0"/>
        <w:jc w:val="both"/>
        <w:rPr>
          <w:spacing w:val="-2"/>
          <w:sz w:val="20"/>
          <w:szCs w:val="20"/>
        </w:rPr>
      </w:pPr>
      <w:r>
        <w:rPr>
          <w:spacing w:val="-2"/>
          <w:sz w:val="20"/>
          <w:szCs w:val="20"/>
        </w:rPr>
        <w:t xml:space="preserve">The following discussion should be read in conjunction with the financial statements and notes thereto appearing elsewhere in this quarterly report on Form 10-Q.  In this quarterly report on Form 10-Q, or Quarterly Report, we use the terms, the "Company," </w:t>
      </w:r>
      <w:r>
        <w:rPr>
          <w:spacing w:val="-2"/>
          <w:sz w:val="20"/>
          <w:szCs w:val="20"/>
        </w:rPr>
        <w:t xml:space="preserve">"CoreCivic," "we," "us," and "our" to refer to CoreCivic, Inc. and its subsidiaries unless context indicates otherwise. </w:t>
      </w:r>
    </w:p>
    <w:p w:rsidR="00000000" w:rsidRDefault="005F13FD">
      <w:pPr>
        <w:pStyle w:val="a3"/>
        <w:spacing w:before="240" w:beforeAutospacing="0" w:after="0" w:afterAutospacing="0"/>
        <w:jc w:val="both"/>
        <w:rPr>
          <w:sz w:val="20"/>
          <w:szCs w:val="20"/>
        </w:rPr>
      </w:pPr>
      <w:r>
        <w:rPr>
          <w:sz w:val="20"/>
          <w:szCs w:val="20"/>
        </w:rPr>
        <w:t>This Quarterly Report contains statements as to our beliefs and expectations of the outcome of future events that are forward-looking s</w:t>
      </w:r>
      <w:r>
        <w:rPr>
          <w:sz w:val="20"/>
          <w:szCs w:val="20"/>
        </w:rPr>
        <w:t>tatements as defined within the meaning of the Private Securities Litigation Reform Act of 1995, as amended.  All statements other than statements of current or historical fact contained herein, including statements regarding our future financial position,</w:t>
      </w:r>
      <w:r>
        <w:rPr>
          <w:sz w:val="20"/>
          <w:szCs w:val="20"/>
        </w:rPr>
        <w:t xml:space="preserve"> business strategy, budgets, projected costs and plans, and objectives of management for future operations, are forward-looking statements.  The words "anticipate," "believe," "continue," "could," "estimate," "expect," "intend," "may," "plan," "projects," </w:t>
      </w:r>
      <w:r>
        <w:rPr>
          <w:sz w:val="20"/>
          <w:szCs w:val="20"/>
        </w:rPr>
        <w:t>"will," and similar expressions, as they relate to us, are intended to identify forward-looking statements.  These forward-looking statements are subject to risks and uncertainties that could cause actual results to differ materially from the statements ma</w:t>
      </w:r>
      <w:r>
        <w:rPr>
          <w:sz w:val="20"/>
          <w:szCs w:val="20"/>
        </w:rPr>
        <w:t>de.  These include, but are not limited to, the risks and uncertainties associated with:</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760611332"/>
        </w:trPr>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changes in government policy, legislation and regulations that affect utilization of the private sector for corrections, detention, and residential reentry service</w:t>
            </w:r>
            <w:r>
              <w:rPr>
                <w:sz w:val="20"/>
                <w:szCs w:val="20"/>
              </w:rPr>
              <w:t>s, in general, or our business, in particular, including, but not limited to, the continued utilization of the South Texas Family Residential Center by U.S. Immigration and Customs Enforcement, or ICE, under terms of the current contract, and the impact of</w:t>
            </w:r>
            <w:r>
              <w:rPr>
                <w:sz w:val="20"/>
                <w:szCs w:val="20"/>
              </w:rPr>
              <w:t xml:space="preserve"> any changes to immigration reform and sentencing laws (we do not, under longstanding policy, lobby for or against policies or legislation that would determine the basis for, or duration of, an individual's incarceration or detention);</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our ability to</w:t>
            </w:r>
            <w:r>
              <w:rPr>
                <w:sz w:val="20"/>
                <w:szCs w:val="20"/>
              </w:rPr>
              <w:t xml:space="preserve"> obtain and maintain correctional, detention, and residential reentry facility management contracts because of reasons including, but not limited to, sufficient governmental appropriations, contract compliance, negative publicity and effects of inmate dist</w:t>
            </w:r>
            <w:r>
              <w:rPr>
                <w:sz w:val="20"/>
                <w:szCs w:val="20"/>
              </w:rPr>
              <w:t>urbances;</w:t>
            </w:r>
          </w:p>
        </w:tc>
      </w:tr>
    </w:tbl>
    <w:p w:rsidR="00000000" w:rsidRDefault="005F13FD">
      <w:pPr>
        <w:divId w:val="198319538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983195388"/>
        </w:trPr>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changes in the privatization of the corrections and detention industry, the acceptance of our services, the timing of the opening of new facilities and the commencement of new management contracts (including the extent and pace at which new</w:t>
            </w:r>
            <w:r>
              <w:rPr>
                <w:sz w:val="20"/>
                <w:szCs w:val="20"/>
              </w:rPr>
              <w:t xml:space="preserve"> contracts are utilized), as well as our ability to utilize available beds;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general economic and market conditions, including, but not limited to, the impact governmental budgets can have on our contract renewals and renegotiations, per diem rates, a</w:t>
            </w:r>
            <w:r>
              <w:rPr>
                <w:sz w:val="20"/>
                <w:szCs w:val="20"/>
              </w:rPr>
              <w:t>nd occupancy;</w:t>
            </w:r>
          </w:p>
        </w:tc>
      </w:tr>
    </w:tbl>
    <w:p w:rsidR="00000000" w:rsidRDefault="005F13FD">
      <w:pPr>
        <w:divId w:val="64508661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645086618"/>
        </w:trPr>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fluctuations in our operating results because of, among other things, changes in occupancy levels, competition, contract renegotiations or terminations, increases in costs of operations, fluctuations in interest rates and risks of operations;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the dur</w:t>
            </w:r>
            <w:r>
              <w:rPr>
                <w:sz w:val="20"/>
                <w:szCs w:val="20"/>
              </w:rPr>
              <w:t>ation of the federal government's denial of entry at the United States southern border to asylum-seekers and anyone crossing the southern border without proper documentation or authority in an effort to contain the spread of the novel coronavirus, or COVID</w:t>
            </w:r>
            <w:r>
              <w:rPr>
                <w:sz w:val="20"/>
                <w:szCs w:val="20"/>
              </w:rPr>
              <w:t>-19;</w:t>
            </w:r>
          </w:p>
        </w:tc>
      </w:tr>
    </w:tbl>
    <w:p w:rsidR="00000000" w:rsidRDefault="005F13FD">
      <w:pPr>
        <w:divId w:val="9202215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92022152"/>
        </w:trPr>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government and staff responses to staff or residents testing positive for COVID-19 within public and private correctional, detention and reentry facilities, including the facilities we operate;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the location and duration of shelter in place</w:t>
            </w:r>
            <w:r>
              <w:rPr>
                <w:sz w:val="20"/>
                <w:szCs w:val="20"/>
              </w:rPr>
              <w:t xml:space="preserve"> orders and other restrictions associated with COVID-19 that disrupt the criminal justice system, along with government policies on prosecutions and newly ordered legal restrictions that affect the number of people placed in correctional, detention, and re</w:t>
            </w:r>
            <w:r>
              <w:rPr>
                <w:sz w:val="20"/>
                <w:szCs w:val="20"/>
              </w:rPr>
              <w:t>entry facilities;</w:t>
            </w:r>
          </w:p>
        </w:tc>
      </w:tr>
    </w:tbl>
    <w:p w:rsidR="00000000" w:rsidRDefault="005F13FD">
      <w:pPr>
        <w:divId w:val="129289940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292899407"/>
        </w:trPr>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whether revoking our real estate investment trust, or REIT, election and our revised capital allocation strategy can be implemented in a cost effective manner that provides the expected benefits, including facilitating our planned debt reduction initiative</w:t>
            </w:r>
            <w:r>
              <w:rPr>
                <w:sz w:val="20"/>
                <w:szCs w:val="20"/>
              </w:rPr>
              <w:t xml:space="preserve"> and planned return of capital to shareholders;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 xml:space="preserve">our ability to identify and consummate the sale of certain non-core assets at attractive prices; </w:t>
            </w:r>
          </w:p>
        </w:tc>
      </w:tr>
    </w:tbl>
    <w:p w:rsidR="00000000" w:rsidRDefault="005F13FD">
      <w:pPr>
        <w:divId w:val="195475168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954751683"/>
        </w:trPr>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our ability to successfully identify and consummate future development and acquisition opportuniti</w:t>
            </w:r>
            <w:r>
              <w:rPr>
                <w:sz w:val="20"/>
                <w:szCs w:val="20"/>
              </w:rPr>
              <w:t xml:space="preserve">es and our ability to successfully integrate the operations of our completed acquisitions and realize projected returns resulting therefrom;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our ability, following the revocation of our REIT election, to identify and initiate service opportunities t</w:t>
            </w:r>
            <w:r>
              <w:rPr>
                <w:sz w:val="20"/>
                <w:szCs w:val="20"/>
              </w:rPr>
              <w:t xml:space="preserve">hat were unavailable under the REIT structure; </w:t>
            </w:r>
          </w:p>
        </w:tc>
      </w:tr>
    </w:tbl>
    <w:p w:rsidR="00000000" w:rsidRDefault="005F13FD">
      <w:pPr>
        <w:divId w:val="48196666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481966667"/>
        </w:trPr>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our ability to meet and maintain qualification for taxation as a REIT for the years the Company elected REIT status;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the availability of debt and equity financing on terms that are favorable to us, or at all.</w:t>
            </w:r>
          </w:p>
        </w:tc>
      </w:tr>
    </w:tbl>
    <w:p w:rsidR="00000000" w:rsidRDefault="005F13FD">
      <w:pPr>
        <w:pStyle w:val="a3"/>
        <w:spacing w:before="240" w:beforeAutospacing="0" w:after="0" w:afterAutospacing="0"/>
        <w:jc w:val="center"/>
        <w:rPr>
          <w:sz w:val="20"/>
          <w:szCs w:val="20"/>
        </w:rPr>
      </w:pPr>
      <w:r>
        <w:rPr>
          <w:sz w:val="20"/>
          <w:szCs w:val="20"/>
        </w:rPr>
        <w:t>21</w:t>
      </w:r>
    </w:p>
    <w:p w:rsidR="00000000" w:rsidRDefault="005F13FD">
      <w:pPr>
        <w:rPr>
          <w:rFonts w:eastAsia="Times New Roman"/>
        </w:rPr>
      </w:pPr>
      <w:r>
        <w:rPr>
          <w:rFonts w:eastAsia="Times New Roman"/>
        </w:rPr>
        <w:pict>
          <v:rect id="_x0000_i1047"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sz w:val="20"/>
          <w:szCs w:val="20"/>
        </w:rPr>
      </w:pPr>
      <w:r>
        <w:rPr>
          <w:sz w:val="20"/>
          <w:szCs w:val="20"/>
        </w:rPr>
        <w:t>Any or all of our forward-looking statements in this quarterly report may turn out to be inaccurate. We have based these f</w:t>
      </w:r>
      <w:r>
        <w:rPr>
          <w:sz w:val="20"/>
          <w:szCs w:val="20"/>
        </w:rPr>
        <w:t>orward-looking statements largely on our current expectations and projections about future events and financial trends that we believe may affect our financial condition, results of operations, business strategy, and financial needs.  Our statements can be</w:t>
      </w:r>
      <w:r>
        <w:rPr>
          <w:sz w:val="20"/>
          <w:szCs w:val="20"/>
        </w:rPr>
        <w:t xml:space="preserve"> affected by inaccurate assumptions we might make or by known or unknown risks, uncertainties and assumptions, including the risks, uncertainties, and assumptions described in "Item 1A Risk Factors" disclosed in Part II of this Quarterly Report, as well as</w:t>
      </w:r>
      <w:r>
        <w:rPr>
          <w:sz w:val="20"/>
          <w:szCs w:val="20"/>
        </w:rPr>
        <w:t xml:space="preserve"> in our Annual Report on Form 10-K as of and for the year ended December 31, 2019 filed with the Securities and Exchange Commission, or the SEC, on February 20, 2020, or the 2019 Form 10-K, and in other reports, documents, and other information we file wit</w:t>
      </w:r>
      <w:r>
        <w:rPr>
          <w:sz w:val="20"/>
          <w:szCs w:val="20"/>
        </w:rPr>
        <w:t xml:space="preserve">h the SEC from time to time.  Readers are cautioned not to place undue reliance on these forward-looking statements, which speak only as of the date hereof.  New risks and uncertainties arise from time to time, and it is impossible for us to predict these </w:t>
      </w:r>
      <w:r>
        <w:rPr>
          <w:sz w:val="20"/>
          <w:szCs w:val="20"/>
        </w:rPr>
        <w:t>events or how they may affect us. We undertake no obligation to publicly update or revise any forward-looking statements made in this Quarterly Report, except as may be required by law. All subsequent written and oral forward-looking statements attributabl</w:t>
      </w:r>
      <w:r>
        <w:rPr>
          <w:sz w:val="20"/>
          <w:szCs w:val="20"/>
        </w:rPr>
        <w:t>e to us or persons acting on our behalf are expressly qualified in their entirety by the cautionary statements.</w:t>
      </w:r>
    </w:p>
    <w:p w:rsidR="00000000" w:rsidRDefault="005F13FD">
      <w:pPr>
        <w:pStyle w:val="a3"/>
        <w:spacing w:before="360" w:beforeAutospacing="0" w:after="0" w:afterAutospacing="0"/>
        <w:jc w:val="both"/>
        <w:rPr>
          <w:b/>
          <w:bCs/>
          <w:sz w:val="20"/>
          <w:szCs w:val="20"/>
        </w:rPr>
      </w:pPr>
      <w:r>
        <w:rPr>
          <w:b/>
          <w:bCs/>
          <w:sz w:val="20"/>
          <w:szCs w:val="20"/>
        </w:rPr>
        <w:t>OVERVIEW</w:t>
      </w:r>
    </w:p>
    <w:p w:rsidR="00000000" w:rsidRDefault="005F13FD">
      <w:pPr>
        <w:pStyle w:val="a3"/>
        <w:spacing w:before="120" w:beforeAutospacing="0" w:after="0" w:afterAutospacing="0"/>
        <w:jc w:val="both"/>
        <w:rPr>
          <w:b/>
          <w:bCs/>
          <w:sz w:val="20"/>
          <w:szCs w:val="20"/>
        </w:rPr>
      </w:pPr>
      <w:r>
        <w:rPr>
          <w:b/>
          <w:bCs/>
          <w:sz w:val="20"/>
          <w:szCs w:val="20"/>
        </w:rPr>
        <w:t>The Company</w:t>
      </w:r>
    </w:p>
    <w:p w:rsidR="00000000" w:rsidRDefault="005F13FD">
      <w:pPr>
        <w:pStyle w:val="a3"/>
        <w:spacing w:before="120" w:beforeAutospacing="0" w:after="0" w:afterAutospacing="0"/>
        <w:jc w:val="both"/>
        <w:rPr>
          <w:sz w:val="20"/>
          <w:szCs w:val="20"/>
        </w:rPr>
      </w:pPr>
      <w:r>
        <w:rPr>
          <w:sz w:val="20"/>
          <w:szCs w:val="20"/>
        </w:rPr>
        <w:t>We are a diversified government solutions company with the scale and experience needed to solve tough government challenges</w:t>
      </w:r>
      <w:r>
        <w:rPr>
          <w:sz w:val="20"/>
          <w:szCs w:val="20"/>
        </w:rPr>
        <w:t xml:space="preserve"> in flexible, cost-effective ways.  Through three segments, CoreCivic Safety, CoreCivic Community, and CoreCivic Properties, we provide a broad range of solutions to government partners that serve the public good through corrections and detention managemen</w:t>
      </w:r>
      <w:r>
        <w:rPr>
          <w:sz w:val="20"/>
          <w:szCs w:val="20"/>
        </w:rPr>
        <w:t xml:space="preserve">t, a network of residential reentry centers to help address America's recidivism crisis, and government real estate solutions.  We have been a flexible and dependable partner for government for more than 35 years.  Our employees are driven by a deep sense </w:t>
      </w:r>
      <w:r>
        <w:rPr>
          <w:sz w:val="20"/>
          <w:szCs w:val="20"/>
        </w:rPr>
        <w:t>of service, high standards of professionalism and a responsibility to help government better the public good.</w:t>
      </w:r>
    </w:p>
    <w:p w:rsidR="00000000" w:rsidRDefault="005F13FD">
      <w:pPr>
        <w:pStyle w:val="a3"/>
        <w:spacing w:before="240" w:beforeAutospacing="0" w:after="0" w:afterAutospacing="0"/>
        <w:jc w:val="both"/>
        <w:rPr>
          <w:sz w:val="20"/>
          <w:szCs w:val="20"/>
        </w:rPr>
      </w:pPr>
      <w:r>
        <w:rPr>
          <w:sz w:val="20"/>
          <w:szCs w:val="20"/>
        </w:rPr>
        <w:t>We are the nation's largest owner of partnership correctional, detention, and residential reentry facilities and one of the largest prison operato</w:t>
      </w:r>
      <w:r>
        <w:rPr>
          <w:sz w:val="20"/>
          <w:szCs w:val="20"/>
        </w:rPr>
        <w:t>rs in the United States.  We also believe we are the largest private owner of real estate used by U.S. government agencies.  As of September 30, 2020, through our CoreCivic Safety segment, we operated 49 correctional and detention facilities, 42 of which w</w:t>
      </w:r>
      <w:r>
        <w:rPr>
          <w:sz w:val="20"/>
          <w:szCs w:val="20"/>
        </w:rPr>
        <w:t xml:space="preserve">e owned, with a total design capacity of approximately 72,000 beds. Through our CoreCivic Community segment, we owned and operated 27 residential reentry centers with a total design capacity of approximately 5,000 beds.  In addition, through our CoreCivic </w:t>
      </w:r>
      <w:r>
        <w:rPr>
          <w:sz w:val="20"/>
          <w:szCs w:val="20"/>
        </w:rPr>
        <w:t>Properties segment, we owned 57 properties for lease to third parties and used by government agencies, totaling 3.3 million square feet.  </w:t>
      </w:r>
    </w:p>
    <w:p w:rsidR="00000000" w:rsidRDefault="005F13FD">
      <w:pPr>
        <w:pStyle w:val="a3"/>
        <w:spacing w:before="240" w:beforeAutospacing="0" w:after="0" w:afterAutospacing="0"/>
        <w:jc w:val="both"/>
        <w:rPr>
          <w:sz w:val="20"/>
          <w:szCs w:val="20"/>
        </w:rPr>
      </w:pPr>
      <w:r>
        <w:rPr>
          <w:sz w:val="20"/>
          <w:szCs w:val="20"/>
        </w:rPr>
        <w:t>In addition to providing fundamental residential services, our correctional, detention, and residential reentry facil</w:t>
      </w:r>
      <w:r>
        <w:rPr>
          <w:sz w:val="20"/>
          <w:szCs w:val="20"/>
        </w:rPr>
        <w:t>ities offer a variety of rehabilitation and educational programs, including basic education, faith-based services, life skills and employment training, and substance abuse treatment.  These services are intended to help reduce recidivism and to prepare off</w:t>
      </w:r>
      <w:r>
        <w:rPr>
          <w:sz w:val="20"/>
          <w:szCs w:val="20"/>
        </w:rPr>
        <w:t xml:space="preserve">enders for their successful reentry into society upon their release.  We also provide or make available to offenders certain health care (including medical, dental, and mental health services), food services, and work and recreational programs. </w:t>
      </w:r>
    </w:p>
    <w:p w:rsidR="00000000" w:rsidRDefault="005F13FD">
      <w:pPr>
        <w:pStyle w:val="a3"/>
        <w:spacing w:before="240" w:beforeAutospacing="0" w:after="0" w:afterAutospacing="0"/>
        <w:jc w:val="both"/>
        <w:rPr>
          <w:sz w:val="20"/>
          <w:szCs w:val="20"/>
        </w:rPr>
      </w:pPr>
      <w:r>
        <w:rPr>
          <w:sz w:val="20"/>
          <w:szCs w:val="20"/>
        </w:rPr>
        <w:t>We are a M</w:t>
      </w:r>
      <w:r>
        <w:rPr>
          <w:sz w:val="20"/>
          <w:szCs w:val="20"/>
        </w:rPr>
        <w:t>aryland corporation formed in 1983. Our principal executive offices are located at 5501 Virginia Way, Brentwood, Tennessee, 37027, and our telephone number at that location is (615) 263-3000.  Our website address is www.corecivic.com</w:t>
      </w:r>
      <w:r>
        <w:rPr>
          <w:color w:val="000000"/>
          <w:sz w:val="20"/>
          <w:szCs w:val="20"/>
        </w:rPr>
        <w:t xml:space="preserve">.  We make </w:t>
      </w:r>
      <w:r>
        <w:rPr>
          <w:sz w:val="20"/>
          <w:szCs w:val="20"/>
        </w:rPr>
        <w:t>our Annual R</w:t>
      </w:r>
      <w:r>
        <w:rPr>
          <w:sz w:val="20"/>
          <w:szCs w:val="20"/>
        </w:rPr>
        <w:t>eports on Form 10-K, Quarterly Reports on Form 10-Q, Current Reports on Form 8-K, definitive proxy statements, and amendments to those reports under the Securities Exchange Act of 1934, as amended, or the Exchange Act, available on our website, free of cha</w:t>
      </w:r>
      <w:r>
        <w:rPr>
          <w:sz w:val="20"/>
          <w:szCs w:val="20"/>
        </w:rPr>
        <w:t>rge, as soon as reasonably practicable after these reports are filed with or furnished to the SEC.  Information contained on our website is not part of this Quarterly Report.  </w:t>
      </w:r>
    </w:p>
    <w:p w:rsidR="00000000" w:rsidRDefault="005F13FD">
      <w:pPr>
        <w:pStyle w:val="a3"/>
        <w:spacing w:before="240" w:beforeAutospacing="0" w:after="0" w:afterAutospacing="0"/>
        <w:jc w:val="both"/>
        <w:rPr>
          <w:sz w:val="20"/>
          <w:szCs w:val="20"/>
        </w:rPr>
      </w:pPr>
      <w:r>
        <w:rPr>
          <w:sz w:val="20"/>
          <w:szCs w:val="20"/>
        </w:rPr>
        <w:t>We began operating as a REIT effective January 1, 2013.  We provide services an</w:t>
      </w:r>
      <w:r>
        <w:rPr>
          <w:sz w:val="20"/>
          <w:szCs w:val="20"/>
        </w:rPr>
        <w:t>d conduct other business activities through taxable REIT subsidiaries, or TRSs.  A TRS is a subsidiary of a REIT that is subject to applicable corporate income tax and certain qualification requirements.  Our use of TRSs enables us to comply with REIT qual</w:t>
      </w:r>
      <w:r>
        <w:rPr>
          <w:sz w:val="20"/>
          <w:szCs w:val="20"/>
        </w:rPr>
        <w:t>ification requirements while providing correctional services at facilities we own and at facilities owned by our government partners and to engage in certain other business operations.  A TRS is not subject to the distribution requirements applicable to RE</w:t>
      </w:r>
      <w:r>
        <w:rPr>
          <w:sz w:val="20"/>
          <w:szCs w:val="20"/>
        </w:rPr>
        <w:t xml:space="preserve">ITs so it may retain income generated by its operations for reinvestment. </w:t>
      </w:r>
    </w:p>
    <w:p w:rsidR="00000000" w:rsidRDefault="005F13FD">
      <w:pPr>
        <w:pStyle w:val="a3"/>
        <w:spacing w:before="240" w:beforeAutospacing="0" w:after="0" w:afterAutospacing="0"/>
        <w:jc w:val="both"/>
        <w:rPr>
          <w:sz w:val="20"/>
          <w:szCs w:val="20"/>
        </w:rPr>
      </w:pPr>
      <w:r>
        <w:rPr>
          <w:sz w:val="20"/>
          <w:szCs w:val="20"/>
        </w:rPr>
        <w:t>As a REIT, we generally are not subject to federal income taxes on our REIT taxable income and gains that we distribute to our stockholders, including the income derived from our re</w:t>
      </w:r>
      <w:r>
        <w:rPr>
          <w:sz w:val="20"/>
          <w:szCs w:val="20"/>
        </w:rPr>
        <w:t xml:space="preserve">al estate and dividends we earn from our TRSs. However, our TRSs will be required to pay income taxes on their earnings at regular corporate income tax rates. </w:t>
      </w:r>
    </w:p>
    <w:p w:rsidR="00000000" w:rsidRDefault="005F13FD">
      <w:pPr>
        <w:pStyle w:val="a3"/>
        <w:spacing w:before="240" w:beforeAutospacing="0" w:after="0" w:afterAutospacing="0"/>
        <w:jc w:val="both"/>
        <w:rPr>
          <w:sz w:val="20"/>
          <w:szCs w:val="20"/>
        </w:rPr>
      </w:pPr>
      <w:r>
        <w:rPr>
          <w:sz w:val="20"/>
          <w:szCs w:val="20"/>
        </w:rPr>
        <w:t xml:space="preserve">As a REIT, we generally are required to distribute annually to our stockholders at least 90% of </w:t>
      </w:r>
      <w:r>
        <w:rPr>
          <w:sz w:val="20"/>
          <w:szCs w:val="20"/>
        </w:rPr>
        <w:t>our REIT taxable income (determined without regard to the dividends paid deduction and excluding net capital gains). Our REIT taxable income will not typically include income earned by our TRSs except to the extent our TRSs pay dividends to the REIT.</w:t>
      </w:r>
    </w:p>
    <w:p w:rsidR="00000000" w:rsidRDefault="005F13FD">
      <w:pPr>
        <w:pStyle w:val="a3"/>
        <w:spacing w:before="240" w:beforeAutospacing="0" w:after="0" w:afterAutospacing="0"/>
        <w:jc w:val="center"/>
        <w:rPr>
          <w:sz w:val="20"/>
          <w:szCs w:val="20"/>
        </w:rPr>
      </w:pPr>
      <w:r>
        <w:rPr>
          <w:sz w:val="20"/>
          <w:szCs w:val="20"/>
        </w:rPr>
        <w:t>22</w:t>
      </w:r>
    </w:p>
    <w:p w:rsidR="00000000" w:rsidRDefault="005F13FD">
      <w:pPr>
        <w:rPr>
          <w:rFonts w:eastAsia="Times New Roman"/>
        </w:rPr>
      </w:pPr>
      <w:r>
        <w:rPr>
          <w:rFonts w:eastAsia="Times New Roman"/>
        </w:rPr>
        <w:pict>
          <v:rect id="_x0000_i1048"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sz w:val="20"/>
          <w:szCs w:val="20"/>
        </w:rPr>
      </w:pPr>
      <w:r>
        <w:rPr>
          <w:sz w:val="20"/>
          <w:szCs w:val="20"/>
        </w:rPr>
        <w:t>On June 17, 2020, we announced that our Board of Directors, or BOD, was evaluating corporate structure and capital allocation alternatives.  Concurrently, the BOD suspended our quarterly dividend while we assessed how best to use our free cash flow to buil</w:t>
      </w:r>
      <w:r>
        <w:rPr>
          <w:sz w:val="20"/>
          <w:szCs w:val="20"/>
        </w:rPr>
        <w:t>d shareholder value, maintain service excellence, and offer and implement unique solutions for our government partners and the communities in which we serve.  On August 5, 2020, we announced that the BOD concluded its analysis and unanimously approved a pl</w:t>
      </w:r>
      <w:r>
        <w:rPr>
          <w:sz w:val="20"/>
          <w:szCs w:val="20"/>
        </w:rPr>
        <w:t>an to revoke our REIT election and become a taxable C Corporation, effective January 1, 2021.  As a result, we will no longer be required to operate under REIT rules, including the requirement to distribute at least 90% of our taxable income to our stockho</w:t>
      </w:r>
      <w:r>
        <w:rPr>
          <w:sz w:val="20"/>
          <w:szCs w:val="20"/>
        </w:rPr>
        <w:t>lders, which will provide us with greater flexibility to use our free cash flow.  Beginning January 1, 2021, we will be subject to federal and state income taxes on our taxable income at applicable tax rates, and will no longer be entitled to a tax deducti</w:t>
      </w:r>
      <w:r>
        <w:rPr>
          <w:sz w:val="20"/>
          <w:szCs w:val="20"/>
        </w:rPr>
        <w:t>on for dividends paid. We will continue to operate as a REIT for the remainder of the 2020 tax year, and existing REIT requirements and limitations, including those established by our organizational documents, will remain in place until January 1, 2021.  T</w:t>
      </w:r>
      <w:r>
        <w:rPr>
          <w:sz w:val="20"/>
          <w:szCs w:val="20"/>
        </w:rPr>
        <w:t xml:space="preserve">he BOD also announced that we are discontinuing our quarterly dividend and prioritizing the allocation of our free cash flow to debt reduction.   </w:t>
      </w:r>
    </w:p>
    <w:p w:rsidR="00000000" w:rsidRDefault="005F13FD">
      <w:pPr>
        <w:pStyle w:val="a3"/>
        <w:spacing w:before="360" w:beforeAutospacing="0" w:after="0" w:afterAutospacing="0"/>
        <w:rPr>
          <w:b/>
          <w:bCs/>
          <w:sz w:val="20"/>
          <w:szCs w:val="20"/>
        </w:rPr>
      </w:pPr>
      <w:r>
        <w:rPr>
          <w:b/>
          <w:bCs/>
          <w:sz w:val="20"/>
          <w:szCs w:val="20"/>
        </w:rPr>
        <w:t>CRITICAL ACCOUNTING POLICIES</w:t>
      </w:r>
    </w:p>
    <w:p w:rsidR="00000000" w:rsidRDefault="005F13FD">
      <w:pPr>
        <w:pStyle w:val="a3"/>
        <w:spacing w:before="120" w:beforeAutospacing="0" w:after="0" w:afterAutospacing="0"/>
        <w:jc w:val="both"/>
        <w:rPr>
          <w:sz w:val="20"/>
          <w:szCs w:val="20"/>
        </w:rPr>
      </w:pPr>
      <w:r>
        <w:rPr>
          <w:sz w:val="20"/>
          <w:szCs w:val="20"/>
        </w:rPr>
        <w:t xml:space="preserve">The consolidated financial statements in this report are prepared in conformity </w:t>
      </w:r>
      <w:r>
        <w:rPr>
          <w:sz w:val="20"/>
          <w:szCs w:val="20"/>
        </w:rPr>
        <w:t>with U.S. generally accepted accounting principles, or GAAP.  As such, we are required to make certain estimates, judgments, and assumptions that we believe are reasonable based upon the information available. These estimates and assumptions affect the rep</w:t>
      </w:r>
      <w:r>
        <w:rPr>
          <w:sz w:val="20"/>
          <w:szCs w:val="20"/>
        </w:rPr>
        <w:t>orted amounts of assets and liabilities at the date of the consolidated financial statements and the reported amounts of revenue and expenses during the reporting period.  A summary of our significant accounting policies is described in our 2019 Form 10-K.</w:t>
      </w:r>
      <w:r>
        <w:rPr>
          <w:sz w:val="20"/>
          <w:szCs w:val="20"/>
        </w:rPr>
        <w:t>  The significant accounting policies and estimates which we believe are the most critical to aid in fully understanding and evaluating our reported financial results include the following:</w:t>
      </w:r>
    </w:p>
    <w:p w:rsidR="00000000" w:rsidRDefault="005F13FD">
      <w:pPr>
        <w:pStyle w:val="a3"/>
        <w:spacing w:before="240" w:beforeAutospacing="0" w:after="0" w:afterAutospacing="0"/>
        <w:jc w:val="both"/>
        <w:rPr>
          <w:i/>
          <w:iCs/>
          <w:sz w:val="20"/>
          <w:szCs w:val="20"/>
        </w:rPr>
      </w:pPr>
      <w:r>
        <w:rPr>
          <w:i/>
          <w:iCs/>
          <w:sz w:val="20"/>
          <w:szCs w:val="20"/>
        </w:rPr>
        <w:t>Asset impairments.</w:t>
      </w:r>
      <w:r>
        <w:rPr>
          <w:b/>
          <w:bCs/>
          <w:i/>
          <w:iCs/>
          <w:sz w:val="20"/>
          <w:szCs w:val="20"/>
        </w:rPr>
        <w:t>  </w:t>
      </w:r>
      <w:r>
        <w:rPr>
          <w:sz w:val="20"/>
          <w:szCs w:val="20"/>
        </w:rPr>
        <w:t xml:space="preserve">The primary risk we face for asset impairment </w:t>
      </w:r>
      <w:r>
        <w:rPr>
          <w:sz w:val="20"/>
          <w:szCs w:val="20"/>
        </w:rPr>
        <w:t>charges, excluding goodwill, is associated with facilities we own.  As of September 30, 2020, we had $2.7 billion in property and equipment, including $132.6 million in long-lived assets, excluding equipment, at five idled CoreCivic Safety correctional fac</w:t>
      </w:r>
      <w:r>
        <w:rPr>
          <w:sz w:val="20"/>
          <w:szCs w:val="20"/>
        </w:rPr>
        <w:t>ilities.  The impairment analyses we performed for each of these facilities excluded the net book value of equipment, as a substantial portion of the equipment is easily transferrable to other company-owned facilities without significant cost.  The carryin</w:t>
      </w:r>
      <w:r>
        <w:rPr>
          <w:sz w:val="20"/>
          <w:szCs w:val="20"/>
        </w:rPr>
        <w:t>g values of the five idled correctional facilities as of September 30, 2020 were as follows (in thousands):</w:t>
      </w:r>
    </w:p>
    <w:p w:rsidR="00000000" w:rsidRDefault="005F13FD">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76"/>
        <w:gridCol w:w="67"/>
        <w:gridCol w:w="115"/>
        <w:gridCol w:w="761"/>
        <w:gridCol w:w="65"/>
      </w:tblGrid>
      <w:tr w:rsidR="00000000">
        <w:trPr>
          <w:divId w:val="447704456"/>
        </w:trPr>
        <w:tc>
          <w:tcPr>
            <w:tcW w:w="401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Prairie Correctional Facility</w:t>
            </w:r>
          </w:p>
        </w:tc>
        <w:tc>
          <w:tcPr>
            <w:tcW w:w="9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14,277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447704456"/>
        </w:trPr>
        <w:tc>
          <w:tcPr>
            <w:tcW w:w="401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Huerfano County Correctional Center</w:t>
            </w:r>
          </w:p>
        </w:tc>
        <w:tc>
          <w:tcPr>
            <w:tcW w:w="9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16,062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447704456"/>
        </w:trPr>
        <w:tc>
          <w:tcPr>
            <w:tcW w:w="401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Diamondback Correctional Facility</w:t>
            </w:r>
          </w:p>
        </w:tc>
        <w:tc>
          <w:tcPr>
            <w:tcW w:w="9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38,421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447704456"/>
        </w:trPr>
        <w:tc>
          <w:tcPr>
            <w:tcW w:w="401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Marion Adjustment Center</w:t>
            </w:r>
          </w:p>
        </w:tc>
        <w:tc>
          <w:tcPr>
            <w:tcW w:w="9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11,148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447704456"/>
        </w:trPr>
        <w:tc>
          <w:tcPr>
            <w:tcW w:w="401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Kit Carson Correctional Center</w:t>
            </w:r>
          </w:p>
        </w:tc>
        <w:tc>
          <w:tcPr>
            <w:tcW w:w="9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52,712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447704456"/>
        </w:trPr>
        <w:tc>
          <w:tcPr>
            <w:tcW w:w="401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9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132,620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jc w:val="both"/>
        <w:rPr>
          <w:sz w:val="20"/>
          <w:szCs w:val="20"/>
        </w:rPr>
      </w:pPr>
      <w:r>
        <w:rPr>
          <w:sz w:val="20"/>
          <w:szCs w:val="20"/>
        </w:rPr>
        <w:t>As of September </w:t>
      </w:r>
      <w:r>
        <w:rPr>
          <w:sz w:val="20"/>
          <w:szCs w:val="20"/>
        </w:rPr>
        <w:t xml:space="preserve">30, 2020, we also had one idled non-core facility in our Safety segment containing 240 beds with a total net book value of $3.1 million; four facilities in our Community segment, including three that became idle during 2020, containing an aggregate of 939 </w:t>
      </w:r>
      <w:r>
        <w:rPr>
          <w:sz w:val="20"/>
          <w:szCs w:val="20"/>
        </w:rPr>
        <w:t>beds with a total net book value of $13.7 million; and three previously leased residential reentry centers in our Properties segment containing an aggregate of 430 beds with a total net book value of $9.2 million.  </w:t>
      </w:r>
    </w:p>
    <w:p w:rsidR="00000000" w:rsidRDefault="005F13FD">
      <w:pPr>
        <w:pStyle w:val="a3"/>
        <w:spacing w:before="240" w:beforeAutospacing="0" w:after="0" w:afterAutospacing="0"/>
        <w:jc w:val="both"/>
        <w:rPr>
          <w:sz w:val="20"/>
          <w:szCs w:val="20"/>
        </w:rPr>
      </w:pPr>
      <w:r>
        <w:rPr>
          <w:sz w:val="20"/>
          <w:szCs w:val="20"/>
        </w:rPr>
        <w:t xml:space="preserve">We incurred operating expenses at these </w:t>
      </w:r>
      <w:r>
        <w:rPr>
          <w:sz w:val="20"/>
          <w:szCs w:val="20"/>
        </w:rPr>
        <w:t>idled facilities of approximately $2.1 million and $1.9 million for the period they were idle during the three months ended September 30, 2020 and 2019, respectively.  We incurred operating expenses at these idled facilities of approximately $6.1 million a</w:t>
      </w:r>
      <w:r>
        <w:rPr>
          <w:sz w:val="20"/>
          <w:szCs w:val="20"/>
        </w:rPr>
        <w:t>nd $5.4 million for the period they were idle during the nine months ended September 30, 2020 and 2019, respectively.</w:t>
      </w:r>
    </w:p>
    <w:p w:rsidR="00000000" w:rsidRDefault="005F13FD">
      <w:pPr>
        <w:pStyle w:val="a3"/>
        <w:spacing w:before="240" w:beforeAutospacing="0" w:after="0" w:afterAutospacing="0"/>
        <w:jc w:val="both"/>
        <w:rPr>
          <w:sz w:val="20"/>
          <w:szCs w:val="20"/>
        </w:rPr>
      </w:pPr>
      <w:r>
        <w:rPr>
          <w:sz w:val="20"/>
          <w:szCs w:val="20"/>
        </w:rPr>
        <w:t>On April 15, 2020, we sold an idled facility in our Community segment, containing 92 beds, for a gross sales price of $1.6 million.  In an</w:t>
      </w:r>
      <w:r>
        <w:rPr>
          <w:sz w:val="20"/>
          <w:szCs w:val="20"/>
        </w:rPr>
        <w:t>ticipation of the sale, we reported an impairment charge of $0.5 million in the first quarter of 2020 based on the realizable value resulting from the sale. On May 26, 2020, we sold an idled non-core facility in our Safety segment, containing 200 beds with</w:t>
      </w:r>
      <w:r>
        <w:rPr>
          <w:sz w:val="20"/>
          <w:szCs w:val="20"/>
        </w:rPr>
        <w:t xml:space="preserve"> a net book value of $0.5 million at the time of the sale, for net proceeds of $3.3 million.  The gain on the sale of $2.8 million was recognized in the second quarter of 2020. </w:t>
      </w:r>
    </w:p>
    <w:p w:rsidR="00000000" w:rsidRDefault="005F13FD">
      <w:pPr>
        <w:pStyle w:val="a3"/>
        <w:spacing w:before="240" w:beforeAutospacing="0" w:after="0" w:afterAutospacing="0"/>
        <w:jc w:val="both"/>
        <w:rPr>
          <w:sz w:val="20"/>
          <w:szCs w:val="20"/>
        </w:rPr>
      </w:pPr>
      <w:r>
        <w:rPr>
          <w:sz w:val="20"/>
          <w:szCs w:val="20"/>
        </w:rPr>
        <w:t xml:space="preserve">On September 15, 2020, we announced that we entered into a new contract under </w:t>
      </w:r>
      <w:r>
        <w:rPr>
          <w:sz w:val="20"/>
          <w:szCs w:val="20"/>
        </w:rPr>
        <w:t>an inter-governmental service agreement, or IGSA, between the city of Cushing, Oklahoma and the U.S. Marshals Service, or USMS, to utilize our 1,692-bed Cimarron Correctional Facility in our CoreCivic Safety segment.  We had previously announced our intent</w:t>
      </w:r>
      <w:r>
        <w:rPr>
          <w:sz w:val="20"/>
          <w:szCs w:val="20"/>
        </w:rPr>
        <w:t xml:space="preserve">ion to idle the Cimarron facility during the third quarter of 2020, predominately due to a lower number of inmate populations from the state of Oklahoma resulting from COVID-19, combined with the consequential impact of COVID-19 on the State's budget. The </w:t>
      </w:r>
      <w:r>
        <w:rPr>
          <w:sz w:val="20"/>
          <w:szCs w:val="20"/>
        </w:rPr>
        <w:t>new management contract commenced on September 15, 2020, and has an initial term of three years, with unlimited 24-month extension options thereafter upon mutual agreement. As of September 30, 2020, the net book value of the Cimarron facility was $73.3 mil</w:t>
      </w:r>
      <w:r>
        <w:rPr>
          <w:sz w:val="20"/>
          <w:szCs w:val="20"/>
        </w:rPr>
        <w:t>lion.  </w:t>
      </w:r>
    </w:p>
    <w:p w:rsidR="00000000" w:rsidRDefault="005F13FD">
      <w:pPr>
        <w:pStyle w:val="a3"/>
        <w:spacing w:before="240" w:beforeAutospacing="0" w:after="0" w:afterAutospacing="0"/>
        <w:jc w:val="center"/>
        <w:rPr>
          <w:sz w:val="20"/>
          <w:szCs w:val="20"/>
        </w:rPr>
      </w:pPr>
      <w:r>
        <w:rPr>
          <w:sz w:val="20"/>
          <w:szCs w:val="20"/>
        </w:rPr>
        <w:t>23</w:t>
      </w:r>
    </w:p>
    <w:p w:rsidR="00000000" w:rsidRDefault="005F13FD">
      <w:pPr>
        <w:rPr>
          <w:rFonts w:eastAsia="Times New Roman"/>
        </w:rPr>
      </w:pPr>
      <w:r>
        <w:rPr>
          <w:rFonts w:eastAsia="Times New Roman"/>
        </w:rPr>
        <w:pict>
          <v:rect id="_x0000_i1049"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sz w:val="20"/>
          <w:szCs w:val="20"/>
        </w:rPr>
      </w:pPr>
      <w:r>
        <w:rPr>
          <w:sz w:val="20"/>
          <w:szCs w:val="20"/>
        </w:rPr>
        <w:t>Also as a result of the lower resident populations from the state of Oklahoma and the impact of COVID-19, we also transferred the remaining resident populations at our 390-bed Tulsa Transitional Center to O</w:t>
      </w:r>
      <w:r>
        <w:rPr>
          <w:sz w:val="20"/>
          <w:szCs w:val="20"/>
        </w:rPr>
        <w:t xml:space="preserve">klahoma's system, idling the Tulsa facility during the third quarter of 2020.  Closure of the Tulsa facility followed the closure of the 200-bed Oklahoma City Transitional Center during the second quarter of 2020, and the 289-bed Turley Residential Center </w:t>
      </w:r>
      <w:r>
        <w:rPr>
          <w:sz w:val="20"/>
          <w:szCs w:val="20"/>
        </w:rPr>
        <w:t>in Oklahoma in 2019.  During the fourth quarter of 2020, the Federal Bureau of Prisons, or the BOP, awarded a new contract to us for residential reentry and home confinement services pursuant to a solicitation for capacity and services to be provided in th</w:t>
      </w:r>
      <w:r>
        <w:rPr>
          <w:sz w:val="20"/>
          <w:szCs w:val="20"/>
        </w:rPr>
        <w:t xml:space="preserve">e state of Oklahoma.  As a result, we expect to reactivate the Turley Residential Center during the first quarter of 2021, and provide the BOP additional reentry services at our owned and operated Oklahoma Reentry Opportunity Center (formerly known as the </w:t>
      </w:r>
      <w:r>
        <w:rPr>
          <w:sz w:val="20"/>
          <w:szCs w:val="20"/>
        </w:rPr>
        <w:t>Carver Transitional Center) in Oklahoma which will supplement the existing utilization by the state of Oklahoma.</w:t>
      </w:r>
    </w:p>
    <w:p w:rsidR="00000000" w:rsidRDefault="005F13FD">
      <w:pPr>
        <w:pStyle w:val="a3"/>
        <w:spacing w:before="240" w:beforeAutospacing="0" w:after="0" w:afterAutospacing="0"/>
        <w:jc w:val="both"/>
        <w:rPr>
          <w:sz w:val="20"/>
          <w:szCs w:val="20"/>
        </w:rPr>
      </w:pPr>
      <w:r>
        <w:rPr>
          <w:sz w:val="20"/>
          <w:szCs w:val="20"/>
        </w:rPr>
        <w:t xml:space="preserve">Also during the third quarter of 2020, Adams County, Colorado, notified us that, pursuant to a re-bid of the contract at the 184-bed Henderson </w:t>
      </w:r>
      <w:r>
        <w:rPr>
          <w:sz w:val="20"/>
          <w:szCs w:val="20"/>
        </w:rPr>
        <w:t>Transitional Center, a facility in the Community segment we lease from the County, it awarded the contract to another operator.  We expect to transition operations to the other operator upon expiration of the contract in January 2021.  During the third qua</w:t>
      </w:r>
      <w:r>
        <w:rPr>
          <w:sz w:val="20"/>
          <w:szCs w:val="20"/>
        </w:rPr>
        <w:t>rter of 2020, we reported an impairment charge of $0.8 million for intangible assets associated with this contract.</w:t>
      </w:r>
    </w:p>
    <w:p w:rsidR="00000000" w:rsidRDefault="005F13FD">
      <w:pPr>
        <w:pStyle w:val="a3"/>
        <w:spacing w:before="240" w:beforeAutospacing="0" w:after="0" w:afterAutospacing="0"/>
        <w:jc w:val="both"/>
        <w:rPr>
          <w:sz w:val="20"/>
          <w:szCs w:val="20"/>
        </w:rPr>
      </w:pPr>
      <w:r>
        <w:rPr>
          <w:sz w:val="20"/>
          <w:szCs w:val="20"/>
        </w:rPr>
        <w:t xml:space="preserve">We evaluate the recoverability of the carrying values of our long-lived assets, other than goodwill, when events suggest that an impairment </w:t>
      </w:r>
      <w:r>
        <w:rPr>
          <w:sz w:val="20"/>
          <w:szCs w:val="20"/>
        </w:rPr>
        <w:t>may have occurred.  Such events primarily include, but are not limited to, the termination of a management contract, a significant decrease in populations within a facility we own that we believe will be longer than short-term, and the expiration and non-r</w:t>
      </w:r>
      <w:r>
        <w:rPr>
          <w:sz w:val="20"/>
          <w:szCs w:val="20"/>
        </w:rPr>
        <w:t>enewal of lease agreements in our CoreCivic Properties segment.  </w:t>
      </w:r>
    </w:p>
    <w:p w:rsidR="00000000" w:rsidRDefault="005F13FD">
      <w:pPr>
        <w:pStyle w:val="a3"/>
        <w:spacing w:before="240" w:beforeAutospacing="0" w:after="0" w:afterAutospacing="0"/>
        <w:jc w:val="both"/>
        <w:rPr>
          <w:sz w:val="20"/>
          <w:szCs w:val="20"/>
        </w:rPr>
      </w:pPr>
      <w:r>
        <w:rPr>
          <w:sz w:val="20"/>
          <w:szCs w:val="20"/>
        </w:rPr>
        <w:t>We perform the impairment analyses for each of the idle facilities as well as any other properties with indicators of impairment.  Our estimates of recoverability are initially based on proj</w:t>
      </w:r>
      <w:r>
        <w:rPr>
          <w:sz w:val="20"/>
          <w:szCs w:val="20"/>
        </w:rPr>
        <w:t>ected undiscounted cash flows that are comparable to historical cash flows from management contracts or lease agreements at facilities similar to the idled facilities, including historical operations for the idled facilities when such facilities were opera</w:t>
      </w:r>
      <w:r>
        <w:rPr>
          <w:sz w:val="20"/>
          <w:szCs w:val="20"/>
        </w:rPr>
        <w:t>ting. Our impairment evaluations also take into consideration our historical experience in securing new management contracts to utilize correctional facilities that had been previously idled for substantial periods of time.  Such previously idled correctio</w:t>
      </w:r>
      <w:r>
        <w:rPr>
          <w:sz w:val="20"/>
          <w:szCs w:val="20"/>
        </w:rPr>
        <w:t>nal facilities are currently being operated under contracts that continue to generate cash flows resulting in the recoverability of the net book value of the previously idled facilities by material amounts. We also perform sensitivity analyses that conside</w:t>
      </w:r>
      <w:r>
        <w:rPr>
          <w:sz w:val="20"/>
          <w:szCs w:val="20"/>
        </w:rPr>
        <w:t xml:space="preserve">r reductions to such cash flows. Our sensitivity analyses include reductions in projected cash flows by as much as half of the historical cash flows generated by the respective facility as well as prolonged periods of vacancies. </w:t>
      </w:r>
      <w:r>
        <w:rPr>
          <w:color w:val="000000"/>
          <w:sz w:val="20"/>
          <w:szCs w:val="20"/>
          <w:shd w:val="clear" w:color="auto" w:fill="FFFFFF"/>
        </w:rPr>
        <w:t>As a result of our analyses</w:t>
      </w:r>
      <w:r>
        <w:rPr>
          <w:color w:val="000000"/>
          <w:sz w:val="20"/>
          <w:szCs w:val="20"/>
          <w:shd w:val="clear" w:color="auto" w:fill="FFFFFF"/>
        </w:rPr>
        <w:t>, in the second quarter of 2020, we reported an impairment charge of $9.8 million on one of the residential reentry facilities in Oklahoma, based on its anticipated use as a commercial real estate property rather than a reentry facility</w:t>
      </w:r>
      <w:r>
        <w:rPr>
          <w:sz w:val="20"/>
          <w:szCs w:val="20"/>
        </w:rPr>
        <w:t>.  The fair value me</w:t>
      </w:r>
      <w:r>
        <w:rPr>
          <w:sz w:val="20"/>
          <w:szCs w:val="20"/>
        </w:rPr>
        <w:t>asurement for the Oklahoma residential reentry facility was estimated using unobservable Level 3 inputs, as defined in Accounting Standards Codification, or ASC, 820, "Fair Value Measurement," using market comparable data for similar properties in the loca</w:t>
      </w:r>
      <w:r>
        <w:rPr>
          <w:sz w:val="20"/>
          <w:szCs w:val="20"/>
        </w:rPr>
        <w:t>l market.</w:t>
      </w:r>
    </w:p>
    <w:p w:rsidR="00000000" w:rsidRDefault="005F13FD">
      <w:pPr>
        <w:pStyle w:val="a3"/>
        <w:spacing w:before="240" w:beforeAutospacing="0" w:after="0" w:afterAutospacing="0"/>
        <w:jc w:val="both"/>
        <w:rPr>
          <w:sz w:val="20"/>
          <w:szCs w:val="20"/>
        </w:rPr>
      </w:pPr>
      <w:r>
        <w:rPr>
          <w:sz w:val="20"/>
          <w:szCs w:val="20"/>
        </w:rPr>
        <w:t>We also evaluate on a quarterly basis market developments for the potential utilization of each of these facilities in order to identify events that may cause us to reconsider our most recent assumptions.  Such events could include negotiations w</w:t>
      </w:r>
      <w:r>
        <w:rPr>
          <w:sz w:val="20"/>
          <w:szCs w:val="20"/>
        </w:rPr>
        <w:t>ith a prospective customer for the utilization of an idle facility at terms significantly less favorable than those used in our most recent impairment analysis, or changes in legislation surrounding a particular facility that could impact our ability to ca</w:t>
      </w:r>
      <w:r>
        <w:rPr>
          <w:sz w:val="20"/>
          <w:szCs w:val="20"/>
        </w:rPr>
        <w:t>re for certain types of populations at such facility, or a demolition or substantial renovation of a facility.  Further, a substantial increase in the number of available beds at other facilities we own could lead to a deterioration in market conditions an</w:t>
      </w:r>
      <w:r>
        <w:rPr>
          <w:sz w:val="20"/>
          <w:szCs w:val="20"/>
        </w:rPr>
        <w:t>d cash flows that we might be able to obtain under a new contract at our idle facilities. Although they are not frequently received, an unsolicited offer to purchase, or an agreement to sell, any of our idle facilities at amounts that are less than the car</w:t>
      </w:r>
      <w:r>
        <w:rPr>
          <w:sz w:val="20"/>
          <w:szCs w:val="20"/>
        </w:rPr>
        <w:t xml:space="preserve">rying value could also cause us to reconsider the assumptions used in our most recent impairment analysis.   </w:t>
      </w:r>
    </w:p>
    <w:p w:rsidR="00000000" w:rsidRDefault="005F13FD">
      <w:pPr>
        <w:pStyle w:val="a3"/>
        <w:spacing w:before="240" w:beforeAutospacing="0" w:after="0" w:afterAutospacing="0"/>
        <w:jc w:val="both"/>
        <w:rPr>
          <w:sz w:val="20"/>
          <w:szCs w:val="20"/>
        </w:rPr>
      </w:pPr>
      <w:r>
        <w:rPr>
          <w:sz w:val="20"/>
          <w:szCs w:val="20"/>
        </w:rPr>
        <w:t>We can provide no assurance that we will be able to secure agreements to utilize our idle properties, or that we will not incur impairment charges</w:t>
      </w:r>
      <w:r>
        <w:rPr>
          <w:sz w:val="20"/>
          <w:szCs w:val="20"/>
        </w:rPr>
        <w:t xml:space="preserve"> in the future. By their nature, these estimates contain uncertainties with respect to the extent and timing of the respective cash flows due to potential delays or material changes to historical terms and conditions in contracts with prospective customers</w:t>
      </w:r>
      <w:r>
        <w:rPr>
          <w:sz w:val="20"/>
          <w:szCs w:val="20"/>
        </w:rPr>
        <w:t xml:space="preserve"> that could impact the estimate of cash flows.  With respect to idle correctional facilities, we believe the long-term trends favor an increase in the utilization of our correctional facilities and management services.  This belief is based on our experien</w:t>
      </w:r>
      <w:r>
        <w:rPr>
          <w:sz w:val="20"/>
          <w:szCs w:val="20"/>
        </w:rPr>
        <w:t xml:space="preserve">ce in working with governmental agencies faced with significant budgetary challenges, which is a primary contributing factor to the lack of appropriated funding over the past decade to build new bed capacity by the federal and state governments with which </w:t>
      </w:r>
      <w:r>
        <w:rPr>
          <w:sz w:val="20"/>
          <w:szCs w:val="20"/>
        </w:rPr>
        <w:t>we partner. Due to a variety of factors, the lead time to negotiate contracts with our federal and state partners to utilize idle bed capacity at correctional facilities is generally lengthy.</w:t>
      </w:r>
    </w:p>
    <w:p w:rsidR="00000000" w:rsidRDefault="005F13FD">
      <w:pPr>
        <w:pStyle w:val="a3"/>
        <w:spacing w:before="240" w:beforeAutospacing="0" w:after="0" w:afterAutospacing="0"/>
        <w:jc w:val="both"/>
        <w:rPr>
          <w:i/>
          <w:iCs/>
          <w:sz w:val="20"/>
          <w:szCs w:val="20"/>
        </w:rPr>
      </w:pPr>
      <w:r>
        <w:rPr>
          <w:i/>
          <w:iCs/>
          <w:sz w:val="20"/>
          <w:szCs w:val="20"/>
        </w:rPr>
        <w:t xml:space="preserve">Goodwill Impairments – </w:t>
      </w:r>
      <w:r>
        <w:rPr>
          <w:sz w:val="20"/>
          <w:szCs w:val="20"/>
        </w:rPr>
        <w:t>As of September </w:t>
      </w:r>
      <w:r>
        <w:rPr>
          <w:sz w:val="20"/>
          <w:szCs w:val="20"/>
        </w:rPr>
        <w:t>30, 2020, we had $48.6 million of goodwill, established in connection with multiple business combination transactions.  We evaluate the carrying value of goodwill annually and whenever circumstances indicate the carrying value of goodwill may be impaired. </w:t>
      </w:r>
      <w:r>
        <w:rPr>
          <w:sz w:val="20"/>
          <w:szCs w:val="20"/>
        </w:rPr>
        <w:t> Under the provisions of Accounting Standards Update, or ASU, 2017-04, "Intangibles–Goodwill and Other (Topic 350): Simplifying the Test of Goodwill Impairment," we perform a qualitative assessment to determine whether the existence of events or circumstan</w:t>
      </w:r>
      <w:r>
        <w:rPr>
          <w:sz w:val="20"/>
          <w:szCs w:val="20"/>
        </w:rPr>
        <w:t xml:space="preserve">ces leads to a determination that it is more likely than not that the fair value of a reporting unit is less than its carrying amount.  If, after assessing the totality of events or circumstances, we determine it is more likely than not that the fair </w:t>
      </w:r>
    </w:p>
    <w:p w:rsidR="00000000" w:rsidRDefault="005F13FD">
      <w:pPr>
        <w:pStyle w:val="a3"/>
        <w:spacing w:before="240" w:beforeAutospacing="0" w:after="0" w:afterAutospacing="0"/>
        <w:jc w:val="center"/>
        <w:rPr>
          <w:sz w:val="20"/>
          <w:szCs w:val="20"/>
        </w:rPr>
      </w:pPr>
      <w:r>
        <w:rPr>
          <w:sz w:val="20"/>
          <w:szCs w:val="20"/>
        </w:rPr>
        <w:t>24</w:t>
      </w:r>
    </w:p>
    <w:p w:rsidR="00000000" w:rsidRDefault="005F13FD">
      <w:pPr>
        <w:rPr>
          <w:rFonts w:eastAsia="Times New Roman"/>
        </w:rPr>
      </w:pPr>
      <w:r>
        <w:rPr>
          <w:rFonts w:eastAsia="Times New Roman"/>
        </w:rPr>
        <w:pict>
          <v:rect id="_x0000_i1050"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i/>
          <w:iCs/>
          <w:sz w:val="20"/>
          <w:szCs w:val="20"/>
        </w:rPr>
      </w:pPr>
      <w:r>
        <w:rPr>
          <w:sz w:val="20"/>
          <w:szCs w:val="20"/>
        </w:rPr>
        <w:t>value of a reporting unit is less than its carrying amount, then we perform a quantitative impairment test.  If a quantitative test is required, we perform an assessment to identify the existence of impairment and to m</w:t>
      </w:r>
      <w:r>
        <w:rPr>
          <w:sz w:val="20"/>
          <w:szCs w:val="20"/>
        </w:rPr>
        <w:t>easure the excess of a reporting unit's carrying amount over its fair value by using a combination of various common valuation techniques, including the income approach and market approach.  The income valuation approach includes certain significant assump</w:t>
      </w:r>
      <w:r>
        <w:rPr>
          <w:sz w:val="20"/>
          <w:szCs w:val="20"/>
        </w:rPr>
        <w:t>tions impacting projected future cash flows, such as projected revenue, projected operating costs, and the weighted average cost of capital, which are affected by expectations about future market or economic conditions.  By their nature, valuation techniqu</w:t>
      </w:r>
      <w:r>
        <w:rPr>
          <w:sz w:val="20"/>
          <w:szCs w:val="20"/>
        </w:rPr>
        <w:t>es are subject to considerable judgment and require estimates of future cash flows as well as other factors, which are often difficult to predict.  Estimated fair values could change if there are changes in our capital structure, cost of debt, interest rat</w:t>
      </w:r>
      <w:r>
        <w:rPr>
          <w:sz w:val="20"/>
          <w:szCs w:val="20"/>
        </w:rPr>
        <w:t xml:space="preserve">es, capital expenditure levels, operating cash flows, or market capitalization. Accordingly, we may incur goodwill impairment charges in the future. </w:t>
      </w:r>
    </w:p>
    <w:p w:rsidR="00000000" w:rsidRDefault="005F13FD">
      <w:pPr>
        <w:pStyle w:val="a3"/>
        <w:spacing w:before="240" w:beforeAutospacing="0" w:after="0" w:afterAutospacing="0"/>
        <w:jc w:val="both"/>
        <w:rPr>
          <w:sz w:val="20"/>
          <w:szCs w:val="20"/>
        </w:rPr>
      </w:pPr>
      <w:r>
        <w:rPr>
          <w:sz w:val="20"/>
          <w:szCs w:val="20"/>
        </w:rPr>
        <w:t>During the third quarter of 2020, we provided notice to the local county customers at two managed-only fac</w:t>
      </w:r>
      <w:r>
        <w:rPr>
          <w:sz w:val="20"/>
          <w:szCs w:val="20"/>
        </w:rPr>
        <w:t>ilities of our intent to terminate the contracts.  We expect to transition operations of the 1,046-bed Silverdale Detention Center in December of 2020 and transitioned operations at the 1,348-bed Metro-Davidson County Detention Facility in October 2020.  A</w:t>
      </w:r>
      <w:r>
        <w:rPr>
          <w:sz w:val="20"/>
          <w:szCs w:val="20"/>
        </w:rPr>
        <w:t xml:space="preserve">s a result of these expected contract terminations, during the second quarter of 2020, we recognized goodwill impairments of $2.0 million associated with these two managed-only facilities' reporting units.   </w:t>
      </w:r>
      <w:r>
        <w:t>  </w:t>
      </w:r>
    </w:p>
    <w:p w:rsidR="00000000" w:rsidRDefault="005F13FD">
      <w:pPr>
        <w:pStyle w:val="a3"/>
        <w:spacing w:before="240" w:beforeAutospacing="0" w:after="0" w:afterAutospacing="0"/>
        <w:jc w:val="both"/>
        <w:rPr>
          <w:sz w:val="20"/>
          <w:szCs w:val="20"/>
        </w:rPr>
      </w:pPr>
      <w:r>
        <w:rPr>
          <w:sz w:val="20"/>
          <w:szCs w:val="20"/>
        </w:rPr>
        <w:t>We have continued to monitor the impact of CO</w:t>
      </w:r>
      <w:r>
        <w:rPr>
          <w:sz w:val="20"/>
          <w:szCs w:val="20"/>
        </w:rPr>
        <w:t xml:space="preserve">VID-19 with respect to the projections and assumptions used for our annual assessment performed in the fourth quarter of 2019. As of September 30, 2020, we concluded that it is more likely than not that the fair value of the reporting units exceeded their </w:t>
      </w:r>
      <w:r>
        <w:rPr>
          <w:sz w:val="20"/>
          <w:szCs w:val="20"/>
        </w:rPr>
        <w:t>carrying values (with the exception of the impact of the contract terminations discussed above on two managed-only reporting units).  However, the long-term impacts of COVID-19, if any, on future cash flows are difficult to predict.  We can provide no assu</w:t>
      </w:r>
      <w:r>
        <w:rPr>
          <w:sz w:val="20"/>
          <w:szCs w:val="20"/>
        </w:rPr>
        <w:t xml:space="preserve">rance that goodwill impairments will not occur in the future as a result of the impact of COVID-19 or otherwise.  We will conduct additional impairment tests if, and when, warranted by the impact of COVID-19 on our reporting units. </w:t>
      </w:r>
    </w:p>
    <w:p w:rsidR="00000000" w:rsidRDefault="005F13FD">
      <w:pPr>
        <w:pStyle w:val="a3"/>
        <w:spacing w:before="240" w:beforeAutospacing="0" w:after="0" w:afterAutospacing="0"/>
        <w:jc w:val="both"/>
        <w:rPr>
          <w:i/>
          <w:iCs/>
          <w:sz w:val="20"/>
          <w:szCs w:val="20"/>
        </w:rPr>
      </w:pPr>
      <w:r>
        <w:rPr>
          <w:i/>
          <w:iCs/>
          <w:sz w:val="20"/>
          <w:szCs w:val="20"/>
        </w:rPr>
        <w:t>Self-funded insurance r</w:t>
      </w:r>
      <w:r>
        <w:rPr>
          <w:i/>
          <w:iCs/>
          <w:sz w:val="20"/>
          <w:szCs w:val="20"/>
        </w:rPr>
        <w:t>eserves</w:t>
      </w:r>
      <w:r>
        <w:rPr>
          <w:sz w:val="20"/>
          <w:szCs w:val="20"/>
        </w:rPr>
        <w:t>.  As of September 30, 2020, we had $47.1 million in accrued liabilities for employee health, workers' compensation, and automobile insurance claims.  We are significantly self-insured for employee health, workers' compensation, and automobile liabi</w:t>
      </w:r>
      <w:r>
        <w:rPr>
          <w:sz w:val="20"/>
          <w:szCs w:val="20"/>
        </w:rPr>
        <w:t>lity insurance claims.  As such, our insurance expense is largely dependent on claims experience and our ability to control our claims.  We have consistently accrued the estimated liability for employee health insurance claims based on our history of claim</w:t>
      </w:r>
      <w:r>
        <w:rPr>
          <w:sz w:val="20"/>
          <w:szCs w:val="20"/>
        </w:rPr>
        <w:t>s experience and the estimated time lag between the incident date and the date we pay the claims.  We have accrued the estimated liability for workers' compensation claims based on an actuarial valuation of the outstanding liabilities, discounted to the ne</w:t>
      </w:r>
      <w:r>
        <w:rPr>
          <w:sz w:val="20"/>
          <w:szCs w:val="20"/>
        </w:rPr>
        <w:t>t present value of the outstanding liabilities, using a combination of actuarial methods used to project ultimate losses, and our automobile insurance claims based on estimated development factors on claims incurred. The liability for employee health, work</w:t>
      </w:r>
      <w:r>
        <w:rPr>
          <w:sz w:val="20"/>
          <w:szCs w:val="20"/>
        </w:rPr>
        <w:t>ers' compensation, and automobile insurance includes estimates for both claims incurred and for claims incurred but not reported.  These estimates could change in the future.  It is possible that future cash flows and results of operations could be materia</w:t>
      </w:r>
      <w:r>
        <w:rPr>
          <w:sz w:val="20"/>
          <w:szCs w:val="20"/>
        </w:rPr>
        <w:t>lly affected by changes in our assumptions, new developments, or by the effectiveness of our strategies.</w:t>
      </w:r>
    </w:p>
    <w:p w:rsidR="00000000" w:rsidRDefault="005F13FD">
      <w:pPr>
        <w:pStyle w:val="a3"/>
        <w:spacing w:before="240" w:beforeAutospacing="0" w:after="0" w:afterAutospacing="0"/>
        <w:jc w:val="both"/>
        <w:rPr>
          <w:i/>
          <w:iCs/>
          <w:sz w:val="20"/>
          <w:szCs w:val="20"/>
        </w:rPr>
      </w:pPr>
      <w:r>
        <w:rPr>
          <w:i/>
          <w:iCs/>
          <w:sz w:val="20"/>
          <w:szCs w:val="20"/>
        </w:rPr>
        <w:t>Legal reserves.</w:t>
      </w:r>
      <w:r>
        <w:rPr>
          <w:sz w:val="20"/>
          <w:szCs w:val="20"/>
        </w:rPr>
        <w:t>  As of September 30, 2020, we had $8.9 million in accrued liabilities under the provisions of ASC Subtopic 450-20, "Loss Contingencies,</w:t>
      </w:r>
      <w:r>
        <w:rPr>
          <w:sz w:val="20"/>
          <w:szCs w:val="20"/>
        </w:rPr>
        <w:t>" related to certain claims and legal proceedings in which we are involved.  We have accrued our best estimate of the probable costs for the resolution of these claims, if estimable.  In addition, we are subject to current and potential future claims and l</w:t>
      </w:r>
      <w:r>
        <w:rPr>
          <w:sz w:val="20"/>
          <w:szCs w:val="20"/>
        </w:rPr>
        <w:t>egal proceedings for which little or no accrual has been reflected because our current assessment of the potential exposure is nominal.  These estimates have been developed in consultation with our General Counsel's office and, as appropriate, outside coun</w:t>
      </w:r>
      <w:r>
        <w:rPr>
          <w:sz w:val="20"/>
          <w:szCs w:val="20"/>
        </w:rPr>
        <w:t>sel handling these matters, and are based upon an analysis of potential results, assuming a combination of litigation and settlement strategies.  It is possible that future cash flows and results of operations could be materially affected by changes in our</w:t>
      </w:r>
      <w:r>
        <w:rPr>
          <w:sz w:val="20"/>
          <w:szCs w:val="20"/>
        </w:rPr>
        <w:t xml:space="preserve"> assumptions, new developments, or by the effectiveness of our litigation and settlement strategies.</w:t>
      </w:r>
    </w:p>
    <w:p w:rsidR="00000000" w:rsidRDefault="005F13FD">
      <w:pPr>
        <w:pStyle w:val="a3"/>
        <w:spacing w:before="360" w:beforeAutospacing="0" w:after="0" w:afterAutospacing="0"/>
        <w:jc w:val="both"/>
        <w:rPr>
          <w:b/>
          <w:bCs/>
          <w:sz w:val="20"/>
          <w:szCs w:val="20"/>
        </w:rPr>
      </w:pPr>
      <w:r>
        <w:rPr>
          <w:b/>
          <w:bCs/>
          <w:sz w:val="20"/>
          <w:szCs w:val="20"/>
        </w:rPr>
        <w:t>RESULTS OF OPERATIONS</w:t>
      </w:r>
    </w:p>
    <w:p w:rsidR="00000000" w:rsidRDefault="005F13FD">
      <w:pPr>
        <w:pStyle w:val="a3"/>
        <w:spacing w:before="120" w:beforeAutospacing="0" w:after="0" w:afterAutospacing="0"/>
        <w:jc w:val="both"/>
        <w:rPr>
          <w:sz w:val="20"/>
          <w:szCs w:val="20"/>
        </w:rPr>
      </w:pPr>
      <w:r>
        <w:rPr>
          <w:sz w:val="20"/>
          <w:szCs w:val="20"/>
        </w:rPr>
        <w:t xml:space="preserve">Our results of operations are impacted by the number of correctional and detention facilities we operated, including 42 we owned and </w:t>
      </w:r>
      <w:r>
        <w:rPr>
          <w:sz w:val="20"/>
          <w:szCs w:val="20"/>
        </w:rPr>
        <w:t xml:space="preserve">seven owned by our government partners (CoreCivic Safety), the number of residential reentry centers we owned and operated </w:t>
      </w:r>
    </w:p>
    <w:p w:rsidR="00000000" w:rsidRDefault="005F13FD">
      <w:pPr>
        <w:pStyle w:val="a3"/>
        <w:spacing w:before="240" w:beforeAutospacing="0" w:after="0" w:afterAutospacing="0"/>
        <w:jc w:val="center"/>
        <w:rPr>
          <w:sz w:val="20"/>
          <w:szCs w:val="20"/>
        </w:rPr>
      </w:pPr>
      <w:r>
        <w:rPr>
          <w:sz w:val="20"/>
          <w:szCs w:val="20"/>
        </w:rPr>
        <w:t>25</w:t>
      </w:r>
    </w:p>
    <w:p w:rsidR="00000000" w:rsidRDefault="005F13FD">
      <w:pPr>
        <w:rPr>
          <w:rFonts w:eastAsia="Times New Roman"/>
        </w:rPr>
      </w:pPr>
      <w:r>
        <w:rPr>
          <w:rFonts w:eastAsia="Times New Roman"/>
        </w:rPr>
        <w:pict>
          <v:rect id="_x0000_i1051"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120" w:beforeAutospacing="0" w:after="0" w:afterAutospacing="0"/>
        <w:jc w:val="both"/>
        <w:rPr>
          <w:sz w:val="20"/>
          <w:szCs w:val="20"/>
        </w:rPr>
      </w:pPr>
      <w:r>
        <w:rPr>
          <w:sz w:val="20"/>
          <w:szCs w:val="20"/>
        </w:rPr>
        <w:t>(CoreCivic Community), the number of facilities we leased to other operators (CoreCivic Pr</w:t>
      </w:r>
      <w:r>
        <w:rPr>
          <w:sz w:val="20"/>
          <w:szCs w:val="20"/>
        </w:rPr>
        <w:t xml:space="preserve">operties), and the facilities we owned that were not in operation.  The following table sets forth the changes in the number of facilities operated for the periods presented: </w:t>
      </w:r>
    </w:p>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74"/>
        <w:gridCol w:w="65"/>
        <w:gridCol w:w="1001"/>
        <w:gridCol w:w="65"/>
        <w:gridCol w:w="66"/>
        <w:gridCol w:w="562"/>
        <w:gridCol w:w="82"/>
        <w:gridCol w:w="65"/>
        <w:gridCol w:w="121"/>
        <w:gridCol w:w="917"/>
        <w:gridCol w:w="82"/>
        <w:gridCol w:w="65"/>
        <w:gridCol w:w="105"/>
        <w:gridCol w:w="799"/>
        <w:gridCol w:w="82"/>
        <w:gridCol w:w="65"/>
        <w:gridCol w:w="66"/>
        <w:gridCol w:w="442"/>
        <w:gridCol w:w="82"/>
      </w:tblGrid>
      <w:tr w:rsidR="00000000">
        <w:trPr>
          <w:divId w:val="551382911"/>
        </w:trPr>
        <w:tc>
          <w:tcPr>
            <w:tcW w:w="2176"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36"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Effective</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150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CoreCivic</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r>
      <w:tr w:rsidR="00000000">
        <w:trPr>
          <w:divId w:val="551382911"/>
        </w:trPr>
        <w:tc>
          <w:tcPr>
            <w:tcW w:w="2176"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36" w:type="pct"/>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Date</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Safety</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Community</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Properties</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r>
      <w:tr w:rsidR="00000000">
        <w:trPr>
          <w:divId w:val="551382911"/>
        </w:trPr>
        <w:tc>
          <w:tcPr>
            <w:tcW w:w="2176"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Facilities as of December 31, 2018</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6" w:type="pct"/>
            <w:tcBorders>
              <w:top w:val="single" w:sz="6" w:space="0" w:color="000000"/>
            </w:tcBorders>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51382911"/>
        </w:trPr>
        <w:tc>
          <w:tcPr>
            <w:tcW w:w="2176"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Acquisition of the South Raleigh Reentry</w:t>
            </w:r>
          </w:p>
          <w:p w:rsidR="00000000" w:rsidRDefault="005F13FD">
            <w:pPr>
              <w:pStyle w:val="a3"/>
              <w:spacing w:before="0" w:beforeAutospacing="0" w:after="0" w:afterAutospacing="0"/>
              <w:rPr>
                <w:color w:val="000000"/>
                <w:sz w:val="20"/>
                <w:szCs w:val="20"/>
              </w:rPr>
            </w:pPr>
            <w:r>
              <w:rPr>
                <w:color w:val="000000"/>
                <w:sz w:val="20"/>
                <w:szCs w:val="20"/>
              </w:rPr>
              <w:t>   Center in North Carolina</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February 2019</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51382911"/>
        </w:trPr>
        <w:tc>
          <w:tcPr>
            <w:tcW w:w="2176"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Acquisition of a leased property in</w:t>
            </w:r>
          </w:p>
          <w:p w:rsidR="00000000" w:rsidRDefault="005F13FD">
            <w:pPr>
              <w:pStyle w:val="a3"/>
              <w:spacing w:before="0" w:beforeAutospacing="0" w:after="0" w:afterAutospacing="0"/>
              <w:rPr>
                <w:color w:val="000000"/>
                <w:sz w:val="20"/>
                <w:szCs w:val="20"/>
              </w:rPr>
            </w:pPr>
            <w:r>
              <w:rPr>
                <w:color w:val="000000"/>
                <w:sz w:val="20"/>
                <w:szCs w:val="20"/>
              </w:rPr>
              <w:t>   Michigan</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May 2019</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51382911"/>
        </w:trPr>
        <w:tc>
          <w:tcPr>
            <w:tcW w:w="2176"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Sale of a leased property in Pennsylvania</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June 2019</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551382911"/>
        </w:trPr>
        <w:tc>
          <w:tcPr>
            <w:tcW w:w="2176"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Acquisition of certain assets of</w:t>
            </w:r>
          </w:p>
          <w:p w:rsidR="00000000" w:rsidRDefault="005F13FD">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Rehabilitation Services, Inc.</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December 2019</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51382911"/>
        </w:trPr>
        <w:tc>
          <w:tcPr>
            <w:tcW w:w="2176"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Lease of the Southeast Correctional</w:t>
            </w:r>
          </w:p>
          <w:p w:rsidR="00000000" w:rsidRDefault="005F13FD">
            <w:pPr>
              <w:pStyle w:val="a3"/>
              <w:spacing w:before="0" w:beforeAutospacing="0" w:after="0" w:afterAutospacing="0"/>
              <w:rPr>
                <w:color w:val="000000"/>
                <w:sz w:val="20"/>
                <w:szCs w:val="20"/>
              </w:rPr>
            </w:pPr>
            <w:r>
              <w:rPr>
                <w:color w:val="000000"/>
                <w:sz w:val="20"/>
                <w:szCs w:val="20"/>
              </w:rPr>
              <w:t>   Complex</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December 2019</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51382911"/>
        </w:trPr>
        <w:tc>
          <w:tcPr>
            <w:tcW w:w="2176"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Facilities as of December 31, 2019</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51382911"/>
        </w:trPr>
        <w:tc>
          <w:tcPr>
            <w:tcW w:w="2176"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Acquisition of a portfolio of government-</w:t>
            </w:r>
          </w:p>
          <w:p w:rsidR="00000000" w:rsidRDefault="005F13FD">
            <w:pPr>
              <w:pStyle w:val="a3"/>
              <w:spacing w:before="0" w:beforeAutospacing="0" w:after="0" w:afterAutospacing="0"/>
              <w:rPr>
                <w:color w:val="000000"/>
                <w:sz w:val="20"/>
                <w:szCs w:val="20"/>
              </w:rPr>
            </w:pPr>
            <w:r>
              <w:rPr>
                <w:color w:val="000000"/>
                <w:sz w:val="20"/>
                <w:szCs w:val="20"/>
              </w:rPr>
              <w:t>   leased properties</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51382911"/>
        </w:trPr>
        <w:tc>
          <w:tcPr>
            <w:tcW w:w="2176"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Commencement of the Lansing Correctional</w:t>
            </w:r>
          </w:p>
          <w:p w:rsidR="00000000" w:rsidRDefault="005F13FD">
            <w:pPr>
              <w:pStyle w:val="a3"/>
              <w:spacing w:before="0" w:beforeAutospacing="0" w:after="0" w:afterAutospacing="0"/>
              <w:rPr>
                <w:color w:val="000000"/>
                <w:sz w:val="20"/>
                <w:szCs w:val="20"/>
              </w:rPr>
            </w:pPr>
            <w:r>
              <w:rPr>
                <w:color w:val="000000"/>
                <w:sz w:val="20"/>
                <w:szCs w:val="20"/>
              </w:rPr>
              <w:t>   Facility lease</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51382911"/>
        </w:trPr>
        <w:tc>
          <w:tcPr>
            <w:tcW w:w="2176"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Termination of contract and lease of a</w:t>
            </w:r>
          </w:p>
          <w:p w:rsidR="00000000" w:rsidRDefault="005F13FD">
            <w:pPr>
              <w:pStyle w:val="a3"/>
              <w:spacing w:before="0" w:beforeAutospacing="0" w:after="0" w:afterAutospacing="0"/>
              <w:rPr>
                <w:color w:val="000000"/>
                <w:sz w:val="20"/>
                <w:szCs w:val="20"/>
              </w:rPr>
            </w:pPr>
            <w:r>
              <w:rPr>
                <w:color w:val="000000"/>
                <w:sz w:val="20"/>
                <w:szCs w:val="20"/>
              </w:rPr>
              <w:t>   Colorado reentry center</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551382911"/>
        </w:trPr>
        <w:tc>
          <w:tcPr>
            <w:tcW w:w="2176"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Sale of an idled residential reentry center in Arizona</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April 2020</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551382911"/>
        </w:trPr>
        <w:tc>
          <w:tcPr>
            <w:tcW w:w="2176"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Sale of an idled non-core facility in Tennessee</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color w:val="000000"/>
                <w:sz w:val="20"/>
                <w:szCs w:val="20"/>
              </w:rPr>
            </w:pPr>
            <w:r>
              <w:rPr>
                <w:color w:val="000000"/>
                <w:sz w:val="20"/>
                <w:szCs w:val="20"/>
              </w:rPr>
              <w:t>May 2020</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551382911"/>
        </w:trPr>
        <w:tc>
          <w:tcPr>
            <w:tcW w:w="2176"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Facilities as of September 30, 2020</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
                <w:szCs w:val="2"/>
              </w:rPr>
            </w:pPr>
            <w:r>
              <w:rPr>
                <w:b/>
                <w:bCs/>
                <w:color w:val="000000"/>
                <w:sz w:val="2"/>
                <w:szCs w:val="2"/>
              </w:rPr>
              <w:t> </w:t>
            </w:r>
          </w:p>
        </w:tc>
      </w:tr>
    </w:tbl>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160" w:beforeAutospacing="0" w:after="0" w:afterAutospacing="0"/>
        <w:jc w:val="both"/>
        <w:rPr>
          <w:b/>
          <w:bCs/>
          <w:sz w:val="20"/>
          <w:szCs w:val="20"/>
        </w:rPr>
      </w:pPr>
      <w:r>
        <w:rPr>
          <w:b/>
          <w:bCs/>
          <w:sz w:val="20"/>
          <w:szCs w:val="20"/>
        </w:rPr>
        <w:t>Three and Nine Months Ended September 30, 2020 Compared to the Three and Nine Months Ended September 30, 2019</w:t>
      </w:r>
    </w:p>
    <w:p w:rsidR="00000000" w:rsidRDefault="005F13FD">
      <w:pPr>
        <w:pStyle w:val="a3"/>
        <w:spacing w:before="120" w:beforeAutospacing="0" w:after="0" w:afterAutospacing="0"/>
        <w:jc w:val="both"/>
        <w:rPr>
          <w:sz w:val="20"/>
          <w:szCs w:val="20"/>
        </w:rPr>
      </w:pPr>
      <w:r>
        <w:rPr>
          <w:sz w:val="20"/>
          <w:szCs w:val="20"/>
        </w:rPr>
        <w:t>Net income attributable to common stockholders was $26.7 million, or $0.22 per diluted share, for the three months ended Sept</w:t>
      </w:r>
      <w:r>
        <w:rPr>
          <w:sz w:val="20"/>
          <w:szCs w:val="20"/>
        </w:rPr>
        <w:t>ember 30, 2020, compared with net income attributable to common stockholders of $49.0 million, or $0.41 per diluted share, for the three months ended September 30, 2019.  Net income attributable to common stockholders was $81.0 million, or $0.68 per dilute</w:t>
      </w:r>
      <w:r>
        <w:rPr>
          <w:sz w:val="20"/>
          <w:szCs w:val="20"/>
        </w:rPr>
        <w:t>d share, for the nine months ended September 30, 2020, compared with net income attributable to common stockholders of $146.9 million, or $1.23 per diluted share, for the nine months ended September 30, 2019.  Financial results for the three and nine month</w:t>
      </w:r>
      <w:r>
        <w:rPr>
          <w:sz w:val="20"/>
          <w:szCs w:val="20"/>
        </w:rPr>
        <w:t xml:space="preserve">s ended September 30, 2020 reflected a charge of $0.6 million for contingent consideration associated with an acquisition of a business. Financial results for the three and nine months ended September 30, 2020 also included $2.8 million and $11.0 million, </w:t>
      </w:r>
      <w:r>
        <w:rPr>
          <w:sz w:val="20"/>
          <w:szCs w:val="20"/>
        </w:rPr>
        <w:t>respectively, of incremental expenses directly associated with COVID-19 (reflected in operating expenses), and $4.7 million and $5.0 million, respectively, of expenses associated with changes in our corporate tax structure (reflected in general and adminis</w:t>
      </w:r>
      <w:r>
        <w:rPr>
          <w:sz w:val="20"/>
          <w:szCs w:val="20"/>
        </w:rPr>
        <w:t>trative expenses).  In addition, financial results for the three and nine months ended September 30, 2020 reflected several special items, including $0.8 million and $13.1 million, respectively, of asset impairments, and $2.1 million and $4.9 million, resp</w:t>
      </w:r>
      <w:r>
        <w:rPr>
          <w:sz w:val="20"/>
          <w:szCs w:val="20"/>
        </w:rPr>
        <w:t>ectively, of gains on sale of assets. Financial results for the nine months ended September 30, 2020 also reflected non-recurring deferred tax expense of $3.1 million reported during the first quarter of 2020.  Financial results for the three and nine mont</w:t>
      </w:r>
      <w:r>
        <w:rPr>
          <w:sz w:val="20"/>
          <w:szCs w:val="20"/>
        </w:rPr>
        <w:t xml:space="preserve">hs ended September 30, 2019 included a $4.1 million gain, net of taxes, for the settlement of a contractual dispute with respect to revenues that would have been recognized during the previous several years. Financial results for the three and nine months </w:t>
      </w:r>
      <w:r>
        <w:rPr>
          <w:sz w:val="20"/>
          <w:szCs w:val="20"/>
        </w:rPr>
        <w:t>ended September 30, 2019 also included $6.8 million and $9.5 million, respectively, of start-up expenses associated with the activation of two previously idled facilities, as further described hereafter. In addition, financial results for the nine months e</w:t>
      </w:r>
      <w:r>
        <w:rPr>
          <w:sz w:val="20"/>
          <w:szCs w:val="20"/>
        </w:rPr>
        <w:t xml:space="preserve">nded September 30, 2019 included $4.7 million of asset impairments. </w:t>
      </w:r>
    </w:p>
    <w:p w:rsidR="00000000" w:rsidRDefault="005F13FD">
      <w:pPr>
        <w:pStyle w:val="a3"/>
        <w:spacing w:before="360" w:beforeAutospacing="0" w:after="0" w:afterAutospacing="0"/>
        <w:jc w:val="both"/>
        <w:rPr>
          <w:b/>
          <w:bCs/>
          <w:sz w:val="20"/>
          <w:szCs w:val="20"/>
        </w:rPr>
      </w:pPr>
      <w:r>
        <w:rPr>
          <w:b/>
          <w:bCs/>
          <w:sz w:val="20"/>
          <w:szCs w:val="20"/>
        </w:rPr>
        <w:t>Our Current Operations</w:t>
      </w:r>
    </w:p>
    <w:p w:rsidR="00000000" w:rsidRDefault="005F13FD">
      <w:pPr>
        <w:pStyle w:val="a3"/>
        <w:spacing w:before="120" w:beforeAutospacing="0" w:after="0" w:afterAutospacing="0"/>
        <w:jc w:val="both"/>
        <w:rPr>
          <w:sz w:val="20"/>
          <w:szCs w:val="20"/>
        </w:rPr>
      </w:pPr>
      <w:r>
        <w:rPr>
          <w:sz w:val="20"/>
          <w:szCs w:val="20"/>
        </w:rPr>
        <w:t>Our ongoing operations are organized into three principal business segments:</w:t>
      </w: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933393948"/>
        </w:trPr>
        <w:tc>
          <w:tcPr>
            <w:tcW w:w="201"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CoreCivic Safety segment, consisting of the 49 correctional and detention facilities that are owned, or controlled via a long-term lease, and managed by CoreCivic, as well as those correctional and detention facilities owned by third parties but managed by</w:t>
            </w:r>
            <w:r>
              <w:rPr>
                <w:sz w:val="20"/>
                <w:szCs w:val="20"/>
              </w:rPr>
              <w:t xml:space="preserve"> CoreCivic. CoreCivic Safety also includes the operating results of our subsidiary that provides transportation services to governmental agencies, TransCor America, LLC, or TransCor.</w:t>
            </w:r>
          </w:p>
        </w:tc>
      </w:tr>
    </w:tbl>
    <w:tbl>
      <w:tblPr>
        <w:tblW w:w="5000" w:type="pct"/>
        <w:tblCellMar>
          <w:left w:w="0" w:type="dxa"/>
          <w:right w:w="0" w:type="dxa"/>
        </w:tblCellMar>
        <w:tblLook w:val="04A0" w:firstRow="1" w:lastRow="0" w:firstColumn="1" w:lastColumn="0" w:noHBand="0" w:noVBand="1"/>
      </w:tblPr>
      <w:tblGrid>
        <w:gridCol w:w="333"/>
        <w:gridCol w:w="275"/>
        <w:gridCol w:w="480"/>
      </w:tblGrid>
      <w:tr w:rsidR="00000000">
        <w:tc>
          <w:tcPr>
            <w:tcW w:w="201"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CoreCivic Community segment, consisting of the 27 residential reent</w:t>
            </w:r>
            <w:r>
              <w:rPr>
                <w:sz w:val="20"/>
                <w:szCs w:val="20"/>
              </w:rPr>
              <w:t xml:space="preserve">ry centers that are owned, or controlled via a long-term lease, and managed by CoreCivic.  CoreCivic Community also includes the operating results of our electronic monitoring and </w:t>
            </w:r>
          </w:p>
        </w:tc>
      </w:tr>
    </w:tbl>
    <w:p w:rsidR="00000000" w:rsidRDefault="005F13FD">
      <w:pPr>
        <w:pStyle w:val="a3"/>
        <w:spacing w:before="240" w:beforeAutospacing="0" w:after="0" w:afterAutospacing="0"/>
        <w:jc w:val="center"/>
        <w:rPr>
          <w:sz w:val="20"/>
          <w:szCs w:val="20"/>
        </w:rPr>
      </w:pPr>
      <w:r>
        <w:rPr>
          <w:sz w:val="20"/>
          <w:szCs w:val="20"/>
        </w:rPr>
        <w:t>26</w:t>
      </w:r>
    </w:p>
    <w:p w:rsidR="00000000" w:rsidRDefault="005F13FD">
      <w:pPr>
        <w:rPr>
          <w:rFonts w:eastAsia="Times New Roman"/>
        </w:rPr>
      </w:pPr>
      <w:r>
        <w:rPr>
          <w:rFonts w:eastAsia="Times New Roman"/>
        </w:rPr>
        <w:pict>
          <v:rect id="_x0000_i1052"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1779058487"/>
        </w:trPr>
        <w:tc>
          <w:tcPr>
            <w:tcW w:w="201"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5F13FD">
            <w:pPr>
              <w:rPr>
                <w:sz w:val="20"/>
                <w:szCs w:val="20"/>
              </w:rPr>
            </w:pPr>
          </w:p>
        </w:tc>
        <w:tc>
          <w:tcPr>
            <w:tcW w:w="0" w:type="auto"/>
            <w:hideMark/>
          </w:tcPr>
          <w:p w:rsidR="00000000" w:rsidRDefault="005F13FD">
            <w:pPr>
              <w:pStyle w:val="a3"/>
              <w:spacing w:before="120" w:beforeAutospacing="0" w:after="0" w:afterAutospacing="0"/>
              <w:jc w:val="both"/>
              <w:rPr>
                <w:sz w:val="20"/>
                <w:szCs w:val="20"/>
              </w:rPr>
            </w:pPr>
            <w:r>
              <w:rPr>
                <w:sz w:val="20"/>
                <w:szCs w:val="20"/>
              </w:rPr>
              <w:t>case management services.</w:t>
            </w:r>
          </w:p>
        </w:tc>
      </w:tr>
    </w:tbl>
    <w:tbl>
      <w:tblPr>
        <w:tblW w:w="5000" w:type="pct"/>
        <w:tblCellMar>
          <w:left w:w="0" w:type="dxa"/>
          <w:right w:w="0" w:type="dxa"/>
        </w:tblCellMar>
        <w:tblLook w:val="04A0" w:firstRow="1" w:lastRow="0" w:firstColumn="1" w:lastColumn="0" w:noHBand="0" w:noVBand="1"/>
      </w:tblPr>
      <w:tblGrid>
        <w:gridCol w:w="333"/>
        <w:gridCol w:w="275"/>
        <w:gridCol w:w="480"/>
      </w:tblGrid>
      <w:tr w:rsidR="00000000">
        <w:tc>
          <w:tcPr>
            <w:tcW w:w="201" w:type="pct"/>
            <w:noWrap/>
            <w:hideMark/>
          </w:tcPr>
          <w:p w:rsidR="00000000" w:rsidRDefault="005F13FD">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5F13FD">
            <w:pPr>
              <w:pStyle w:val="a3"/>
              <w:spacing w:before="120" w:beforeAutospacing="0" w:after="0" w:afterAutospacing="0"/>
              <w:jc w:val="both"/>
              <w:rPr>
                <w:sz w:val="20"/>
                <w:szCs w:val="20"/>
              </w:rPr>
            </w:pPr>
            <w:r>
              <w:rPr>
                <w:sz w:val="20"/>
                <w:szCs w:val="20"/>
              </w:rPr>
              <w:t>•</w:t>
            </w:r>
          </w:p>
        </w:tc>
        <w:tc>
          <w:tcPr>
            <w:tcW w:w="0" w:type="auto"/>
            <w:hideMark/>
          </w:tcPr>
          <w:p w:rsidR="00000000" w:rsidRDefault="005F13FD">
            <w:pPr>
              <w:pStyle w:val="a3"/>
              <w:spacing w:before="120" w:beforeAutospacing="0" w:after="0" w:afterAutospacing="0"/>
              <w:jc w:val="both"/>
              <w:rPr>
                <w:sz w:val="20"/>
                <w:szCs w:val="20"/>
              </w:rPr>
            </w:pPr>
            <w:r>
              <w:rPr>
                <w:sz w:val="20"/>
                <w:szCs w:val="20"/>
              </w:rPr>
              <w:t>CoreCivic Properties segment, consisting of the 57 real estate properties owned by CoreCivic for lease to third parties and used by government agencies.</w:t>
            </w:r>
          </w:p>
        </w:tc>
      </w:tr>
    </w:tbl>
    <w:p w:rsidR="00000000" w:rsidRDefault="005F13FD">
      <w:pPr>
        <w:pStyle w:val="a3"/>
        <w:shd w:val="clear" w:color="auto" w:fill="FFFFFF"/>
        <w:spacing w:before="0" w:beforeAutospacing="0" w:after="0" w:afterAutospacing="0"/>
        <w:rPr>
          <w:sz w:val="20"/>
          <w:szCs w:val="20"/>
        </w:rPr>
      </w:pPr>
      <w:r>
        <w:rPr>
          <w:sz w:val="20"/>
          <w:szCs w:val="20"/>
        </w:rPr>
        <w:t> </w:t>
      </w:r>
    </w:p>
    <w:p w:rsidR="00000000" w:rsidRDefault="005F13FD">
      <w:pPr>
        <w:pStyle w:val="a3"/>
        <w:shd w:val="clear" w:color="auto" w:fill="FFFFFF"/>
        <w:spacing w:before="0" w:beforeAutospacing="0" w:after="0" w:afterAutospacing="0"/>
        <w:jc w:val="both"/>
        <w:rPr>
          <w:color w:val="000000"/>
          <w:sz w:val="20"/>
          <w:szCs w:val="20"/>
        </w:rPr>
      </w:pPr>
      <w:r>
        <w:rPr>
          <w:color w:val="000000"/>
          <w:sz w:val="20"/>
          <w:szCs w:val="20"/>
        </w:rPr>
        <w:t>For the three and nine months ended September 30, 2020 and 2019, our total facility net operatin</w:t>
      </w:r>
      <w:r>
        <w:rPr>
          <w:color w:val="000000"/>
          <w:sz w:val="20"/>
          <w:szCs w:val="20"/>
        </w:rPr>
        <w:t>g income was divided among these business segments as follows:</w:t>
      </w:r>
    </w:p>
    <w:p w:rsidR="00000000" w:rsidRDefault="005F13FD">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189"/>
        <w:gridCol w:w="65"/>
        <w:gridCol w:w="65"/>
        <w:gridCol w:w="590"/>
        <w:gridCol w:w="215"/>
        <w:gridCol w:w="65"/>
        <w:gridCol w:w="65"/>
        <w:gridCol w:w="509"/>
        <w:gridCol w:w="182"/>
        <w:gridCol w:w="65"/>
        <w:gridCol w:w="65"/>
        <w:gridCol w:w="681"/>
        <w:gridCol w:w="215"/>
        <w:gridCol w:w="65"/>
        <w:gridCol w:w="65"/>
        <w:gridCol w:w="531"/>
        <w:gridCol w:w="182"/>
      </w:tblGrid>
      <w:tr w:rsidR="00000000">
        <w:trPr>
          <w:divId w:val="1160543792"/>
        </w:trPr>
        <w:tc>
          <w:tcPr>
            <w:tcW w:w="194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pPr>
            <w: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140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143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160543792"/>
        </w:trPr>
        <w:tc>
          <w:tcPr>
            <w:tcW w:w="194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68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6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69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6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160543792"/>
        </w:trPr>
        <w:tc>
          <w:tcPr>
            <w:tcW w:w="194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Segment:</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7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160543792"/>
        </w:trPr>
        <w:tc>
          <w:tcPr>
            <w:tcW w:w="194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Safety</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83.6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85.5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83.5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7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85.3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160543792"/>
        </w:trPr>
        <w:tc>
          <w:tcPr>
            <w:tcW w:w="1945"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Community</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6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7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160543792"/>
        </w:trPr>
        <w:tc>
          <w:tcPr>
            <w:tcW w:w="1945"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Properties</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3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7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bl>
    <w:p w:rsidR="00000000" w:rsidRDefault="005F13FD">
      <w:pPr>
        <w:pStyle w:val="a3"/>
        <w:spacing w:before="360" w:beforeAutospacing="0" w:after="0" w:afterAutospacing="0"/>
        <w:jc w:val="both"/>
        <w:rPr>
          <w:b/>
          <w:bCs/>
          <w:i/>
          <w:iCs/>
          <w:sz w:val="20"/>
          <w:szCs w:val="20"/>
        </w:rPr>
      </w:pPr>
      <w:r>
        <w:rPr>
          <w:b/>
          <w:bCs/>
          <w:i/>
          <w:iCs/>
          <w:sz w:val="20"/>
          <w:szCs w:val="20"/>
        </w:rPr>
        <w:t>Facility Operations</w:t>
      </w:r>
    </w:p>
    <w:p w:rsidR="00000000" w:rsidRDefault="005F13FD">
      <w:pPr>
        <w:pStyle w:val="a3"/>
        <w:spacing w:before="120" w:beforeAutospacing="0" w:after="0" w:afterAutospacing="0"/>
        <w:jc w:val="both"/>
        <w:rPr>
          <w:sz w:val="20"/>
          <w:szCs w:val="20"/>
        </w:rPr>
      </w:pPr>
      <w:r>
        <w:rPr>
          <w:sz w:val="20"/>
          <w:szCs w:val="20"/>
        </w:rPr>
        <w:t>A key performance indicator we use to measure the revenue and expenses associated with the operation of the correctional, detention, and residential reentry facilities we own or manage is expressed in terms of a compensated man-day, which represents the re</w:t>
      </w:r>
      <w:r>
        <w:rPr>
          <w:sz w:val="20"/>
          <w:szCs w:val="20"/>
        </w:rPr>
        <w:t>venue we generate and expenses we incur for one offender for one calendar day.  Revenue and expenses per compensated man-day are computed by dividing facility revenue and expenses by the total number of compensated man-days during the period.  A compensate</w:t>
      </w:r>
      <w:r>
        <w:rPr>
          <w:sz w:val="20"/>
          <w:szCs w:val="20"/>
        </w:rPr>
        <w:t>d man-day represents a calendar day for which we are paid for the occupancy of an offender. We believe the measurement is useful because we are compensated for operating and managing facilities at an offender per diem rate based upon actual or minimum guar</w:t>
      </w:r>
      <w:r>
        <w:rPr>
          <w:sz w:val="20"/>
          <w:szCs w:val="20"/>
        </w:rPr>
        <w:t>anteed occupancy levels.  We also measure our costs on a per compensated man-day basis, which is largely dependent upon the number of offenders we accommodate.  Further, per compensated man-day measurements are also used to estimate our potential profitabi</w:t>
      </w:r>
      <w:r>
        <w:rPr>
          <w:sz w:val="20"/>
          <w:szCs w:val="20"/>
        </w:rPr>
        <w:t>lity based on certain occupancy levels relative to design capacity.  Revenue and expenses per compensated man-day for all of the correctional, detention, and residential reentry facilities placed into service that we owned or managed, exclusive of those he</w:t>
      </w:r>
      <w:r>
        <w:rPr>
          <w:sz w:val="20"/>
          <w:szCs w:val="20"/>
        </w:rPr>
        <w:t>ld for lease, and for TransCor were as follows for the three and nine months ended September 30, 2020 and 2019:</w:t>
      </w:r>
    </w:p>
    <w:p w:rsidR="00000000" w:rsidRDefault="005F13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72"/>
        <w:gridCol w:w="65"/>
        <w:gridCol w:w="115"/>
        <w:gridCol w:w="565"/>
        <w:gridCol w:w="215"/>
        <w:gridCol w:w="65"/>
        <w:gridCol w:w="115"/>
        <w:gridCol w:w="565"/>
        <w:gridCol w:w="182"/>
        <w:gridCol w:w="65"/>
        <w:gridCol w:w="115"/>
        <w:gridCol w:w="575"/>
        <w:gridCol w:w="215"/>
        <w:gridCol w:w="65"/>
        <w:gridCol w:w="115"/>
        <w:gridCol w:w="584"/>
        <w:gridCol w:w="182"/>
      </w:tblGrid>
      <w:tr w:rsidR="00000000">
        <w:trPr>
          <w:divId w:val="1655792869"/>
        </w:trPr>
        <w:tc>
          <w:tcPr>
            <w:tcW w:w="250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655792869"/>
        </w:trPr>
        <w:tc>
          <w:tcPr>
            <w:tcW w:w="250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655792869"/>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Revenue per compensated man-day</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86.05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80.46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83.72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79.08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55792869"/>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Operating expenses per compensated man-day:</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55792869"/>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Fixed expense</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48.98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42.98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47.16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41.51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55792869"/>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Variable expense</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16.58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16.37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16.50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16.07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55792869"/>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Total</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65.56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59.35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63.66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57.58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55792869"/>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Operating income per compensated man-day</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20.49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21.11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20.06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21.50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55792869"/>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Operating margin</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23.8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26.2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24.0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655792869"/>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Average compensated occupancy</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70.9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82.9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74.9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82.8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655792869"/>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Average available beds</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77,722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78,107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77,847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78,096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655792869"/>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Average compensated population</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55,102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64,761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58,321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64,665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360" w:beforeAutospacing="0" w:after="0" w:afterAutospacing="0"/>
        <w:jc w:val="both"/>
        <w:rPr>
          <w:i/>
          <w:iCs/>
          <w:sz w:val="20"/>
          <w:szCs w:val="20"/>
        </w:rPr>
      </w:pPr>
      <w:r>
        <w:rPr>
          <w:i/>
          <w:iCs/>
          <w:sz w:val="20"/>
          <w:szCs w:val="20"/>
        </w:rPr>
        <w:t>Revenue</w:t>
      </w:r>
    </w:p>
    <w:p w:rsidR="00000000" w:rsidRDefault="005F13FD">
      <w:pPr>
        <w:pStyle w:val="a3"/>
        <w:spacing w:before="120" w:beforeAutospacing="0" w:after="0" w:afterAutospacing="0"/>
        <w:jc w:val="both"/>
        <w:rPr>
          <w:sz w:val="20"/>
          <w:szCs w:val="20"/>
        </w:rPr>
      </w:pPr>
      <w:r>
        <w:rPr>
          <w:sz w:val="20"/>
          <w:szCs w:val="20"/>
        </w:rPr>
        <w:t>Total revenue consists of management revenue we generate through CoreCivic Safety and CoreCivic Community in the operation of correctional, detention, and residential reentry facilities, as well as the revenue we generate from TransCor and our electronic m</w:t>
      </w:r>
      <w:r>
        <w:rPr>
          <w:sz w:val="20"/>
          <w:szCs w:val="20"/>
        </w:rPr>
        <w:t xml:space="preserve">onitoring and case management services.  Total revenue also consists of rental revenue we generate through CoreCivic Properties from facilities </w:t>
      </w:r>
    </w:p>
    <w:p w:rsidR="00000000" w:rsidRDefault="005F13FD">
      <w:pPr>
        <w:pStyle w:val="a3"/>
        <w:spacing w:before="240" w:beforeAutospacing="0" w:after="0" w:afterAutospacing="0"/>
        <w:jc w:val="center"/>
        <w:rPr>
          <w:sz w:val="20"/>
          <w:szCs w:val="20"/>
        </w:rPr>
      </w:pPr>
      <w:r>
        <w:rPr>
          <w:sz w:val="20"/>
          <w:szCs w:val="20"/>
        </w:rPr>
        <w:t>27</w:t>
      </w:r>
    </w:p>
    <w:p w:rsidR="00000000" w:rsidRDefault="005F13FD">
      <w:pPr>
        <w:rPr>
          <w:rFonts w:eastAsia="Times New Roman"/>
        </w:rPr>
      </w:pPr>
      <w:r>
        <w:rPr>
          <w:rFonts w:eastAsia="Times New Roman"/>
        </w:rPr>
        <w:pict>
          <v:rect id="_x0000_i1053"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120" w:beforeAutospacing="0" w:after="0" w:afterAutospacing="0"/>
        <w:jc w:val="both"/>
        <w:rPr>
          <w:sz w:val="20"/>
          <w:szCs w:val="20"/>
        </w:rPr>
      </w:pPr>
      <w:r>
        <w:rPr>
          <w:sz w:val="20"/>
          <w:szCs w:val="20"/>
        </w:rPr>
        <w:t>we lease to third-party operators.  The following table reflects the c</w:t>
      </w:r>
      <w:r>
        <w:rPr>
          <w:sz w:val="20"/>
          <w:szCs w:val="20"/>
        </w:rPr>
        <w:t>omponents of revenue for the three and nine months ended September 30, 2020 and 2019 (in millions):</w:t>
      </w:r>
    </w:p>
    <w:p w:rsidR="00000000" w:rsidRDefault="005F13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65"/>
        <w:gridCol w:w="115"/>
        <w:gridCol w:w="659"/>
        <w:gridCol w:w="65"/>
        <w:gridCol w:w="65"/>
        <w:gridCol w:w="115"/>
        <w:gridCol w:w="646"/>
        <w:gridCol w:w="65"/>
        <w:gridCol w:w="65"/>
        <w:gridCol w:w="116"/>
        <w:gridCol w:w="644"/>
        <w:gridCol w:w="82"/>
        <w:gridCol w:w="65"/>
        <w:gridCol w:w="66"/>
        <w:gridCol w:w="643"/>
        <w:gridCol w:w="249"/>
      </w:tblGrid>
      <w:tr w:rsidR="00000000">
        <w:trPr>
          <w:divId w:val="654645357"/>
        </w:trPr>
        <w:tc>
          <w:tcPr>
            <w:tcW w:w="252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654645357"/>
        </w:trPr>
        <w:tc>
          <w:tcPr>
            <w:tcW w:w="252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654645357"/>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Management revenue: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54645357"/>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Federal</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246.4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263.8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(17.4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654645357"/>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State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154.7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167.7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654645357"/>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Local</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19.1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26.4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654645357"/>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Other</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23.9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30.8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(22.4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654645357"/>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Total management revenue</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444.1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488.7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(44.6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654645357"/>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Rental revenue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24.1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21.7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654645357"/>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Other revenue</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654645357"/>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Total revenue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468.3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508.5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bl>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65"/>
        <w:gridCol w:w="115"/>
        <w:gridCol w:w="659"/>
        <w:gridCol w:w="65"/>
        <w:gridCol w:w="65"/>
        <w:gridCol w:w="115"/>
        <w:gridCol w:w="646"/>
        <w:gridCol w:w="65"/>
        <w:gridCol w:w="65"/>
        <w:gridCol w:w="116"/>
        <w:gridCol w:w="644"/>
        <w:gridCol w:w="82"/>
        <w:gridCol w:w="65"/>
        <w:gridCol w:w="66"/>
        <w:gridCol w:w="643"/>
        <w:gridCol w:w="249"/>
      </w:tblGrid>
      <w:tr w:rsidR="00000000">
        <w:trPr>
          <w:divId w:val="1887520709"/>
        </w:trPr>
        <w:tc>
          <w:tcPr>
            <w:tcW w:w="252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887520709"/>
        </w:trPr>
        <w:tc>
          <w:tcPr>
            <w:tcW w:w="252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887520709"/>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Management revenue: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887520709"/>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Federal</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743.9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758.1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87520709"/>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State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483.2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506.6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(23.4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87520709"/>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Local</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64.6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76.1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(15.1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87520709"/>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Other</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70.8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83.9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(15.6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87520709"/>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Total management revenue</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1,362.5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1,424.7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(62.2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87520709"/>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Rental revenue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69.3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58.1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87520709"/>
        </w:trPr>
        <w:tc>
          <w:tcPr>
            <w:tcW w:w="252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Other revenue</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0.2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100.0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887520709"/>
        </w:trPr>
        <w:tc>
          <w:tcPr>
            <w:tcW w:w="252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Total revenue</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1,432.0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1,482.9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(50.9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bl>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jc w:val="both"/>
        <w:rPr>
          <w:sz w:val="20"/>
          <w:szCs w:val="20"/>
        </w:rPr>
      </w:pPr>
      <w:r>
        <w:rPr>
          <w:sz w:val="20"/>
          <w:szCs w:val="20"/>
        </w:rPr>
        <w:t>The $44.6 million, or 9.1%, decrease in total management revenue for the three months ended September 30, 2020 as compared with the same period in 2019 was primarily a result of a decrease in revenue of approximately $71.5 million caused primarily by a dec</w:t>
      </w:r>
      <w:r>
        <w:rPr>
          <w:sz w:val="20"/>
          <w:szCs w:val="20"/>
        </w:rPr>
        <w:t>rease in the average daily compensated population from 2019 to 2020.  In addition, revenue generated from our electronic monitoring and case management services decreased $1.4 million in the third quarter of 2020 when compared to the same period in 2019, p</w:t>
      </w:r>
      <w:r>
        <w:rPr>
          <w:sz w:val="20"/>
          <w:szCs w:val="20"/>
        </w:rPr>
        <w:t xml:space="preserve">rimarily as a result of fewer court hearings and referrals due to COVID-19.  The $62.2 million, or 4.4%, decrease in total management revenue for the nine months ended September 30, 2020 as compared with the same period in 2019 was primarily a result of a </w:t>
      </w:r>
      <w:r>
        <w:rPr>
          <w:sz w:val="20"/>
          <w:szCs w:val="20"/>
        </w:rPr>
        <w:t>decrease in revenue of approximately $132.3 million caused primarily by a decrease in the average daily compensated population from 2019 to 2020, net of the revenue generated by one additional day of operations due to a leap year in 2020. In addition, reve</w:t>
      </w:r>
      <w:r>
        <w:rPr>
          <w:sz w:val="20"/>
          <w:szCs w:val="20"/>
        </w:rPr>
        <w:t>nue generated from our electronic monitoring and case management services decreased $3.9 million during the nine months ended September 30, 2020 when compared to the same period in the prior year, primarily as a result of fewer court hearings and referrals</w:t>
      </w:r>
      <w:r>
        <w:rPr>
          <w:sz w:val="20"/>
          <w:szCs w:val="20"/>
        </w:rPr>
        <w:t xml:space="preserve"> due to COVID-19.  The decrease in management revenue in both the three- and nine-month periods was partially offset by an increase in revenue of approximately $28.3 million and $74.0 million, respectively, driven primarily by an increase of 6.9% and 5.9%,</w:t>
      </w:r>
      <w:r>
        <w:rPr>
          <w:sz w:val="20"/>
          <w:szCs w:val="20"/>
        </w:rPr>
        <w:t xml:space="preserve"> respectively, in average revenue per compensated man-day.  The increase in average revenue per compensated man-day was primarily the result of the effect of per diem increases at several of our facilities as well as a higher mix of federal populations at </w:t>
      </w:r>
      <w:r>
        <w:rPr>
          <w:sz w:val="20"/>
          <w:szCs w:val="20"/>
        </w:rPr>
        <w:t xml:space="preserve">higher per diem rates. </w:t>
      </w:r>
    </w:p>
    <w:p w:rsidR="00000000" w:rsidRDefault="005F13FD">
      <w:pPr>
        <w:pStyle w:val="a3"/>
        <w:spacing w:before="240" w:beforeAutospacing="0" w:after="0" w:afterAutospacing="0"/>
        <w:jc w:val="both"/>
        <w:rPr>
          <w:sz w:val="20"/>
          <w:szCs w:val="20"/>
        </w:rPr>
      </w:pPr>
      <w:r>
        <w:rPr>
          <w:sz w:val="20"/>
          <w:szCs w:val="20"/>
        </w:rPr>
        <w:t>Average daily compensated population decreased 9,659, or 14.9%, to 55,102 during the three months ended September 30, 2020 compared to 64,761 during the three months ended September 30, 2019.  Average daily compensated population de</w:t>
      </w:r>
      <w:r>
        <w:rPr>
          <w:sz w:val="20"/>
          <w:szCs w:val="20"/>
        </w:rPr>
        <w:t>creased 6,344, or 9.8%, to 58,321 during the nine months ended September 30, 2020 compared to 64,665 during the nine months ended September 30, 2019.  Average daily compensated population decreased in both the three- and nine-month periods primarily as a r</w:t>
      </w:r>
      <w:r>
        <w:rPr>
          <w:sz w:val="20"/>
          <w:szCs w:val="20"/>
        </w:rPr>
        <w:t>esult of COVID-19, as further described hereafter, and the expiration of the contract with the BOP at our Adams County Correctional Center in the third quarter of 2019, which had an average daily compensated population of 1,997 inmates during the first nin</w:t>
      </w:r>
      <w:r>
        <w:rPr>
          <w:sz w:val="20"/>
          <w:szCs w:val="20"/>
        </w:rPr>
        <w:t>e months of 2019 compared with 1,101 detainees during the first nine months of 2020 under a new contract with ICE, as further described hereafter.  Further, the continued and anticipated transfer of California inmates held in our out-of-state facilities ba</w:t>
      </w:r>
      <w:r>
        <w:rPr>
          <w:sz w:val="20"/>
          <w:szCs w:val="20"/>
        </w:rPr>
        <w:t xml:space="preserve">ck to the state of California, which was completed during the second quarter of 2019, also contributed to the decline in average daily compensated population during the nine-month period ended September 30, 2020.  The decrease in average daily compensated </w:t>
      </w:r>
      <w:r>
        <w:rPr>
          <w:sz w:val="20"/>
          <w:szCs w:val="20"/>
        </w:rPr>
        <w:t xml:space="preserve">population was also a result of a reduction in ICE </w:t>
      </w:r>
    </w:p>
    <w:p w:rsidR="00000000" w:rsidRDefault="005F13FD">
      <w:pPr>
        <w:pStyle w:val="a3"/>
        <w:spacing w:before="240" w:beforeAutospacing="0" w:after="0" w:afterAutospacing="0"/>
        <w:jc w:val="center"/>
        <w:rPr>
          <w:sz w:val="20"/>
          <w:szCs w:val="20"/>
        </w:rPr>
      </w:pPr>
      <w:r>
        <w:rPr>
          <w:sz w:val="20"/>
          <w:szCs w:val="20"/>
        </w:rPr>
        <w:t>28</w:t>
      </w:r>
    </w:p>
    <w:p w:rsidR="00000000" w:rsidRDefault="005F13FD">
      <w:pPr>
        <w:rPr>
          <w:rFonts w:eastAsia="Times New Roman"/>
        </w:rPr>
      </w:pPr>
      <w:r>
        <w:rPr>
          <w:rFonts w:eastAsia="Times New Roman"/>
        </w:rPr>
        <w:pict>
          <v:rect id="_x0000_i1054"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sz w:val="20"/>
          <w:szCs w:val="20"/>
        </w:rPr>
      </w:pPr>
      <w:r>
        <w:rPr>
          <w:sz w:val="20"/>
          <w:szCs w:val="20"/>
        </w:rPr>
        <w:t>populations, as further described hereafter, net of additional populations resulting from the new IGSAs with ICE at the Adams County Correctional Center, which promptly transitioned from the BOP contract to the new IGSA with ICE during the third quarter of</w:t>
      </w:r>
      <w:r>
        <w:rPr>
          <w:sz w:val="20"/>
          <w:szCs w:val="20"/>
        </w:rPr>
        <w:t xml:space="preserve"> 2019, and at our previously idled Torrance facility during the second quarter of 2019. The decrease in average daily compensated population was partially offset by population increases from the USMS, including at our previously idled Eden facility due to </w:t>
      </w:r>
      <w:r>
        <w:rPr>
          <w:sz w:val="20"/>
          <w:szCs w:val="20"/>
        </w:rPr>
        <w:t>a new contract executed in the second quarter of 2019, and from the state of Mississippi due to a new contract executed in the first quarter of 2020.</w:t>
      </w:r>
    </w:p>
    <w:p w:rsidR="00000000" w:rsidRDefault="005F13FD">
      <w:pPr>
        <w:pStyle w:val="a3"/>
        <w:spacing w:before="240" w:beforeAutospacing="0" w:after="0" w:afterAutospacing="0"/>
        <w:jc w:val="both"/>
        <w:rPr>
          <w:sz w:val="20"/>
          <w:szCs w:val="20"/>
        </w:rPr>
      </w:pPr>
      <w:r>
        <w:rPr>
          <w:sz w:val="20"/>
          <w:szCs w:val="20"/>
        </w:rPr>
        <w:t>Average daily compensated populations also decreased at our 1,692-bed Cimarron Correctional Facility due t</w:t>
      </w:r>
      <w:r>
        <w:rPr>
          <w:sz w:val="20"/>
          <w:szCs w:val="20"/>
        </w:rPr>
        <w:t>o an agreement with the state of Oklahoma to idle the facility as a result of lower inmate populations in the State, combined with the impact of COVID-19 on the State's budget.  The Oklahoma populations were removed from this facility during the third quar</w:t>
      </w:r>
      <w:r>
        <w:rPr>
          <w:sz w:val="20"/>
          <w:szCs w:val="20"/>
        </w:rPr>
        <w:t>ter of 2020.  However, on September 15, 2020, we announced that we entered into a new contract under an IGSA between the city of Cushing, Oklahoma and the USMS to utilize the facility.  As of October 31, 2020, the USMS occupied approximately 900 beds at th</w:t>
      </w:r>
      <w:r>
        <w:rPr>
          <w:sz w:val="20"/>
          <w:szCs w:val="20"/>
        </w:rPr>
        <w:t>e Cimarron facility.</w:t>
      </w:r>
    </w:p>
    <w:p w:rsidR="00000000" w:rsidRDefault="005F13FD">
      <w:pPr>
        <w:pStyle w:val="a3"/>
        <w:spacing w:before="240" w:beforeAutospacing="0" w:after="0" w:afterAutospacing="0"/>
        <w:jc w:val="both"/>
        <w:rPr>
          <w:sz w:val="20"/>
          <w:szCs w:val="20"/>
        </w:rPr>
      </w:pPr>
      <w:r>
        <w:rPr>
          <w:sz w:val="20"/>
          <w:szCs w:val="20"/>
        </w:rPr>
        <w:t>The solutions we provide to our federal customers, including primarily ICE, the USMS, and the BOP, continue to be a significant component of our business. The federal customers in our Safety and Community segments generated approximate</w:t>
      </w:r>
      <w:r>
        <w:rPr>
          <w:sz w:val="20"/>
          <w:szCs w:val="20"/>
        </w:rPr>
        <w:t>ly 53% and 52% of our total revenue for the three months ended September 30, 2020 and 2019, respectively, decreasing $17.4 million, or 6.6%, during the three months ended September 30, 2020 as compared with the same period in 2019.  The federal customers i</w:t>
      </w:r>
      <w:r>
        <w:rPr>
          <w:sz w:val="20"/>
          <w:szCs w:val="20"/>
        </w:rPr>
        <w:t>n our Safety and Community segments generated approximately 52% and 51% of our total revenue for the nine months ended September 30, 2020 and 2019, respectively, decreasing $14.2 million, or 1.9%, during the nine months ended September 30, 2020 as compared</w:t>
      </w:r>
      <w:r>
        <w:rPr>
          <w:sz w:val="20"/>
          <w:szCs w:val="20"/>
        </w:rPr>
        <w:t xml:space="preserve"> with the same period in 2019.  </w:t>
      </w:r>
    </w:p>
    <w:p w:rsidR="00000000" w:rsidRDefault="005F13FD">
      <w:pPr>
        <w:pStyle w:val="a3"/>
        <w:spacing w:before="240" w:beforeAutospacing="0" w:after="0" w:afterAutospacing="0"/>
        <w:jc w:val="both"/>
        <w:rPr>
          <w:sz w:val="20"/>
          <w:szCs w:val="20"/>
        </w:rPr>
      </w:pPr>
      <w:r>
        <w:rPr>
          <w:sz w:val="20"/>
          <w:szCs w:val="20"/>
        </w:rPr>
        <w:t>At the beginning of 2020, we expected a reduction in ICE populations throughout 2020 compared with 2019 because of a dramatic rise in such populations during 2019, when southern border apprehensions reached the highest leve</w:t>
      </w:r>
      <w:r>
        <w:rPr>
          <w:sz w:val="20"/>
          <w:szCs w:val="20"/>
        </w:rPr>
        <w:t>ls in over a decade, as we did not believe these high levels would be sustained.  However, the decision near the end of the first quarter of 2020 by the federal government to deny entry at the United States southern border to asylum-seekers and anyone cros</w:t>
      </w:r>
      <w:r>
        <w:rPr>
          <w:sz w:val="20"/>
          <w:szCs w:val="20"/>
        </w:rPr>
        <w:t xml:space="preserve">sing the southern border without proper documentation or authority in an effort to contain the spread of COVID-19 has amplified the reduction in people being apprehended and detained by ICE.  A protracted denial in United States southern border entries of </w:t>
      </w:r>
      <w:r>
        <w:rPr>
          <w:sz w:val="20"/>
          <w:szCs w:val="20"/>
        </w:rPr>
        <w:t>asylum-seekers and undocumented immigrants, or continued disruptions in the criminal justice system could have a material effect on our financial position, results of operations and cash flows.  </w:t>
      </w:r>
    </w:p>
    <w:p w:rsidR="00000000" w:rsidRDefault="005F13FD">
      <w:pPr>
        <w:pStyle w:val="a3"/>
        <w:spacing w:before="240" w:beforeAutospacing="0" w:after="0" w:afterAutospacing="0"/>
        <w:jc w:val="both"/>
        <w:rPr>
          <w:sz w:val="20"/>
          <w:szCs w:val="20"/>
        </w:rPr>
      </w:pPr>
      <w:r>
        <w:rPr>
          <w:sz w:val="20"/>
          <w:szCs w:val="20"/>
        </w:rPr>
        <w:t>State revenues from contracts at correctional, detention, an</w:t>
      </w:r>
      <w:r>
        <w:rPr>
          <w:sz w:val="20"/>
          <w:szCs w:val="20"/>
        </w:rPr>
        <w:t>d residential reentry facilities that we operate decreased $13.0 million, or 7.8%, from the third quarter of 2019 to the third quarter of 2020.  State revenues decreased $23.4 million, or 4.6%, from the nine months ended September 30, 2019 to the comparabl</w:t>
      </w:r>
      <w:r>
        <w:rPr>
          <w:sz w:val="20"/>
          <w:szCs w:val="20"/>
        </w:rPr>
        <w:t>e period in 2020.  In addition to the effect of an overall decline in state populations resulting from COVID-19 during the three and nine months ended September 30, 2020, as further described hereafter, the decrease in state revenues in the nine-month peri</w:t>
      </w:r>
      <w:r>
        <w:rPr>
          <w:sz w:val="20"/>
          <w:szCs w:val="20"/>
        </w:rPr>
        <w:t>od was also a result of a continued, and anticipated, transfer back to the state of California of all of the California inmates held in our out-of-state facilities, which was completed during the second quarter of 2019. This decline in population from Cali</w:t>
      </w:r>
      <w:r>
        <w:rPr>
          <w:sz w:val="20"/>
          <w:szCs w:val="20"/>
        </w:rPr>
        <w:t xml:space="preserve">fornia inmates resulted in a decrease in revenue of $13.3 million from the nine months ended September 30, 2019 to the comparable period in 2020.  The decrease in state revenues was partially offset by the revenue generated by new contracts with the state </w:t>
      </w:r>
      <w:r>
        <w:rPr>
          <w:sz w:val="20"/>
          <w:szCs w:val="20"/>
        </w:rPr>
        <w:t>of Mississippi at our Tallahatchie County Correctional Facility, and the states of Kansas and Idaho at our Saguaro Correctional Facility in Arizona, each as further described hereafter, as well as per diem increases under numerous other state contracts. Re</w:t>
      </w:r>
      <w:r>
        <w:rPr>
          <w:sz w:val="20"/>
          <w:szCs w:val="20"/>
        </w:rPr>
        <w:t xml:space="preserve">venue in the nine-month period also benefited from one additional day of operations due to a leap year in 2020. </w:t>
      </w:r>
    </w:p>
    <w:p w:rsidR="00000000" w:rsidRDefault="005F13FD">
      <w:pPr>
        <w:pStyle w:val="a3"/>
        <w:spacing w:before="240" w:beforeAutospacing="0" w:after="0" w:afterAutospacing="0"/>
        <w:jc w:val="both"/>
        <w:rPr>
          <w:sz w:val="20"/>
          <w:szCs w:val="20"/>
        </w:rPr>
      </w:pPr>
      <w:r>
        <w:rPr>
          <w:sz w:val="20"/>
          <w:szCs w:val="20"/>
        </w:rPr>
        <w:t>Prior to the COVID-19 pandemic, several of our state partners had been experiencing improvements in their budgets which helped us secure recent</w:t>
      </w:r>
      <w:r>
        <w:rPr>
          <w:sz w:val="20"/>
          <w:szCs w:val="20"/>
        </w:rPr>
        <w:t xml:space="preserve"> per diem increases at certain facilities.  Further, several of our existing state partners, as well as prospective state partners, have been experiencing growth in offender populations and overcrowded conditions, are considering alternative correctional c</w:t>
      </w:r>
      <w:r>
        <w:rPr>
          <w:sz w:val="20"/>
          <w:szCs w:val="20"/>
        </w:rPr>
        <w:t>apacity for their aged and inefficient infrastructure, or are seeking cost savings by utilizing the private sector.  Since the beginning of 2018, we have completed the intake of new inmate populations as a result of new contracts with Kansas, Kentucky, Mis</w:t>
      </w:r>
      <w:r>
        <w:rPr>
          <w:sz w:val="20"/>
          <w:szCs w:val="20"/>
        </w:rPr>
        <w:t>sissippi, Ohio, Nevada, South Carolina, and Vermont, and during the third quarter of 2020, we entered into a new contract with Idaho, as further described hereafter.</w:t>
      </w:r>
    </w:p>
    <w:p w:rsidR="00000000" w:rsidRDefault="005F13FD">
      <w:pPr>
        <w:pStyle w:val="a3"/>
        <w:spacing w:before="240" w:beforeAutospacing="0" w:after="0" w:afterAutospacing="0"/>
        <w:jc w:val="both"/>
        <w:rPr>
          <w:sz w:val="20"/>
          <w:szCs w:val="20"/>
        </w:rPr>
      </w:pPr>
      <w:r>
        <w:rPr>
          <w:sz w:val="20"/>
          <w:szCs w:val="20"/>
        </w:rPr>
        <w:t>The COVID-19 pandemic has had, and we currently expect that the COVID-19 pandemic will con</w:t>
      </w:r>
      <w:r>
        <w:rPr>
          <w:sz w:val="20"/>
          <w:szCs w:val="20"/>
        </w:rPr>
        <w:t>tinue to have, a negative impact on many of our state partners' budgets, though we cannot predict the ultimate impact COVID-19 will have on our revenue and per diem rates from our state partners.  We have implemented enhanced hygiene practices, suspended v</w:t>
      </w:r>
      <w:r>
        <w:rPr>
          <w:sz w:val="20"/>
          <w:szCs w:val="20"/>
        </w:rPr>
        <w:t>isitation in consultation with our government partners, separated vulnerable inmate populations for their additional protection, followed guidelines provided by the United States Centers for Disease Control and Prevention for Correctional and Detention Fac</w:t>
      </w:r>
      <w:r>
        <w:rPr>
          <w:sz w:val="20"/>
          <w:szCs w:val="20"/>
        </w:rPr>
        <w:t>ilities, and have taken many other actions intended to limit the spread of COVID-19 among our staff and residents within our correctional, detention, and reentry facilities.  However, we cannot predict government responses to an increase in staff or reside</w:t>
      </w:r>
      <w:r>
        <w:rPr>
          <w:sz w:val="20"/>
          <w:szCs w:val="20"/>
        </w:rPr>
        <w:t>nts testing positive for COVID-19 within public and private correctional, detention and reentry facilities, nor can we predict COVID-19 related restrictions on individuals, businesses, and services that disrupt the criminal justice system.  Certain governm</w:t>
      </w:r>
      <w:r>
        <w:rPr>
          <w:sz w:val="20"/>
          <w:szCs w:val="20"/>
        </w:rPr>
        <w:t>ent agencies have released, may be considering releasing, or may be experiencing pressure to release, certain inmates and detainees as a result of COVID-19, including those inmates and detainees considered vulnerable to serious illness or death in the even</w:t>
      </w:r>
      <w:r>
        <w:rPr>
          <w:sz w:val="20"/>
          <w:szCs w:val="20"/>
        </w:rPr>
        <w:t xml:space="preserve">t of COVID-19 infection, those with sentences ending in the next year, or </w:t>
      </w:r>
    </w:p>
    <w:p w:rsidR="00000000" w:rsidRDefault="005F13FD">
      <w:pPr>
        <w:pStyle w:val="a3"/>
        <w:spacing w:before="240" w:beforeAutospacing="0" w:after="0" w:afterAutospacing="0"/>
        <w:jc w:val="center"/>
        <w:rPr>
          <w:sz w:val="20"/>
          <w:szCs w:val="20"/>
        </w:rPr>
      </w:pPr>
      <w:r>
        <w:rPr>
          <w:sz w:val="20"/>
          <w:szCs w:val="20"/>
        </w:rPr>
        <w:t>29</w:t>
      </w:r>
    </w:p>
    <w:p w:rsidR="00000000" w:rsidRDefault="005F13FD">
      <w:pPr>
        <w:rPr>
          <w:rFonts w:eastAsia="Times New Roman"/>
        </w:rPr>
      </w:pPr>
      <w:r>
        <w:rPr>
          <w:rFonts w:eastAsia="Times New Roman"/>
        </w:rPr>
        <w:pict>
          <v:rect id="_x0000_i1055"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sz w:val="20"/>
          <w:szCs w:val="20"/>
        </w:rPr>
      </w:pPr>
      <w:r>
        <w:rPr>
          <w:sz w:val="20"/>
          <w:szCs w:val="20"/>
        </w:rPr>
        <w:t>those being held on a minor supervision violation.  Further, we cannot predict government policies on prosecutions and newly ordered legal r</w:t>
      </w:r>
      <w:r>
        <w:rPr>
          <w:sz w:val="20"/>
          <w:szCs w:val="20"/>
        </w:rPr>
        <w:t>estrictions as a result of COVID-19 that affect the number people placed in correctional, detention, and reentry facilities. We currently expect the federal government’s policy of denying entry at the United States southern border to asylum-seekers and any</w:t>
      </w:r>
      <w:r>
        <w:rPr>
          <w:sz w:val="20"/>
          <w:szCs w:val="20"/>
        </w:rPr>
        <w:t>one crossing the southern border without proper documentation or authority, as well as the disruptions to the criminal justice system, to persist until a widely accepted treatment and/or vaccine for COVID-19 is available, which could result in a further re</w:t>
      </w:r>
      <w:r>
        <w:rPr>
          <w:sz w:val="20"/>
          <w:szCs w:val="20"/>
        </w:rPr>
        <w:t>duction in the number of offenders placed in our facilities.  Such actions could, either alone or in combination, have a material effect on our financial position, results of operations and cash flows.  </w:t>
      </w:r>
    </w:p>
    <w:p w:rsidR="00000000" w:rsidRDefault="005F13FD">
      <w:pPr>
        <w:pStyle w:val="a3"/>
        <w:spacing w:before="240" w:beforeAutospacing="0" w:after="0" w:afterAutospacing="0"/>
        <w:jc w:val="both"/>
        <w:rPr>
          <w:sz w:val="20"/>
          <w:szCs w:val="20"/>
        </w:rPr>
      </w:pPr>
      <w:r>
        <w:rPr>
          <w:sz w:val="20"/>
          <w:szCs w:val="20"/>
        </w:rPr>
        <w:t>During the third quarter of 2020, largely due to a l</w:t>
      </w:r>
      <w:r>
        <w:rPr>
          <w:sz w:val="20"/>
          <w:szCs w:val="20"/>
        </w:rPr>
        <w:t>ower number of inmate populations in the state of Oklahoma resulting from COVID-19, combined with the consequential impact of COVID-19 on the State's budget, we agreed with the State to idle our 1,692-bed Cimarron Correctional Facility during the third qua</w:t>
      </w:r>
      <w:r>
        <w:rPr>
          <w:sz w:val="20"/>
          <w:szCs w:val="20"/>
        </w:rPr>
        <w:t>rter of 2020.  We also transferred the remaining resident populations at our 390-bed Tulsa Transitional Center to Oklahoma's system, idling the Tulsa facility during the third quarter of 2020.  As previously described herein, we did not idle the Cimarron f</w:t>
      </w:r>
      <w:r>
        <w:rPr>
          <w:sz w:val="20"/>
          <w:szCs w:val="20"/>
        </w:rPr>
        <w:t>acility because we subsequently entered into a new contract under an IGSA between the city of Cushing, Oklahoma and the USMS to quickly repurpose the facility to serve a federal need.  However, we can provide no assurance that additional states will not ta</w:t>
      </w:r>
      <w:r>
        <w:rPr>
          <w:sz w:val="20"/>
          <w:szCs w:val="20"/>
        </w:rPr>
        <w:t>ke actions like Oklahoma in response to budget issues or declines in resident populations resulting from COVID-19.  From the end of the first quarter of 2020 to the end of the third quarter of 2020, excluding the closure of our Cimarron facility to Oklahom</w:t>
      </w:r>
      <w:r>
        <w:rPr>
          <w:sz w:val="20"/>
          <w:szCs w:val="20"/>
        </w:rPr>
        <w:t>a inmate populations, our state populations declined by approximately 3,300 inmates, or 10.2%, predominately due to government actions to help prevent the spread of COVID-19.</w:t>
      </w:r>
    </w:p>
    <w:p w:rsidR="00000000" w:rsidRDefault="005F13FD">
      <w:pPr>
        <w:pStyle w:val="a3"/>
        <w:spacing w:before="240" w:beforeAutospacing="0" w:after="0" w:afterAutospacing="0"/>
        <w:jc w:val="both"/>
        <w:rPr>
          <w:sz w:val="20"/>
          <w:szCs w:val="20"/>
        </w:rPr>
      </w:pPr>
      <w:r>
        <w:rPr>
          <w:sz w:val="20"/>
          <w:szCs w:val="20"/>
        </w:rPr>
        <w:t>The $4.3 million, or 21.7%, increase and the $11.2 million, or 19.3%, increase in</w:t>
      </w:r>
      <w:r>
        <w:rPr>
          <w:sz w:val="20"/>
          <w:szCs w:val="20"/>
        </w:rPr>
        <w:t xml:space="preserve"> rental revenue from the three and nine months ended September 30, 2019 to the comparable periods in 2020, respectively, were both primarily a result of acquisitions in 2019 and 2020 of multiple properties leased to third parties and the commencement of th</w:t>
      </w:r>
      <w:r>
        <w:rPr>
          <w:sz w:val="20"/>
          <w:szCs w:val="20"/>
        </w:rPr>
        <w:t>e leases of the 656-bed Southeast Correctional Complex in Wheelwright, Kentucky, and the 2,432-bed correctional facility we constructed in Lansing, Kansas, all as further described hereafter.  </w:t>
      </w:r>
    </w:p>
    <w:p w:rsidR="00000000" w:rsidRDefault="005F13FD">
      <w:pPr>
        <w:pStyle w:val="a3"/>
        <w:spacing w:before="240" w:beforeAutospacing="0" w:after="0" w:afterAutospacing="0"/>
        <w:jc w:val="both"/>
        <w:rPr>
          <w:sz w:val="20"/>
          <w:szCs w:val="20"/>
        </w:rPr>
      </w:pPr>
      <w:r>
        <w:rPr>
          <w:sz w:val="20"/>
          <w:szCs w:val="20"/>
        </w:rPr>
        <w:t>COVID-19 notwithstanding, we believe the long-term growth oppo</w:t>
      </w:r>
      <w:r>
        <w:rPr>
          <w:sz w:val="20"/>
          <w:szCs w:val="20"/>
        </w:rPr>
        <w:t>rtunities of our business remain attractive as government agencies consider their emergent needs (including capacity to help mitigate the spread of infectious disease), as well as the efficiency and offender programming opportunities we provide, as flexibl</w:t>
      </w:r>
      <w:r>
        <w:rPr>
          <w:sz w:val="20"/>
          <w:szCs w:val="20"/>
        </w:rPr>
        <w:t>e solutions to satisfy our partners' needs.  Further, we expect our partners, and prospective partners, to continue to face challenges in maintaining old facilities, developing new facilities, and expanding current facilities for additional capacity, which</w:t>
      </w:r>
      <w:r>
        <w:rPr>
          <w:sz w:val="20"/>
          <w:szCs w:val="20"/>
        </w:rPr>
        <w:t xml:space="preserve"> could result in increased future demand for the solutions we provide.</w:t>
      </w:r>
    </w:p>
    <w:p w:rsidR="00000000" w:rsidRDefault="005F13FD">
      <w:pPr>
        <w:pStyle w:val="a3"/>
        <w:spacing w:before="360" w:beforeAutospacing="0" w:after="0" w:afterAutospacing="0"/>
        <w:jc w:val="both"/>
        <w:rPr>
          <w:i/>
          <w:iCs/>
          <w:sz w:val="20"/>
          <w:szCs w:val="20"/>
        </w:rPr>
      </w:pPr>
      <w:r>
        <w:rPr>
          <w:i/>
          <w:iCs/>
          <w:sz w:val="20"/>
          <w:szCs w:val="20"/>
        </w:rPr>
        <w:t>Operating Expenses</w:t>
      </w:r>
    </w:p>
    <w:p w:rsidR="00000000" w:rsidRDefault="005F13FD">
      <w:pPr>
        <w:pStyle w:val="a3"/>
        <w:spacing w:before="120" w:beforeAutospacing="0" w:after="0" w:afterAutospacing="0"/>
        <w:jc w:val="both"/>
        <w:rPr>
          <w:sz w:val="20"/>
          <w:szCs w:val="20"/>
        </w:rPr>
      </w:pPr>
      <w:r>
        <w:rPr>
          <w:sz w:val="20"/>
          <w:szCs w:val="20"/>
        </w:rPr>
        <w:t>Operating expenses totaled $347.9 million and $368.7 million for the three months ended September 30, 2020 and 2019, respectively, while operating expenses for the ni</w:t>
      </w:r>
      <w:r>
        <w:rPr>
          <w:sz w:val="20"/>
          <w:szCs w:val="20"/>
        </w:rPr>
        <w:t xml:space="preserve">ne months ended September 30, 2020 and 2019 totaled $1,063.2 million and $1,060.2 million, respectively.  Operating expenses consist of those expenses incurred in the operation and management of correctional, detention, and residential reentry facilities, </w:t>
      </w:r>
      <w:r>
        <w:rPr>
          <w:sz w:val="20"/>
          <w:szCs w:val="20"/>
        </w:rPr>
        <w:t>as well as those expenses incurred in the operations of TransCor and our electronic monitoring and case management services.  Operating expenses also consist of those expenses incurred in the operation of facilities we lease to third-party operators.  </w:t>
      </w:r>
    </w:p>
    <w:p w:rsidR="00000000" w:rsidRDefault="005F13FD">
      <w:pPr>
        <w:pStyle w:val="a3"/>
        <w:spacing w:before="240" w:beforeAutospacing="0" w:after="0" w:afterAutospacing="0"/>
        <w:jc w:val="both"/>
        <w:rPr>
          <w:sz w:val="20"/>
          <w:szCs w:val="20"/>
        </w:rPr>
      </w:pPr>
      <w:r>
        <w:rPr>
          <w:sz w:val="20"/>
          <w:szCs w:val="20"/>
        </w:rPr>
        <w:t>Expenses incurred by CoreCivic Safety and CoreCivic Community in connection with the operation and management of our correctional, detention, and residential reentry facilities, as well as those incurred in the operations of TransCor and our electronic mon</w:t>
      </w:r>
      <w:r>
        <w:rPr>
          <w:sz w:val="20"/>
          <w:szCs w:val="20"/>
        </w:rPr>
        <w:t>itoring and case management services, decreased $21.9 million, or 6.0%, during the third quarter of 2020 when compared with the same period in 2019. Expenses incurred by these segments decreased $0.9 million, or 0.1%, during the nine months ended September</w:t>
      </w:r>
      <w:r>
        <w:rPr>
          <w:sz w:val="20"/>
          <w:szCs w:val="20"/>
        </w:rPr>
        <w:t xml:space="preserve"> 30, 2020, when compared to the same period in 2019.  Similar to our management revenue, there were several factors that contributed to the decrease in operating expenses incurred in these segments.  Operating expenses decreased primarily as a result of lo</w:t>
      </w:r>
      <w:r>
        <w:rPr>
          <w:sz w:val="20"/>
          <w:szCs w:val="20"/>
        </w:rPr>
        <w:t>wer staffing and service levels that were consistent with the lower occupancy levels during the COVID-19 pandemic. In addition, consistent with the reduction in revenue from our electronic monitoring and case management services, operating expenses from th</w:t>
      </w:r>
      <w:r>
        <w:rPr>
          <w:sz w:val="20"/>
          <w:szCs w:val="20"/>
        </w:rPr>
        <w:t xml:space="preserve">ese services also decreased due to fewer court hearings and referrals due to COVID-19.  The decrease in operating expenses during the three and nine months ended September 30, 2020 when compared to the same periods in 2019 was partially offset by expenses </w:t>
      </w:r>
      <w:r>
        <w:rPr>
          <w:sz w:val="20"/>
          <w:szCs w:val="20"/>
        </w:rPr>
        <w:t>associated with COVID-19.   In addition, the decrease in operating expenses during the nine-month period ended September 30, 2020 was partially offset by the aforementioned activations of our previously idled Torrance and Eden facilities in the second quar</w:t>
      </w:r>
      <w:r>
        <w:rPr>
          <w:sz w:val="20"/>
          <w:szCs w:val="20"/>
        </w:rPr>
        <w:t>ter of 2019 and as a result of the additional day of operations due to a leap year in 2020.  </w:t>
      </w:r>
    </w:p>
    <w:p w:rsidR="00000000" w:rsidRDefault="005F13FD">
      <w:pPr>
        <w:pStyle w:val="a3"/>
        <w:spacing w:before="240" w:beforeAutospacing="0" w:after="0" w:afterAutospacing="0"/>
        <w:jc w:val="both"/>
        <w:rPr>
          <w:sz w:val="20"/>
          <w:szCs w:val="20"/>
        </w:rPr>
      </w:pPr>
      <w:r>
        <w:rPr>
          <w:sz w:val="20"/>
          <w:szCs w:val="20"/>
        </w:rPr>
        <w:t>Total expenses per compensated man-day increased to $65.56 during the three months ended September 30, 2020 from $59.35 during the three months ended September 30</w:t>
      </w:r>
      <w:r>
        <w:rPr>
          <w:sz w:val="20"/>
          <w:szCs w:val="20"/>
        </w:rPr>
        <w:t>, 2019, and increased to $63.66 during the nine months ended September 30, 2020 from $57.58 during the same period in the prior year.  Fixed expenses per compensated man-day increased to $48.98 during the three months ended September 30, 2020 from $42.98 d</w:t>
      </w:r>
      <w:r>
        <w:rPr>
          <w:sz w:val="20"/>
          <w:szCs w:val="20"/>
        </w:rPr>
        <w:t>uring the same period in the prior year, and increased to $47.16 during the nine months ended September 30, 2020 from $41.51 during the same period in the prior year.  </w:t>
      </w:r>
    </w:p>
    <w:p w:rsidR="00000000" w:rsidRDefault="005F13FD">
      <w:pPr>
        <w:pStyle w:val="a3"/>
        <w:spacing w:before="240" w:beforeAutospacing="0" w:after="0" w:afterAutospacing="0"/>
        <w:jc w:val="center"/>
        <w:rPr>
          <w:sz w:val="20"/>
          <w:szCs w:val="20"/>
        </w:rPr>
      </w:pPr>
      <w:r>
        <w:rPr>
          <w:sz w:val="20"/>
          <w:szCs w:val="20"/>
        </w:rPr>
        <w:t>30</w:t>
      </w:r>
    </w:p>
    <w:p w:rsidR="00000000" w:rsidRDefault="005F13FD">
      <w:pPr>
        <w:rPr>
          <w:rFonts w:eastAsia="Times New Roman"/>
        </w:rPr>
      </w:pPr>
      <w:r>
        <w:rPr>
          <w:rFonts w:eastAsia="Times New Roman"/>
        </w:rPr>
        <w:pict>
          <v:rect id="_x0000_i1056"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sz w:val="20"/>
          <w:szCs w:val="20"/>
        </w:rPr>
      </w:pPr>
      <w:r>
        <w:rPr>
          <w:sz w:val="20"/>
          <w:szCs w:val="20"/>
        </w:rPr>
        <w:t>Recent increases in the unemployment rate caus</w:t>
      </w:r>
      <w:r>
        <w:rPr>
          <w:sz w:val="20"/>
          <w:szCs w:val="20"/>
        </w:rPr>
        <w:t>ed by COVID-19 notwithstanding, as the economy improved and the nation's unemployment rate declined, we experienced wage pressures in certain markets across the country, and provided wage increases to remain competitive.  Further, the COVID-19 pandemic pre</w:t>
      </w:r>
      <w:r>
        <w:rPr>
          <w:sz w:val="20"/>
          <w:szCs w:val="20"/>
        </w:rPr>
        <w:t xml:space="preserve">sents unique employment circumstances, as the unemployment rate has recently increased dramatically as many businesses curtailed or even ceased operations.  While a higher unemployment rate in the longer-term could provide a more robust talent acquisition </w:t>
      </w:r>
      <w:r>
        <w:rPr>
          <w:sz w:val="20"/>
          <w:szCs w:val="20"/>
        </w:rPr>
        <w:t xml:space="preserve">pipeline than we have recently experienced, we have incurred, and expect to continue to incur, incremental expenses in the short-term to help ensure sufficient staffing levels under unique and challenging working conditions.  Incremental expenses include, </w:t>
      </w:r>
      <w:r>
        <w:rPr>
          <w:sz w:val="20"/>
          <w:szCs w:val="20"/>
        </w:rPr>
        <w:t xml:space="preserve">but may not be limited to, incentive payments to our line and field staff, additional paid time off, as well as expenses to procure personal protective equipment and other supplies.  During April 2020, we announced that we would provide incentive payments </w:t>
      </w:r>
      <w:r>
        <w:rPr>
          <w:sz w:val="20"/>
          <w:szCs w:val="20"/>
        </w:rPr>
        <w:t>to our line and field staff, known as "hero bonuses", through the end of the second quarter of 2020.  During the three and nine months ended September 30, 2020, we incurred $2.8 million and $11.0 million, respectively, of incremental expenses associated wi</w:t>
      </w:r>
      <w:r>
        <w:rPr>
          <w:sz w:val="20"/>
          <w:szCs w:val="20"/>
        </w:rPr>
        <w:t>th COVID-19, including $6.3 million of hero bonuses paid in the second quarter of 2020. These incremental expenses contributed to the increase in fixed expenses per compensated man-day during the three- and nine-month periods ending September 30, 2020 comp</w:t>
      </w:r>
      <w:r>
        <w:rPr>
          <w:sz w:val="20"/>
          <w:szCs w:val="20"/>
        </w:rPr>
        <w:t>ared to the same periods in 2019.  We also provided wage increases to most of our facility staff during the third quarter of 2020.  We continually monitor compensation levels very closely along with overall economic conditions and will set wage levels nece</w:t>
      </w:r>
      <w:r>
        <w:rPr>
          <w:sz w:val="20"/>
          <w:szCs w:val="20"/>
        </w:rPr>
        <w:t>ssary to help ensure the long-term success of our business.  Further, we continually evaluate the structure of our employee benefits package and training programs to ensure we are better able to attract and retain our employees.  Salaries and benefits repr</w:t>
      </w:r>
      <w:r>
        <w:rPr>
          <w:sz w:val="20"/>
          <w:szCs w:val="20"/>
        </w:rPr>
        <w:t xml:space="preserve">esent the most significant component of our operating expenses, representing approximately 61% of our total operating expenses for the first nine months of 2020 and 60% of our total operating expenses during 2019. </w:t>
      </w:r>
    </w:p>
    <w:p w:rsidR="00000000" w:rsidRDefault="005F13FD">
      <w:pPr>
        <w:pStyle w:val="a3"/>
        <w:spacing w:before="240" w:beforeAutospacing="0" w:after="0" w:afterAutospacing="0"/>
        <w:jc w:val="both"/>
        <w:rPr>
          <w:sz w:val="20"/>
          <w:szCs w:val="20"/>
        </w:rPr>
      </w:pPr>
      <w:r>
        <w:rPr>
          <w:sz w:val="20"/>
          <w:szCs w:val="20"/>
        </w:rPr>
        <w:t xml:space="preserve">Operating expenses incurred by CoreCivic </w:t>
      </w:r>
      <w:r>
        <w:rPr>
          <w:sz w:val="20"/>
          <w:szCs w:val="20"/>
        </w:rPr>
        <w:t>Properties in connection with facilities we lease to third-party operators increased $1.2 million, or 19.0%, during the third quarter of 2020 when compared with the same period in 2019, and increased $3.9 million, or 22.4%, during the nine months ended Sep</w:t>
      </w:r>
      <w:r>
        <w:rPr>
          <w:sz w:val="20"/>
          <w:szCs w:val="20"/>
        </w:rPr>
        <w:t xml:space="preserve">tember 30, 2020 when compared with the same period in 2019.  The increase in expenses in this segment during both the three and nine months ended September 30, 2020 was primarily the result of acquisitions in 2019 and 2020 of multiple properties leased to </w:t>
      </w:r>
      <w:r>
        <w:rPr>
          <w:sz w:val="20"/>
          <w:szCs w:val="20"/>
        </w:rPr>
        <w:t xml:space="preserve">third parties and the commencement of the leases of the 656-bed Southeast Correctional Complex in Wheelwright, Kentucky, and the 2,432-bed correctional facility we constructed in Lansing, Kansas. </w:t>
      </w:r>
    </w:p>
    <w:p w:rsidR="00000000" w:rsidRDefault="005F13FD">
      <w:pPr>
        <w:pStyle w:val="a3"/>
        <w:spacing w:before="240" w:beforeAutospacing="0" w:after="0" w:afterAutospacing="0"/>
        <w:jc w:val="both"/>
        <w:rPr>
          <w:i/>
          <w:iCs/>
          <w:sz w:val="20"/>
          <w:szCs w:val="20"/>
        </w:rPr>
      </w:pPr>
      <w:r>
        <w:rPr>
          <w:i/>
          <w:iCs/>
          <w:sz w:val="20"/>
          <w:szCs w:val="20"/>
        </w:rPr>
        <w:t>Facility Management Contracts</w:t>
      </w:r>
    </w:p>
    <w:p w:rsidR="00000000" w:rsidRDefault="005F13FD">
      <w:pPr>
        <w:pStyle w:val="a3"/>
        <w:spacing w:before="120" w:beforeAutospacing="0" w:after="0" w:afterAutospacing="0"/>
        <w:jc w:val="both"/>
        <w:rPr>
          <w:sz w:val="20"/>
          <w:szCs w:val="20"/>
        </w:rPr>
      </w:pPr>
      <w:r>
        <w:rPr>
          <w:sz w:val="20"/>
          <w:szCs w:val="20"/>
        </w:rPr>
        <w:t>We enter into facility manage</w:t>
      </w:r>
      <w:r>
        <w:rPr>
          <w:sz w:val="20"/>
          <w:szCs w:val="20"/>
        </w:rPr>
        <w:t>ment contracts to provide bed capacity and management services to governmental entities in our CoreCivic Safety and CoreCivic Community segments for terms typically ranging from three to five years, with additional renewal periods at the option of the cont</w:t>
      </w:r>
      <w:r>
        <w:rPr>
          <w:sz w:val="20"/>
          <w:szCs w:val="20"/>
        </w:rPr>
        <w:t xml:space="preserve">racting governmental agency. Accordingly, a substantial portion of our facility contracts are scheduled to expire each year, notwithstanding contractual renewal options that a government agency may exercise. Although we generally expect these customers to </w:t>
      </w:r>
      <w:r>
        <w:rPr>
          <w:sz w:val="20"/>
          <w:szCs w:val="20"/>
        </w:rPr>
        <w:t>exercise renewal options or negotiate new contracts with us, one or more of these contracts may not be renewed by the corresponding governmental agency.  Further, our government partners can generally terminate our management contracts for non-appropriatio</w:t>
      </w:r>
      <w:r>
        <w:rPr>
          <w:sz w:val="20"/>
          <w:szCs w:val="20"/>
        </w:rPr>
        <w:t xml:space="preserve">n of funds or for convenience.   </w:t>
      </w:r>
    </w:p>
    <w:p w:rsidR="00000000" w:rsidRDefault="005F13FD">
      <w:pPr>
        <w:pStyle w:val="a3"/>
        <w:spacing w:before="240" w:beforeAutospacing="0" w:after="0" w:afterAutospacing="0"/>
        <w:jc w:val="both"/>
        <w:rPr>
          <w:sz w:val="20"/>
          <w:szCs w:val="20"/>
        </w:rPr>
      </w:pPr>
      <w:r>
        <w:rPr>
          <w:sz w:val="20"/>
          <w:szCs w:val="20"/>
        </w:rPr>
        <w:t>Based on information available as of the date of this Quarterly Report, we believe we will renew all contracts with our government partners that have expired or are scheduled to expire within the next twelve months that co</w:t>
      </w:r>
      <w:r>
        <w:rPr>
          <w:sz w:val="20"/>
          <w:szCs w:val="20"/>
        </w:rPr>
        <w:t>uld have a material impact on our financial statements.  We believe our renewal rate on existing contracts remains high due to a variety of reasons including, but not limited to, the constrained supply of available beds within the U.S. correctional system,</w:t>
      </w:r>
      <w:r>
        <w:rPr>
          <w:sz w:val="20"/>
          <w:szCs w:val="20"/>
        </w:rPr>
        <w:t xml:space="preserve"> our ownership of the majority of the beds we operate, and the cost effectiveness of the services we provide.  However, we cannot assure we will continue to achieve such renewal rates in the future. </w:t>
      </w:r>
    </w:p>
    <w:p w:rsidR="00000000" w:rsidRDefault="005F13FD">
      <w:pPr>
        <w:pStyle w:val="a3"/>
        <w:spacing w:before="160" w:beforeAutospacing="0" w:after="0" w:afterAutospacing="0"/>
        <w:jc w:val="both"/>
        <w:rPr>
          <w:i/>
          <w:iCs/>
          <w:sz w:val="20"/>
          <w:szCs w:val="20"/>
        </w:rPr>
      </w:pPr>
      <w:r>
        <w:rPr>
          <w:i/>
          <w:iCs/>
          <w:sz w:val="20"/>
          <w:szCs w:val="20"/>
        </w:rPr>
        <w:t xml:space="preserve">CoreCivic Safety </w:t>
      </w:r>
    </w:p>
    <w:p w:rsidR="00000000" w:rsidRDefault="005F13FD">
      <w:pPr>
        <w:pStyle w:val="a3"/>
        <w:spacing w:before="120" w:beforeAutospacing="0" w:after="0" w:afterAutospacing="0"/>
        <w:jc w:val="both"/>
        <w:rPr>
          <w:sz w:val="20"/>
          <w:szCs w:val="20"/>
        </w:rPr>
      </w:pPr>
      <w:r>
        <w:rPr>
          <w:sz w:val="20"/>
          <w:szCs w:val="20"/>
        </w:rPr>
        <w:t>CoreCivic Safety includes the operatin</w:t>
      </w:r>
      <w:r>
        <w:rPr>
          <w:sz w:val="20"/>
          <w:szCs w:val="20"/>
        </w:rPr>
        <w:t>g results of the correctional and detention facilities that we operated during each period.  Total revenue generated by CoreCivic Safety decreased $37.8 million, or 8.3%, from $457.8 million in the third quarter of 2019 to $420.0 million in the third quart</w:t>
      </w:r>
      <w:r>
        <w:rPr>
          <w:sz w:val="20"/>
          <w:szCs w:val="20"/>
        </w:rPr>
        <w:t>er of 2020, and decreased $50.6 million, or 3.8%, from $1,332.5 million during the nine months ended September 30, 2019 to $1,281.9 million during the nine months ended September 30, 2020.  CoreCivic Safety's facility net operating income, or facility reve</w:t>
      </w:r>
      <w:r>
        <w:rPr>
          <w:sz w:val="20"/>
          <w:szCs w:val="20"/>
        </w:rPr>
        <w:t>nues less operating expenses, decreased $19.0 million, or 15.9%, from $119.7 million during the three months ended September 30, 2019 to $100.7 million during the three months ended September 30, 2020, and decreased $52.7 million, or 14.6%, from $360.8 mil</w:t>
      </w:r>
      <w:r>
        <w:rPr>
          <w:sz w:val="20"/>
          <w:szCs w:val="20"/>
        </w:rPr>
        <w:t>lion during the nine months ended September 30, 2019 to $308.1 million during the nine months ended September 30, 2020.  During the three and nine months ended September 30, 2020, CoreCivic Safety generated 83.6% and 83.5%, respectively, of our total facil</w:t>
      </w:r>
      <w:r>
        <w:rPr>
          <w:sz w:val="20"/>
          <w:szCs w:val="20"/>
        </w:rPr>
        <w:t xml:space="preserve">ity net operating income, compared with 85.5% and 85.3%, respectively, during the three and nine months ended September 30, 2019. </w:t>
      </w:r>
    </w:p>
    <w:p w:rsidR="00000000" w:rsidRDefault="005F13FD">
      <w:pPr>
        <w:pStyle w:val="a3"/>
        <w:spacing w:before="240" w:beforeAutospacing="0" w:after="0" w:afterAutospacing="0"/>
        <w:jc w:val="center"/>
        <w:rPr>
          <w:sz w:val="20"/>
          <w:szCs w:val="20"/>
        </w:rPr>
      </w:pPr>
      <w:r>
        <w:rPr>
          <w:sz w:val="20"/>
          <w:szCs w:val="20"/>
        </w:rPr>
        <w:t>31</w:t>
      </w:r>
    </w:p>
    <w:p w:rsidR="00000000" w:rsidRDefault="005F13FD">
      <w:pPr>
        <w:rPr>
          <w:rFonts w:eastAsia="Times New Roman"/>
        </w:rPr>
      </w:pPr>
      <w:r>
        <w:rPr>
          <w:rFonts w:eastAsia="Times New Roman"/>
        </w:rPr>
        <w:pict>
          <v:rect id="_x0000_i1057"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sz w:val="20"/>
          <w:szCs w:val="20"/>
        </w:rPr>
      </w:pPr>
      <w:r>
        <w:rPr>
          <w:sz w:val="20"/>
          <w:szCs w:val="20"/>
        </w:rPr>
        <w:t>The following table displays the revenue and expenses per compensated man-day for Co</w:t>
      </w:r>
      <w:r>
        <w:rPr>
          <w:sz w:val="20"/>
          <w:szCs w:val="20"/>
        </w:rPr>
        <w:t>reCivic Safety's correctional and detention facilities placed into service that we own and manage and for the facilities we manage but do not own, inclusive of the transportation services provided by TransCor:</w:t>
      </w:r>
    </w:p>
    <w:p w:rsidR="00000000" w:rsidRDefault="005F13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72"/>
        <w:gridCol w:w="65"/>
        <w:gridCol w:w="115"/>
        <w:gridCol w:w="565"/>
        <w:gridCol w:w="215"/>
        <w:gridCol w:w="65"/>
        <w:gridCol w:w="115"/>
        <w:gridCol w:w="565"/>
        <w:gridCol w:w="182"/>
        <w:gridCol w:w="65"/>
        <w:gridCol w:w="115"/>
        <w:gridCol w:w="575"/>
        <w:gridCol w:w="215"/>
        <w:gridCol w:w="65"/>
        <w:gridCol w:w="115"/>
        <w:gridCol w:w="584"/>
        <w:gridCol w:w="182"/>
      </w:tblGrid>
      <w:tr w:rsidR="00000000">
        <w:trPr>
          <w:divId w:val="914121288"/>
        </w:trPr>
        <w:tc>
          <w:tcPr>
            <w:tcW w:w="250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914121288"/>
        </w:trPr>
        <w:tc>
          <w:tcPr>
            <w:tcW w:w="250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914121288"/>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CoreCivic Safety Facilities:</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914121288"/>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Revenue per compensated man-day</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87.39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81.93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85.10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80.52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914121288"/>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Operating expenses per compensated man-day:</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914121288"/>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Fixed expense</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49.38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43.63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47.67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42.12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914121288"/>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Variable expense</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17.06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16.88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16.98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16.60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914121288"/>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Total</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66.44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60.51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64.65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58.72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914121288"/>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Operating income per compensated man-day</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20.95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21.42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20.45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21.80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914121288"/>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Operating margin</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24.0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26.1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24.0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914121288"/>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Average compensated occupancy</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72.1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83.4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75.7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83.2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914121288"/>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Average available beds</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72,489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72,577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914121288"/>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Average compensated population</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52,244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60,736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54,974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60,617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color w:val="000000"/>
          <w:sz w:val="20"/>
          <w:szCs w:val="20"/>
        </w:rPr>
      </w:pPr>
      <w:r>
        <w:rPr>
          <w:color w:val="000000"/>
          <w:sz w:val="20"/>
          <w:szCs w:val="20"/>
        </w:rPr>
        <w:t>Operating margins within the CoreCivic Safety facilities during both the three and nine months ended September 30, 2020 were negatively impacted primarily by reduced populations and increased operating expenses, which was driven primarily by increases in s</w:t>
      </w:r>
      <w:r>
        <w:rPr>
          <w:color w:val="000000"/>
          <w:sz w:val="20"/>
          <w:szCs w:val="20"/>
        </w:rPr>
        <w:t>alaries and benefits expenses, as previously described herein.  Also as previously mentioned, COVID-19 has had an adverse impact on operating margins, and was the primary factor in the reduction of average compensated populations and operating margins of t</w:t>
      </w:r>
      <w:r>
        <w:rPr>
          <w:color w:val="000000"/>
          <w:sz w:val="20"/>
          <w:szCs w:val="20"/>
        </w:rPr>
        <w:t>he CoreCivic Safety segment.  The expected return of all remaining inmate populations from the state of California from our La Palma Correctional Center during the first half of 2019 also contributed to the reduction in compensated populations during the n</w:t>
      </w:r>
      <w:r>
        <w:rPr>
          <w:color w:val="000000"/>
          <w:sz w:val="20"/>
          <w:szCs w:val="20"/>
        </w:rPr>
        <w:t>ine-month period ended September 30, 2020.  </w:t>
      </w:r>
    </w:p>
    <w:p w:rsidR="00000000" w:rsidRDefault="005F13FD">
      <w:pPr>
        <w:pStyle w:val="a3"/>
        <w:spacing w:before="240" w:beforeAutospacing="0" w:after="0" w:afterAutospacing="0"/>
        <w:jc w:val="both"/>
        <w:rPr>
          <w:sz w:val="20"/>
          <w:szCs w:val="20"/>
        </w:rPr>
      </w:pPr>
      <w:r>
        <w:rPr>
          <w:sz w:val="20"/>
          <w:szCs w:val="20"/>
        </w:rPr>
        <w:t>California Assembly Bill 32, or AB32, became effective January 1, 2020.  AB32 generally prohibits new contracts and renewals of existing contracts between private, for-profit entities and government agencies for</w:t>
      </w:r>
      <w:r>
        <w:rPr>
          <w:sz w:val="20"/>
          <w:szCs w:val="20"/>
        </w:rPr>
        <w:t xml:space="preserve"> the operation of detention facilities within the state of California, and prohibits the utilization of detention centers operated by private, for-profit entities by the state of California effective January 1, 2028.  AB32 does not apply to facilities leas</w:t>
      </w:r>
      <w:r>
        <w:rPr>
          <w:sz w:val="20"/>
          <w:szCs w:val="20"/>
        </w:rPr>
        <w:t xml:space="preserve">ed from private, for-profit entities, such as our California City Correctional Center. The U.S. Government and The GEO Group, Inc. both filed lawsuits against the state of California challenging the enforceability of AB32 under applicable law.  On October </w:t>
      </w:r>
      <w:r>
        <w:rPr>
          <w:sz w:val="20"/>
          <w:szCs w:val="20"/>
        </w:rPr>
        <w:t>8, 2020, US District Judge Janis Sammartino allowed AB32 to block future BOP and ICE contracts and renewals, while determining that AB32 could not block future USMS contracts and renewals.  Judge Sammartino also acknowledged that the State has agreed it wi</w:t>
      </w:r>
      <w:r>
        <w:rPr>
          <w:sz w:val="20"/>
          <w:szCs w:val="20"/>
        </w:rPr>
        <w:t>ll not use AB32 to block federal, state, or local residential reentry center contracts. An appeal by one or more parties is likely.  </w:t>
      </w:r>
    </w:p>
    <w:p w:rsidR="00000000" w:rsidRDefault="005F13FD">
      <w:pPr>
        <w:pStyle w:val="a3"/>
        <w:spacing w:before="240" w:beforeAutospacing="0" w:after="0" w:afterAutospacing="0"/>
        <w:jc w:val="both"/>
        <w:rPr>
          <w:sz w:val="20"/>
          <w:szCs w:val="20"/>
        </w:rPr>
      </w:pPr>
      <w:r>
        <w:rPr>
          <w:sz w:val="20"/>
          <w:szCs w:val="20"/>
        </w:rPr>
        <w:t>In the event AB32 is implemented so as to prohibit ICE</w:t>
      </w:r>
      <w:r>
        <w:rPr>
          <w:sz w:val="20"/>
          <w:szCs w:val="20"/>
        </w:rPr>
        <w:noBreakHyphen/>
        <w:t>contracted private detention facilities, the federal government cou</w:t>
      </w:r>
      <w:r>
        <w:rPr>
          <w:sz w:val="20"/>
          <w:szCs w:val="20"/>
        </w:rPr>
        <w:t>ld be prohibited from renewing its contract to operate our Otay Mesa Detention Center, which is currently scheduled to expire in December 2024.  A potential non-renewal of our contract to operate the Otay Mesa Detention Center, which we recently expanded f</w:t>
      </w:r>
      <w:r>
        <w:rPr>
          <w:sz w:val="20"/>
          <w:szCs w:val="20"/>
        </w:rPr>
        <w:t>rom 1,482 beds to 1,994 beds, could have a significant impact on our results of operations and cash flows at the time of non-renewal.  </w:t>
      </w:r>
    </w:p>
    <w:p w:rsidR="00000000" w:rsidRDefault="005F13FD">
      <w:pPr>
        <w:pStyle w:val="a3"/>
        <w:spacing w:before="240" w:beforeAutospacing="0" w:after="0" w:afterAutospacing="0"/>
        <w:jc w:val="both"/>
        <w:rPr>
          <w:color w:val="000000"/>
          <w:sz w:val="20"/>
          <w:szCs w:val="20"/>
        </w:rPr>
      </w:pPr>
      <w:r>
        <w:rPr>
          <w:color w:val="000000"/>
          <w:sz w:val="20"/>
          <w:szCs w:val="20"/>
          <w:shd w:val="clear" w:color="auto" w:fill="FFFFFF"/>
        </w:rPr>
        <w:t xml:space="preserve">On May 16, 2019, we announced that we entered into a new contract under an IGSA between Torrance County, New Mexico and </w:t>
      </w:r>
      <w:r>
        <w:rPr>
          <w:color w:val="000000"/>
          <w:sz w:val="20"/>
          <w:szCs w:val="20"/>
          <w:shd w:val="clear" w:color="auto" w:fill="FFFFFF"/>
        </w:rPr>
        <w:t>ICE to activate our 910-bed Torrance County Detention Facility in Estancia, New Mexico.  The new agreement also permits the USMS to utilize capacity at the facility, which had previously been idle since 2017. The new management contract commenced on May 15</w:t>
      </w:r>
      <w:r>
        <w:rPr>
          <w:color w:val="000000"/>
          <w:sz w:val="20"/>
          <w:szCs w:val="20"/>
          <w:shd w:val="clear" w:color="auto" w:fill="FFFFFF"/>
        </w:rPr>
        <w:t>, 2019, and has an initial term of 60 months, with unlimited extension options thereafter upon mutual agreement.  Either party may terminate the contract with 120 days' written notice</w:t>
      </w:r>
      <w:r>
        <w:rPr>
          <w:color w:val="000000"/>
          <w:sz w:val="20"/>
          <w:szCs w:val="20"/>
        </w:rPr>
        <w:t>.</w:t>
      </w:r>
      <w:r>
        <w:rPr>
          <w:b/>
          <w:bCs/>
          <w:color w:val="000000"/>
          <w:sz w:val="20"/>
          <w:szCs w:val="20"/>
        </w:rPr>
        <w:t>  </w:t>
      </w:r>
      <w:r>
        <w:rPr>
          <w:color w:val="000000"/>
          <w:sz w:val="20"/>
          <w:szCs w:val="20"/>
        </w:rPr>
        <w:t>We began accepting ICE detainee populations into the Torrance facility</w:t>
      </w:r>
      <w:r>
        <w:rPr>
          <w:color w:val="000000"/>
          <w:sz w:val="20"/>
          <w:szCs w:val="20"/>
        </w:rPr>
        <w:t xml:space="preserve"> in the third quarter of 2019.  Activation of the Torrance facility contributed to an increase in total revenue of $5.3 million and $18.5 million during the three and nine months ended September 30, 2020, respectively, from the comparable periods in the pr</w:t>
      </w:r>
      <w:r>
        <w:rPr>
          <w:color w:val="000000"/>
          <w:sz w:val="20"/>
          <w:szCs w:val="20"/>
        </w:rPr>
        <w:t>ior year.  </w:t>
      </w:r>
    </w:p>
    <w:p w:rsidR="00000000" w:rsidRDefault="005F13FD">
      <w:pPr>
        <w:pStyle w:val="a3"/>
        <w:spacing w:before="240" w:beforeAutospacing="0" w:after="0" w:afterAutospacing="0"/>
        <w:jc w:val="both"/>
        <w:rPr>
          <w:color w:val="000000"/>
          <w:sz w:val="20"/>
          <w:szCs w:val="20"/>
        </w:rPr>
      </w:pPr>
      <w:r>
        <w:rPr>
          <w:color w:val="000000"/>
          <w:sz w:val="20"/>
          <w:szCs w:val="20"/>
          <w:shd w:val="clear" w:color="auto" w:fill="FFFFFF"/>
        </w:rPr>
        <w:t>On May 23, 2019, we announced that we entered into a new contract under an IGSA between the City of Eden, Texas and the USMS, to activate our 1,422-bed Eden Detention Center in Eden, Texas.  The new agreement also permits ICE to utilize capacit</w:t>
      </w:r>
      <w:r>
        <w:rPr>
          <w:color w:val="000000"/>
          <w:sz w:val="20"/>
          <w:szCs w:val="20"/>
          <w:shd w:val="clear" w:color="auto" w:fill="FFFFFF"/>
        </w:rPr>
        <w:t>y at the facility, which had previously been idle since 2017.  The new management contract commenced on June 1, 2019, and has an indefinite term.  Either party may terminate the contract with 30 days' written notice</w:t>
      </w:r>
      <w:r>
        <w:rPr>
          <w:color w:val="000000"/>
          <w:sz w:val="20"/>
          <w:szCs w:val="20"/>
        </w:rPr>
        <w:t>.  We began accepting populations into th</w:t>
      </w:r>
      <w:r>
        <w:rPr>
          <w:color w:val="000000"/>
          <w:sz w:val="20"/>
          <w:szCs w:val="20"/>
        </w:rPr>
        <w:t>e Eden facility in the third quarter of 2019.  Activation of the Eden facility contributed to an increase in total revenue of $3.3 million and $20.2 million during the three and nine months ended September 30, 2020, respectively, from the comparable period</w:t>
      </w:r>
      <w:r>
        <w:rPr>
          <w:color w:val="000000"/>
          <w:sz w:val="20"/>
          <w:szCs w:val="20"/>
        </w:rPr>
        <w:t>s in the prior year.</w:t>
      </w:r>
    </w:p>
    <w:p w:rsidR="00000000" w:rsidRDefault="005F13FD">
      <w:pPr>
        <w:pStyle w:val="a3"/>
        <w:spacing w:before="240" w:beforeAutospacing="0" w:after="0" w:afterAutospacing="0"/>
        <w:jc w:val="center"/>
        <w:rPr>
          <w:sz w:val="20"/>
          <w:szCs w:val="20"/>
        </w:rPr>
      </w:pPr>
      <w:r>
        <w:rPr>
          <w:sz w:val="20"/>
          <w:szCs w:val="20"/>
        </w:rPr>
        <w:t>32</w:t>
      </w:r>
    </w:p>
    <w:p w:rsidR="00000000" w:rsidRDefault="005F13FD">
      <w:pPr>
        <w:rPr>
          <w:rFonts w:eastAsia="Times New Roman"/>
        </w:rPr>
      </w:pPr>
      <w:r>
        <w:rPr>
          <w:rFonts w:eastAsia="Times New Roman"/>
        </w:rPr>
        <w:pict>
          <v:rect id="_x0000_i1058"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sz w:val="20"/>
          <w:szCs w:val="20"/>
        </w:rPr>
      </w:pPr>
      <w:r>
        <w:rPr>
          <w:sz w:val="20"/>
          <w:szCs w:val="20"/>
        </w:rPr>
        <w:t>On January 9, 2020, we announced that we entered into a new emergency contract with the state of Mississippi to care for up to 375 of Mississippi's inmates at the Tallahatchie facility, to assis</w:t>
      </w:r>
      <w:r>
        <w:rPr>
          <w:sz w:val="20"/>
          <w:szCs w:val="20"/>
        </w:rPr>
        <w:t>t the State with significant challenges in its correctional system.  The contract had a term of ninety days, which the State could extend for up to two additional ninety-day terms.  The State subsequently expanded the contract to 1,000 inmates and exercise</w:t>
      </w:r>
      <w:r>
        <w:rPr>
          <w:sz w:val="20"/>
          <w:szCs w:val="20"/>
        </w:rPr>
        <w:t>d the extension options through October 4, 2020.  We are currently in discussions with the State to further extend the contract, but can provide no assurance that we will be successful.  During the three and nine months ended September 30, 2020, management</w:t>
      </w:r>
      <w:r>
        <w:rPr>
          <w:sz w:val="20"/>
          <w:szCs w:val="20"/>
        </w:rPr>
        <w:t xml:space="preserve"> revenue from this new contract was $3.0 million and $10.3 million, respectively. </w:t>
      </w:r>
    </w:p>
    <w:p w:rsidR="00000000" w:rsidRDefault="005F13FD">
      <w:pPr>
        <w:pStyle w:val="a3"/>
        <w:spacing w:before="240" w:beforeAutospacing="0" w:after="0" w:afterAutospacing="0"/>
        <w:jc w:val="both"/>
        <w:rPr>
          <w:sz w:val="20"/>
          <w:szCs w:val="20"/>
        </w:rPr>
      </w:pPr>
      <w:r>
        <w:rPr>
          <w:sz w:val="20"/>
          <w:szCs w:val="20"/>
        </w:rPr>
        <w:t xml:space="preserve">On May 1, 2019, the BOP announced that it elected not to renew the contract at our Adams County Correctional Center in Adams County, Mississippi.  On June 28, 2019, the BOP </w:t>
      </w:r>
      <w:r>
        <w:rPr>
          <w:sz w:val="20"/>
          <w:szCs w:val="20"/>
        </w:rPr>
        <w:t>executed an amendment to the existing contract to allow ICE to use up to 660 beds to care for adult male detainees.  On July 18, 2019, the BOP contract, which was originally scheduled to expire on July 31, 2019, was extended to August 30, 2019.  On Septemb</w:t>
      </w:r>
      <w:r>
        <w:rPr>
          <w:sz w:val="20"/>
          <w:szCs w:val="20"/>
        </w:rPr>
        <w:t>er 3, 2019, we announced that we had entered into a new contract under an IGSA between Adams County, Mississippi and ICE for up to 2,348 adult detainees at the Adams facility.  The new management agreement commenced on August 31, 2019, and has an initial t</w:t>
      </w:r>
      <w:r>
        <w:rPr>
          <w:sz w:val="20"/>
          <w:szCs w:val="20"/>
        </w:rPr>
        <w:t xml:space="preserve">erm of 60 months, with unlimited extension options thereafter upon mutual agreement.  Either party may terminate the contract with 120 days' written notice.  The average compensated occupancy of the Adams County facility was 75.9% during the third quarter </w:t>
      </w:r>
      <w:r>
        <w:rPr>
          <w:sz w:val="20"/>
          <w:szCs w:val="20"/>
        </w:rPr>
        <w:t>of 2019 compared with 49.3% during the third quarter of 2020, when occupancy was impacted by COVID-19.  Facility net operating income declined by $2.2 million from the prior year quarter, which included $2.0 million for a performance bonus earned under the</w:t>
      </w:r>
      <w:r>
        <w:rPr>
          <w:sz w:val="20"/>
          <w:szCs w:val="20"/>
        </w:rPr>
        <w:t xml:space="preserve"> contract with the BOP.  More favorable contract terms under the new IGSA mitigated the impact of lower occupancy at this facility.  </w:t>
      </w:r>
    </w:p>
    <w:p w:rsidR="00000000" w:rsidRDefault="005F13FD">
      <w:pPr>
        <w:pStyle w:val="a3"/>
        <w:spacing w:before="240" w:beforeAutospacing="0" w:after="0" w:afterAutospacing="0"/>
        <w:jc w:val="both"/>
        <w:rPr>
          <w:sz w:val="20"/>
          <w:szCs w:val="20"/>
        </w:rPr>
      </w:pPr>
      <w:r>
        <w:rPr>
          <w:sz w:val="20"/>
          <w:szCs w:val="20"/>
        </w:rPr>
        <w:t>Effective August 1, 2019, we were awarded a new contract with the Kansas Department of Corrections, or KDOC, to care for o</w:t>
      </w:r>
      <w:r>
        <w:rPr>
          <w:sz w:val="20"/>
          <w:szCs w:val="20"/>
        </w:rPr>
        <w:t>ffenders at our 1,896-bed Saguaro Correctional Facility in Arizona, where we also care for inmates from Hawaii and Nevada</w:t>
      </w:r>
      <w:r>
        <w:rPr>
          <w:color w:val="000000"/>
          <w:sz w:val="20"/>
          <w:szCs w:val="20"/>
        </w:rPr>
        <w:t>.  We accepted 120 offenders from the KDOC in October 2019.  During the second quarter of 2020, this contract was extended through July</w:t>
      </w:r>
      <w:r>
        <w:rPr>
          <w:color w:val="000000"/>
          <w:sz w:val="20"/>
          <w:szCs w:val="20"/>
        </w:rPr>
        <w:t xml:space="preserve"> 2021.  During the third quarter of 2020, we were also awarded a new contract with the Idaho Department of Correction, or IDOC, to care for up to 1,200 adult male offenders at the Saguaro facility. Subject to available capacity, we may also care for IDOC o</w:t>
      </w:r>
      <w:r>
        <w:rPr>
          <w:color w:val="000000"/>
          <w:sz w:val="20"/>
          <w:szCs w:val="20"/>
        </w:rPr>
        <w:t>ffenders at our 4,128-bed Central Arizona Florence Correctional Complex under terms of the contract.  The new management contract with the IDOC commenced on August 18, 2020, and has an initial term of five years, with unlimited extension options thereafter</w:t>
      </w:r>
      <w:r>
        <w:rPr>
          <w:color w:val="000000"/>
          <w:sz w:val="20"/>
          <w:szCs w:val="20"/>
        </w:rPr>
        <w:t xml:space="preserve"> upon mutual agreement.  As of September 30, 2020, we cared for 438 IDOC offenders at our Saguaro facility.</w:t>
      </w:r>
    </w:p>
    <w:p w:rsidR="00000000" w:rsidRDefault="005F13FD">
      <w:pPr>
        <w:pStyle w:val="a3"/>
        <w:spacing w:before="240" w:beforeAutospacing="0" w:after="0" w:afterAutospacing="0"/>
        <w:jc w:val="both"/>
        <w:rPr>
          <w:sz w:val="20"/>
          <w:szCs w:val="20"/>
        </w:rPr>
      </w:pPr>
      <w:r>
        <w:rPr>
          <w:sz w:val="20"/>
          <w:szCs w:val="20"/>
        </w:rPr>
        <w:t xml:space="preserve">On September 15, 2020, we announced that we entered into a new contract under an IGSA between the city of Cushing, Oklahoma and the USMS to utilize </w:t>
      </w:r>
      <w:r>
        <w:rPr>
          <w:sz w:val="20"/>
          <w:szCs w:val="20"/>
        </w:rPr>
        <w:t>our 1,692-bed Cimarron Correctional Facility. We had previously announced our intention to idle the Cimarron facility during the third quarter of 2020, predominately due to a lower number of inmate populations from the state of Oklahoma resulting from COVI</w:t>
      </w:r>
      <w:r>
        <w:rPr>
          <w:sz w:val="20"/>
          <w:szCs w:val="20"/>
        </w:rPr>
        <w:t>D-19, combined with the consequential impact of COVID-19 on the State's budget. The new management contract commenced on September 15, 2020, and has an initial term of three years, with unlimited 24-month extension options thereafter upon mutual agreement.</w:t>
      </w:r>
      <w:r>
        <w:rPr>
          <w:sz w:val="20"/>
          <w:szCs w:val="20"/>
        </w:rPr>
        <w:t>  As of September 30, 2020, we cared for 693 USMS detainees at the Cimarron facility.  During the twelve months ended December 31, 2019, and for the nine months ended September 30, 2020, this facility generated facility net operating income of $2.4 million</w:t>
      </w:r>
      <w:r>
        <w:rPr>
          <w:sz w:val="20"/>
          <w:szCs w:val="20"/>
        </w:rPr>
        <w:t xml:space="preserve"> and incurred an operating loss of $2.8 million, respectively.  We expect an improvement in facility net operating income at this facility as a result of the new contract with annual revenues increasing to approximately $30.0 million at current utilization</w:t>
      </w:r>
      <w:r>
        <w:rPr>
          <w:sz w:val="20"/>
          <w:szCs w:val="20"/>
        </w:rPr>
        <w:t xml:space="preserve"> levels and an operating margin that approximates the average CoreCivic Safety operating margin percentage.</w:t>
      </w:r>
    </w:p>
    <w:p w:rsidR="00000000" w:rsidRDefault="005F13FD">
      <w:pPr>
        <w:pStyle w:val="a3"/>
        <w:spacing w:before="240" w:beforeAutospacing="0" w:after="0" w:afterAutospacing="0"/>
        <w:jc w:val="both"/>
        <w:rPr>
          <w:sz w:val="20"/>
          <w:szCs w:val="20"/>
        </w:rPr>
      </w:pPr>
      <w:r>
        <w:rPr>
          <w:sz w:val="20"/>
          <w:szCs w:val="20"/>
        </w:rPr>
        <w:t>In September 2020, the term of the amended IGSA between the city of Dilley, Texas and ICE to care for up to 2,400 individuals at our South Texas Fam</w:t>
      </w:r>
      <w:r>
        <w:rPr>
          <w:sz w:val="20"/>
          <w:szCs w:val="20"/>
        </w:rPr>
        <w:t>ily Residential Center, a facility we lease in Dilley, Texas, was extended from September 2021 to September 2026.  ICE's termination rights, which permit ICE to terminate the agreement for convenience or non-appropriation of funds, without penalty, by prov</w:t>
      </w:r>
      <w:r>
        <w:rPr>
          <w:sz w:val="20"/>
          <w:szCs w:val="20"/>
        </w:rPr>
        <w:t xml:space="preserve">iding us with at least a 60-day notice, were unchanged under the extension.  </w:t>
      </w:r>
      <w:r>
        <w:rPr>
          <w:color w:val="000000"/>
          <w:sz w:val="20"/>
          <w:szCs w:val="20"/>
        </w:rPr>
        <w:t>As a result of extending the amortization period for the deferred revenue associated with the amended IGSA over the extended term of the agreement, we expect non-cash revenue asso</w:t>
      </w:r>
      <w:r>
        <w:rPr>
          <w:color w:val="000000"/>
          <w:sz w:val="20"/>
          <w:szCs w:val="20"/>
        </w:rPr>
        <w:t xml:space="preserve">ciated with the amended IGSA to decrease by approximately $2.7 million per quarter, from $3.4 million to $0.7 million, effective beginning in the fourth quarter of 2020.  </w:t>
      </w:r>
      <w:r>
        <w:rPr>
          <w:sz w:val="20"/>
          <w:szCs w:val="20"/>
        </w:rPr>
        <w:t>Concurrent with the extension of the amended IGSA, the lease with the third-party les</w:t>
      </w:r>
      <w:r>
        <w:rPr>
          <w:sz w:val="20"/>
          <w:szCs w:val="20"/>
        </w:rPr>
        <w:t xml:space="preserve">sor for the site was also extended through September 2026. Other terms of the extended lease agreement were unchanged and provide us with the ability to terminate the lease if ICE terminates the amended IGSA associated with the facility. </w:t>
      </w:r>
    </w:p>
    <w:p w:rsidR="00000000" w:rsidRDefault="005F13FD">
      <w:pPr>
        <w:pStyle w:val="a3"/>
        <w:spacing w:before="240" w:beforeAutospacing="0" w:after="0" w:afterAutospacing="0"/>
        <w:jc w:val="both"/>
        <w:rPr>
          <w:sz w:val="20"/>
          <w:szCs w:val="20"/>
        </w:rPr>
      </w:pPr>
      <w:r>
        <w:rPr>
          <w:sz w:val="20"/>
          <w:szCs w:val="20"/>
        </w:rPr>
        <w:t>As previously des</w:t>
      </w:r>
      <w:r>
        <w:rPr>
          <w:sz w:val="20"/>
          <w:szCs w:val="20"/>
        </w:rPr>
        <w:t>cribed, during the third quarter of 2020, we provided notice to the local counties utilizing the Silverdale Detention Center and the Metro-Davidson County Detention Facility, both in Tennessee, of our intent to terminate the contracts at these managed-only</w:t>
      </w:r>
      <w:r>
        <w:rPr>
          <w:sz w:val="20"/>
          <w:szCs w:val="20"/>
        </w:rPr>
        <w:t xml:space="preserve"> facilities.  We transitioned operations of the Metro facility in October 2020, and expect to transition operations of the Silverdale facility in December of 2020.  During 2019, and for the nine months ended September 30, 2020, these facilities generated t</w:t>
      </w:r>
      <w:r>
        <w:rPr>
          <w:sz w:val="20"/>
          <w:szCs w:val="20"/>
        </w:rPr>
        <w:t>otal facility net operating income of $0.8 million and incurred an operating loss of $4.1 million, respectively.  As a result of these expected contract terminations, during the second quarter of 2020, we also recognized goodwill impairments of $2.0 millio</w:t>
      </w:r>
      <w:r>
        <w:rPr>
          <w:sz w:val="20"/>
          <w:szCs w:val="20"/>
        </w:rPr>
        <w:t>n associated with these two managed-only facilities' reporting units.</w:t>
      </w:r>
    </w:p>
    <w:p w:rsidR="00000000" w:rsidRDefault="005F13FD">
      <w:pPr>
        <w:pStyle w:val="a3"/>
        <w:spacing w:before="240" w:beforeAutospacing="0" w:after="0" w:afterAutospacing="0"/>
        <w:jc w:val="center"/>
        <w:rPr>
          <w:sz w:val="20"/>
          <w:szCs w:val="20"/>
        </w:rPr>
      </w:pPr>
      <w:r>
        <w:rPr>
          <w:sz w:val="20"/>
          <w:szCs w:val="20"/>
        </w:rPr>
        <w:t>33</w:t>
      </w:r>
    </w:p>
    <w:p w:rsidR="00000000" w:rsidRDefault="005F13FD">
      <w:pPr>
        <w:rPr>
          <w:rFonts w:eastAsia="Times New Roman"/>
        </w:rPr>
      </w:pPr>
      <w:r>
        <w:rPr>
          <w:rFonts w:eastAsia="Times New Roman"/>
        </w:rPr>
        <w:pict>
          <v:rect id="_x0000_i1059"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360" w:beforeAutospacing="0" w:after="0" w:afterAutospacing="0"/>
        <w:jc w:val="both"/>
        <w:rPr>
          <w:i/>
          <w:iCs/>
          <w:sz w:val="20"/>
          <w:szCs w:val="20"/>
        </w:rPr>
      </w:pPr>
      <w:r>
        <w:rPr>
          <w:i/>
          <w:iCs/>
          <w:sz w:val="20"/>
          <w:szCs w:val="20"/>
        </w:rPr>
        <w:t xml:space="preserve">CoreCivic Community </w:t>
      </w:r>
    </w:p>
    <w:p w:rsidR="00000000" w:rsidRDefault="005F13FD">
      <w:pPr>
        <w:pStyle w:val="a3"/>
        <w:spacing w:before="120" w:beforeAutospacing="0" w:after="0" w:afterAutospacing="0"/>
        <w:jc w:val="both"/>
        <w:rPr>
          <w:sz w:val="20"/>
          <w:szCs w:val="20"/>
        </w:rPr>
      </w:pPr>
      <w:r>
        <w:rPr>
          <w:sz w:val="20"/>
          <w:szCs w:val="20"/>
        </w:rPr>
        <w:t xml:space="preserve">CoreCivic Community includes the operating results of the residential reentry centers that we operated during each period, </w:t>
      </w:r>
      <w:r>
        <w:rPr>
          <w:sz w:val="20"/>
          <w:szCs w:val="20"/>
        </w:rPr>
        <w:t>along with the operating results of our electronic monitoring and case management services.  Total revenue generated by CoreCivic Community decreased $6.8 million, or 22.0%, from $30.8 million during the third quarter of 2019 to $24.1 million during the th</w:t>
      </w:r>
      <w:r>
        <w:rPr>
          <w:sz w:val="20"/>
          <w:szCs w:val="20"/>
        </w:rPr>
        <w:t xml:space="preserve">ird quarter of 2020, and decreased $11.5 million, or 12.4%, from $92.1 million during the nine months ended September 30, 2019 to $80.7 million during the nine months ended September 30, 2020.  CoreCivic Community's facility net operating income decreased </w:t>
      </w:r>
      <w:r>
        <w:rPr>
          <w:sz w:val="20"/>
          <w:szCs w:val="20"/>
        </w:rPr>
        <w:t>$3.7 million, or 55.5%, from $6.7 million during the three months ended September 30, 2019 to $3.0 million during the three months ended September 30, 2020, and decreased $8.4 million, or 39.5%, from $21.4 million during the nine months ended September 30,</w:t>
      </w:r>
      <w:r>
        <w:rPr>
          <w:sz w:val="20"/>
          <w:szCs w:val="20"/>
        </w:rPr>
        <w:t xml:space="preserve"> 2019 to $12.9 million during the nine months ended September 30, 2020. During the three and nine months ended September 30, 2020, CoreCivic Community generated 2.5% and 3.5%, respectively, of our total facility net operating income, compared with 4.8% and</w:t>
      </w:r>
      <w:r>
        <w:rPr>
          <w:sz w:val="20"/>
          <w:szCs w:val="20"/>
        </w:rPr>
        <w:t xml:space="preserve"> 5.1%, respectively, during the three and nine months ended September 30, 2019.  </w:t>
      </w:r>
    </w:p>
    <w:p w:rsidR="00000000" w:rsidRDefault="005F13FD">
      <w:pPr>
        <w:pStyle w:val="a3"/>
        <w:spacing w:before="240" w:beforeAutospacing="0" w:after="0" w:afterAutospacing="0"/>
        <w:jc w:val="both"/>
        <w:rPr>
          <w:sz w:val="20"/>
          <w:szCs w:val="20"/>
        </w:rPr>
      </w:pPr>
      <w:r>
        <w:rPr>
          <w:sz w:val="20"/>
          <w:szCs w:val="20"/>
        </w:rPr>
        <w:t>The following table displays the revenue and expenses per compensated man-day for CoreCivic Community's residential reentry facilities placed into service that we own and man</w:t>
      </w:r>
      <w:r>
        <w:rPr>
          <w:sz w:val="20"/>
          <w:szCs w:val="20"/>
        </w:rPr>
        <w:t>age, but exclusive of the electronic monitoring and case management services given that revenue is not generated on a per compensated man-day basis for these services:</w:t>
      </w:r>
    </w:p>
    <w:p w:rsidR="00000000" w:rsidRDefault="005F13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72"/>
        <w:gridCol w:w="65"/>
        <w:gridCol w:w="115"/>
        <w:gridCol w:w="561"/>
        <w:gridCol w:w="215"/>
        <w:gridCol w:w="65"/>
        <w:gridCol w:w="115"/>
        <w:gridCol w:w="562"/>
        <w:gridCol w:w="182"/>
        <w:gridCol w:w="65"/>
        <w:gridCol w:w="115"/>
        <w:gridCol w:w="582"/>
        <w:gridCol w:w="215"/>
        <w:gridCol w:w="65"/>
        <w:gridCol w:w="115"/>
        <w:gridCol w:w="584"/>
        <w:gridCol w:w="182"/>
      </w:tblGrid>
      <w:tr w:rsidR="00000000">
        <w:trPr>
          <w:divId w:val="1422675622"/>
        </w:trPr>
        <w:tc>
          <w:tcPr>
            <w:tcW w:w="250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422675622"/>
        </w:trPr>
        <w:tc>
          <w:tcPr>
            <w:tcW w:w="2503"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422675622"/>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b/>
                <w:bCs/>
                <w:color w:val="000000"/>
                <w:sz w:val="20"/>
                <w:szCs w:val="20"/>
              </w:rPr>
            </w:pPr>
            <w:r>
              <w:rPr>
                <w:b/>
                <w:bCs/>
                <w:color w:val="000000"/>
                <w:sz w:val="20"/>
                <w:szCs w:val="20"/>
              </w:rPr>
              <w:t>CoreCivic Community Facilities:</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22675622"/>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Revenue per compensated man-day</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61.61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58.31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60.99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57.45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22675622"/>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Operating expenses per compensated man-day:</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22675622"/>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Fixed expense</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41.61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33.23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38.81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32.32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22675622"/>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Variable expense</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7.99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8.73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8.64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8.20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22675622"/>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547"/>
              <w:rPr>
                <w:color w:val="000000"/>
                <w:sz w:val="20"/>
                <w:szCs w:val="20"/>
              </w:rPr>
            </w:pPr>
            <w:r>
              <w:rPr>
                <w:color w:val="000000"/>
                <w:sz w:val="20"/>
                <w:szCs w:val="20"/>
              </w:rPr>
              <w:t>Total</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49.60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41.96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47.45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40.52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22675622"/>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Operating income per compensated man-day</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12.01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16.35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13.54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16.93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22675622"/>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Operating margin</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19.5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28.0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22.2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29.5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422675622"/>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Average compensated occupancy</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54.6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76.3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63.5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76.9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1422675622"/>
        </w:trPr>
        <w:tc>
          <w:tcPr>
            <w:tcW w:w="2503"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Average available beds</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5,233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5,274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5,270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5,263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22675622"/>
        </w:trPr>
        <w:tc>
          <w:tcPr>
            <w:tcW w:w="2503"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Average compensated population</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2,858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4,025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3,347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4,048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360" w:beforeAutospacing="0" w:after="0" w:afterAutospacing="0"/>
        <w:jc w:val="both"/>
        <w:rPr>
          <w:sz w:val="20"/>
          <w:szCs w:val="20"/>
        </w:rPr>
      </w:pPr>
      <w:r>
        <w:rPr>
          <w:sz w:val="20"/>
          <w:szCs w:val="20"/>
        </w:rPr>
        <w:t>Operating margins in the CoreCivic Community segment during both the three and nine months ended September 30, 2020 were negatively impacted by the reduction in average compensated population.  The average compensated population reduction was primarily dri</w:t>
      </w:r>
      <w:r>
        <w:rPr>
          <w:sz w:val="20"/>
          <w:szCs w:val="20"/>
        </w:rPr>
        <w:t>ven by COVID-19, and a decline in utilization from the states of Oklahoma and Colorado, which led to the consolidation of residents located in the respective states, and the closure of several of our residential reentry facilities. The 289-bed Turley Resid</w:t>
      </w:r>
      <w:r>
        <w:rPr>
          <w:sz w:val="20"/>
          <w:szCs w:val="20"/>
        </w:rPr>
        <w:t>ential Center in Oklahoma closed in the second quarter of 2019, the 200-bed Oklahoma City Transitional Center in Oklahoma and the 60-bed Columbine Facility in Colorado closed in the second quarter of 2020, and the 390-bed Tulsa Transitional Center in Oklah</w:t>
      </w:r>
      <w:r>
        <w:rPr>
          <w:sz w:val="20"/>
          <w:szCs w:val="20"/>
        </w:rPr>
        <w:t>oma closed in the third quarter of 2020.  We also idled a 92-bed residential reentry center in Arizona in the third quarter of 2019 upon the expiration of a BOP contract on August 31, 2019, and sold this facility during the second quarter of 2020.  Operati</w:t>
      </w:r>
      <w:r>
        <w:rPr>
          <w:sz w:val="20"/>
          <w:szCs w:val="20"/>
        </w:rPr>
        <w:t>ng margins were also negatively impacted during the first nine months of 2020 by an increase in operating expenses, which was driven primarily by increases in salaries and benefits expenses across the portfolio, as previously described herein.</w:t>
      </w:r>
    </w:p>
    <w:p w:rsidR="00000000" w:rsidRDefault="005F13FD">
      <w:pPr>
        <w:pStyle w:val="a3"/>
        <w:spacing w:before="240" w:beforeAutospacing="0" w:after="0" w:afterAutospacing="0"/>
        <w:jc w:val="both"/>
        <w:rPr>
          <w:sz w:val="20"/>
          <w:szCs w:val="20"/>
        </w:rPr>
      </w:pPr>
      <w:r>
        <w:rPr>
          <w:sz w:val="20"/>
          <w:szCs w:val="20"/>
        </w:rPr>
        <w:t>During the fourth quarter of 2020, the BOP awarded a new contract to us for residential reentry and home confinement services pursuant to a solicitation for capacity and services to be provided in the state of Oklahoma.  As a result, we expect to reactivat</w:t>
      </w:r>
      <w:r>
        <w:rPr>
          <w:sz w:val="20"/>
          <w:szCs w:val="20"/>
        </w:rPr>
        <w:t>e the Turley Residential Center during the first quarter of 2021 and provide the BOP additional reentry services at our owned and operated Oklahoma Reentry Opportunity Center (formerly known as the Carver Transitional Center) which will supplement the exis</w:t>
      </w:r>
      <w:r>
        <w:rPr>
          <w:sz w:val="20"/>
          <w:szCs w:val="20"/>
        </w:rPr>
        <w:t>ting utilization by the state of Oklahoma.</w:t>
      </w:r>
    </w:p>
    <w:p w:rsidR="00000000" w:rsidRDefault="005F13FD">
      <w:pPr>
        <w:pStyle w:val="a3"/>
        <w:spacing w:before="240" w:beforeAutospacing="0" w:after="0" w:afterAutospacing="0"/>
        <w:jc w:val="both"/>
        <w:rPr>
          <w:sz w:val="20"/>
          <w:szCs w:val="20"/>
        </w:rPr>
      </w:pPr>
      <w:r>
        <w:rPr>
          <w:sz w:val="20"/>
          <w:szCs w:val="20"/>
        </w:rPr>
        <w:t>During the third quarter of 2020, Adams County, Colorado, notified us that, pursuant to a re-bid of the contract at the 184-bed Henderson Transitional Center, a facility we lease from the County, it awarded the co</w:t>
      </w:r>
      <w:r>
        <w:rPr>
          <w:sz w:val="20"/>
          <w:szCs w:val="20"/>
        </w:rPr>
        <w:t>ntract to another operator.  We expect to transition operations to the other operator upon expiration of the contract in January 2021. During the three and nine months ended September 30, 2020, this facility generated net operating income of $0.1 million a</w:t>
      </w:r>
      <w:r>
        <w:rPr>
          <w:sz w:val="20"/>
          <w:szCs w:val="20"/>
        </w:rPr>
        <w:t xml:space="preserve">nd $0.6 million, respectively. </w:t>
      </w:r>
    </w:p>
    <w:p w:rsidR="00000000" w:rsidRDefault="005F13FD">
      <w:pPr>
        <w:pStyle w:val="a3"/>
        <w:spacing w:before="240" w:beforeAutospacing="0" w:after="0" w:afterAutospacing="0"/>
        <w:jc w:val="center"/>
        <w:rPr>
          <w:sz w:val="20"/>
          <w:szCs w:val="20"/>
        </w:rPr>
      </w:pPr>
      <w:r>
        <w:rPr>
          <w:sz w:val="20"/>
          <w:szCs w:val="20"/>
        </w:rPr>
        <w:t>34</w:t>
      </w:r>
    </w:p>
    <w:p w:rsidR="00000000" w:rsidRDefault="005F13FD">
      <w:pPr>
        <w:rPr>
          <w:rFonts w:eastAsia="Times New Roman"/>
        </w:rPr>
      </w:pPr>
      <w:r>
        <w:rPr>
          <w:rFonts w:eastAsia="Times New Roman"/>
        </w:rPr>
        <w:pict>
          <v:rect id="_x0000_i1060"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sz w:val="20"/>
          <w:szCs w:val="20"/>
        </w:rPr>
      </w:pPr>
      <w:r>
        <w:rPr>
          <w:sz w:val="20"/>
          <w:szCs w:val="20"/>
        </w:rPr>
        <w:t>On December 7, 2019, we completed the acquisition of certain assets of Rehabilitation Services, Inc., or RSI.  The acquisition resulted in the addition of two residential reentry cen</w:t>
      </w:r>
      <w:r>
        <w:rPr>
          <w:sz w:val="20"/>
          <w:szCs w:val="20"/>
        </w:rPr>
        <w:t>ters in Virginia.  The Ghent Residential Reentry Center, a 36-bed residential reentry center in Norfolk, Virginia and the James River Residential Reentry Center, an 84-bed residential reentry center in Newport News, Virginia provide reentry services for re</w:t>
      </w:r>
      <w:r>
        <w:rPr>
          <w:sz w:val="20"/>
          <w:szCs w:val="20"/>
        </w:rPr>
        <w:t xml:space="preserve">sidents under custody of the BOP.  The residential reentry facilities can also serve an additional 34 home confinement clients on behalf of the BOP. During the three and nine months ended September 30, 2020, these facilities generated net operating income </w:t>
      </w:r>
      <w:r>
        <w:rPr>
          <w:sz w:val="20"/>
          <w:szCs w:val="20"/>
        </w:rPr>
        <w:t>of $0.3 million and $0.8 million, respectively.</w:t>
      </w:r>
    </w:p>
    <w:p w:rsidR="00000000" w:rsidRDefault="005F13FD">
      <w:pPr>
        <w:pStyle w:val="a3"/>
        <w:spacing w:before="240" w:beforeAutospacing="0" w:after="0" w:afterAutospacing="0"/>
        <w:jc w:val="both"/>
        <w:rPr>
          <w:sz w:val="20"/>
          <w:szCs w:val="20"/>
        </w:rPr>
      </w:pPr>
      <w:r>
        <w:rPr>
          <w:sz w:val="20"/>
          <w:szCs w:val="20"/>
        </w:rPr>
        <w:t>Like the CoreCivic Safety segment, our CoreCivic Community segment has been impacted by the COVID-19 pandemic.  Some of our government partners have transferred certain residents assigned to our reentry facil</w:t>
      </w:r>
      <w:r>
        <w:rPr>
          <w:sz w:val="20"/>
          <w:szCs w:val="20"/>
        </w:rPr>
        <w:t>ities to non-residential status, home confinement or early releases, to create additional space for enhanced social distancing within our reentry facilities.  Additionally, similar to our CoreCivic Safety segment, the CoreCivic Community segment has been a</w:t>
      </w:r>
      <w:r>
        <w:rPr>
          <w:sz w:val="20"/>
          <w:szCs w:val="20"/>
        </w:rPr>
        <w:t>dversely impacted by the disruption in court hearings, resulting in a reduction in the number of referrals to our community facilities. Additionally, at some locations, residents are responsible for a portion of the subsistence payments, which could be imp</w:t>
      </w:r>
      <w:r>
        <w:rPr>
          <w:sz w:val="20"/>
          <w:szCs w:val="20"/>
        </w:rPr>
        <w:t>acted by a curtailment in work programs available to them, negatively impacting our revenue to the extent that the government agency does not supplement such payments.  However, it is possible that in the future, government agencies will increase the utili</w:t>
      </w:r>
      <w:r>
        <w:rPr>
          <w:sz w:val="20"/>
          <w:szCs w:val="20"/>
        </w:rPr>
        <w:t>zation of our community facilities or home confinement services, as an alternative to incarceration.  </w:t>
      </w:r>
    </w:p>
    <w:p w:rsidR="00000000" w:rsidRDefault="005F13FD">
      <w:pPr>
        <w:pStyle w:val="a3"/>
        <w:spacing w:before="360" w:beforeAutospacing="0" w:after="0" w:afterAutospacing="0"/>
        <w:jc w:val="both"/>
        <w:rPr>
          <w:i/>
          <w:iCs/>
          <w:sz w:val="20"/>
          <w:szCs w:val="20"/>
        </w:rPr>
      </w:pPr>
      <w:r>
        <w:rPr>
          <w:i/>
          <w:iCs/>
          <w:sz w:val="20"/>
          <w:szCs w:val="20"/>
        </w:rPr>
        <w:t>CoreCivic Properties</w:t>
      </w:r>
    </w:p>
    <w:p w:rsidR="00000000" w:rsidRDefault="005F13FD">
      <w:pPr>
        <w:pStyle w:val="a3"/>
        <w:spacing w:before="120" w:beforeAutospacing="0" w:after="0" w:afterAutospacing="0"/>
        <w:jc w:val="both"/>
        <w:rPr>
          <w:sz w:val="20"/>
          <w:szCs w:val="20"/>
        </w:rPr>
      </w:pPr>
      <w:r>
        <w:rPr>
          <w:sz w:val="20"/>
          <w:szCs w:val="20"/>
        </w:rPr>
        <w:t xml:space="preserve">CoreCivic Properties includes the operating results of the </w:t>
      </w:r>
      <w:r>
        <w:rPr>
          <w:spacing w:val="-2"/>
          <w:sz w:val="20"/>
          <w:szCs w:val="20"/>
        </w:rPr>
        <w:t>properties we leased to third parties and that were used by government agencies during each period.</w:t>
      </w:r>
      <w:r>
        <w:rPr>
          <w:sz w:val="20"/>
          <w:szCs w:val="20"/>
        </w:rPr>
        <w:t>  Total revenue generated by CoreCivic Properties increased $4.3 million, or 21.7%, from $19.8 million in the third quarter of 2019 to $24.1 million in the t</w:t>
      </w:r>
      <w:r>
        <w:rPr>
          <w:sz w:val="20"/>
          <w:szCs w:val="20"/>
        </w:rPr>
        <w:t>hird quarter of 2020, and increased $11.2 million, or 19.3%, from $58.1 million during the nine months ended September 30, 2019 to $69.3 million during the nine months ended September 30, 2020.  CoreCivic Properties' facility net operating income increased</w:t>
      </w:r>
      <w:r>
        <w:rPr>
          <w:sz w:val="20"/>
          <w:szCs w:val="20"/>
        </w:rPr>
        <w:t xml:space="preserve"> $3.1 million, or 23.0%, from $13.6 million in the third quarter of 2019 to $16.7 million in the third quarter of 2020, and increased  $7.3 million, or 18.0%, from $40.7 million during the nine months ended September 30, 2019 to $48.0 million during the ni</w:t>
      </w:r>
      <w:r>
        <w:rPr>
          <w:sz w:val="20"/>
          <w:szCs w:val="20"/>
        </w:rPr>
        <w:t>ne months ended September 30, 2020.  The increases in total revenue and net operating income in both the three- and nine-month periods were primarily the result of the properties we acquired in 2019 and 2020, and due to the commencement of the leases at ou</w:t>
      </w:r>
      <w:r>
        <w:rPr>
          <w:sz w:val="20"/>
          <w:szCs w:val="20"/>
        </w:rPr>
        <w:t>r Lansing Correctional Facility in January 2020 and the Southeast Correctional Complex in July 2020. During the three and nine months ended September 30, 2020, CoreCivic Properties generated 13.9% and 13.0%, respectively, of our total facility net operatin</w:t>
      </w:r>
      <w:r>
        <w:rPr>
          <w:sz w:val="20"/>
          <w:szCs w:val="20"/>
        </w:rPr>
        <w:t>g income, compared with 9.7% and 9.6%, respectively, during the three and nine months ended September 30, 2019.</w:t>
      </w:r>
    </w:p>
    <w:p w:rsidR="00000000" w:rsidRDefault="005F13FD">
      <w:pPr>
        <w:pStyle w:val="a3"/>
        <w:spacing w:before="240" w:beforeAutospacing="0" w:after="0" w:afterAutospacing="0"/>
        <w:jc w:val="both"/>
        <w:rPr>
          <w:sz w:val="20"/>
          <w:szCs w:val="20"/>
        </w:rPr>
      </w:pPr>
      <w:r>
        <w:rPr>
          <w:sz w:val="20"/>
          <w:szCs w:val="20"/>
        </w:rPr>
        <w:t>On May 6, 2019, we completed the acquisition of a 37,000 square-foot office building in Detroit, Michigan, for $7.2 million, excluding transacti</w:t>
      </w:r>
      <w:r>
        <w:rPr>
          <w:sz w:val="20"/>
          <w:szCs w:val="20"/>
        </w:rPr>
        <w:t>on related expenses, that was built-to-suit for the state of Michigan's Department of Health and Human Services, or MDHHS, in 2002.  The property is 100% leased to the Michigan Department of Technology, Management and Budget, or MDTMB, on behalf of MDHHS t</w:t>
      </w:r>
      <w:r>
        <w:rPr>
          <w:sz w:val="20"/>
          <w:szCs w:val="20"/>
        </w:rPr>
        <w:t>hrough June 2028 and includes one six-year renewal option at the sole discretion of the MDTMB.</w:t>
      </w:r>
    </w:p>
    <w:p w:rsidR="00000000" w:rsidRDefault="005F13FD">
      <w:pPr>
        <w:pStyle w:val="a3"/>
        <w:spacing w:before="240" w:beforeAutospacing="0" w:after="0" w:afterAutospacing="0"/>
        <w:jc w:val="both"/>
        <w:rPr>
          <w:sz w:val="20"/>
          <w:szCs w:val="20"/>
        </w:rPr>
      </w:pPr>
      <w:r>
        <w:rPr>
          <w:sz w:val="20"/>
          <w:szCs w:val="20"/>
        </w:rPr>
        <w:t>On December 9, 2019, we entered into a lease with the Commonwealth of Kentucky Department of Corrections, or KYDOC, for our previously idled 656-bed Southeast Co</w:t>
      </w:r>
      <w:r>
        <w:rPr>
          <w:sz w:val="20"/>
          <w:szCs w:val="20"/>
        </w:rPr>
        <w:t>rrectional Complex in Wheelwright, Kentucky, formerly known as the Southeast Kentucky Correctional Facility. The lease commenced July 1, 2020, has an initial term of ten years and includes five two-year renewal options.  The KYDOC has the option to purchas</w:t>
      </w:r>
      <w:r>
        <w:rPr>
          <w:sz w:val="20"/>
          <w:szCs w:val="20"/>
        </w:rPr>
        <w:t xml:space="preserve">e the facility at its fair market value at any time during the term of the lease. During the third quarter of 2020, this facility generated $1.0 million of rental revenue.  The Southeast Correctional facility had previously been idle since 2012. </w:t>
      </w:r>
    </w:p>
    <w:p w:rsidR="00000000" w:rsidRDefault="005F13FD">
      <w:pPr>
        <w:pStyle w:val="a3"/>
        <w:spacing w:before="240" w:beforeAutospacing="0" w:after="0" w:afterAutospacing="0"/>
        <w:jc w:val="both"/>
        <w:rPr>
          <w:sz w:val="20"/>
          <w:szCs w:val="20"/>
        </w:rPr>
      </w:pPr>
      <w:r>
        <w:rPr>
          <w:sz w:val="20"/>
          <w:szCs w:val="20"/>
        </w:rPr>
        <w:t>On Januar</w:t>
      </w:r>
      <w:r>
        <w:rPr>
          <w:sz w:val="20"/>
          <w:szCs w:val="20"/>
        </w:rPr>
        <w:t>y 2, 2020, we completed the acquisition of a portfolio of 28 properties, all of which are leased to the federal government through the General Services Administration, or GSA.  The 445,000 square foot portfolio serves numerous federal agencies, including p</w:t>
      </w:r>
      <w:r>
        <w:rPr>
          <w:sz w:val="20"/>
          <w:szCs w:val="20"/>
        </w:rPr>
        <w:t>rimarily the Social Security Administration, the Department of Homeland Security, and the Office of Hearings Operations.  The 28-property portfolio is strategically located throughout the mid-south, complementing our existing real estate footprint, and eac</w:t>
      </w:r>
      <w:r>
        <w:rPr>
          <w:sz w:val="20"/>
          <w:szCs w:val="20"/>
        </w:rPr>
        <w:t>h property was built-to-suit for its federal tenant.  During the three and nine months ended September 30, 2020, the portfolio of 28 properties generated $2.6 million and $8.0 million, respectively, of rental revenue.</w:t>
      </w:r>
    </w:p>
    <w:p w:rsidR="00000000" w:rsidRDefault="005F13FD">
      <w:pPr>
        <w:pStyle w:val="a3"/>
        <w:spacing w:before="240" w:beforeAutospacing="0" w:after="0" w:afterAutospacing="0"/>
        <w:jc w:val="both"/>
        <w:rPr>
          <w:sz w:val="20"/>
          <w:szCs w:val="20"/>
        </w:rPr>
      </w:pPr>
      <w:r>
        <w:rPr>
          <w:sz w:val="20"/>
          <w:szCs w:val="20"/>
        </w:rPr>
        <w:t>On January 24, 2018, we entered into a</w:t>
      </w:r>
      <w:r>
        <w:rPr>
          <w:sz w:val="20"/>
          <w:szCs w:val="20"/>
        </w:rPr>
        <w:t xml:space="preserve"> 20-year lease agreement with the KDOC for a 2,432-bed correctional facility to be constructed by the Company in Lansing, Kansas.  The new facility replaces the Lansing Correctional Facility, Kansas' largest correctional complex for adult male inmates, ori</w:t>
      </w:r>
      <w:r>
        <w:rPr>
          <w:sz w:val="20"/>
          <w:szCs w:val="20"/>
        </w:rPr>
        <w:t xml:space="preserve">ginally constructed in 1863.  CoreCivic is responsible for facility maintenance throughout the 20-year term of the lease, at which time ownership will revert to the state of Kansas.  Construction of the facility commenced in the first quarter of 2018, and </w:t>
      </w:r>
      <w:r>
        <w:rPr>
          <w:sz w:val="20"/>
          <w:szCs w:val="20"/>
        </w:rPr>
        <w:t>construction was completed in January 2020, at which time the lease commenced. During the nine months ended September 30, 2020, the Lansing Correction Facility generated $1.9 million of revenue associated with the non-lease services components of the arran</w:t>
      </w:r>
      <w:r>
        <w:rPr>
          <w:sz w:val="20"/>
          <w:szCs w:val="20"/>
        </w:rPr>
        <w:t>gement, and $6.1 million of interest income, as further described hereafter.</w:t>
      </w:r>
    </w:p>
    <w:p w:rsidR="00000000" w:rsidRDefault="005F13FD">
      <w:pPr>
        <w:pStyle w:val="a3"/>
        <w:spacing w:before="120" w:beforeAutospacing="0" w:after="0" w:afterAutospacing="0"/>
        <w:jc w:val="both"/>
        <w:rPr>
          <w:sz w:val="20"/>
          <w:szCs w:val="20"/>
        </w:rPr>
      </w:pPr>
      <w:r>
        <w:rPr>
          <w:sz w:val="20"/>
          <w:szCs w:val="20"/>
        </w:rPr>
        <w:t xml:space="preserve">In connection with our decision to revoke our REIT election effective January 1, 2021, we are exploring the potential sale of certain non-core real estate assets in the CoreCivic </w:t>
      </w:r>
      <w:r>
        <w:rPr>
          <w:sz w:val="20"/>
          <w:szCs w:val="20"/>
        </w:rPr>
        <w:t xml:space="preserve">Properties segment, which would allow us to accelerate the implementation of our revised capital allocation strategy, as further described under "Liquidity and Capital Resources" herein.  If we repay mortgage indebtedness with </w:t>
      </w:r>
    </w:p>
    <w:p w:rsidR="00000000" w:rsidRDefault="005F13FD">
      <w:pPr>
        <w:pStyle w:val="a3"/>
        <w:spacing w:before="240" w:beforeAutospacing="0" w:after="0" w:afterAutospacing="0"/>
        <w:jc w:val="center"/>
        <w:rPr>
          <w:sz w:val="20"/>
          <w:szCs w:val="20"/>
        </w:rPr>
      </w:pPr>
      <w:r>
        <w:rPr>
          <w:sz w:val="20"/>
          <w:szCs w:val="20"/>
        </w:rPr>
        <w:t>35</w:t>
      </w:r>
    </w:p>
    <w:p w:rsidR="00000000" w:rsidRDefault="005F13FD">
      <w:pPr>
        <w:rPr>
          <w:rFonts w:eastAsia="Times New Roman"/>
        </w:rPr>
      </w:pPr>
      <w:r>
        <w:rPr>
          <w:rFonts w:eastAsia="Times New Roman"/>
        </w:rPr>
        <w:pict>
          <v:rect id="_x0000_i1061"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120" w:beforeAutospacing="0" w:after="0" w:afterAutospacing="0"/>
        <w:jc w:val="both"/>
        <w:rPr>
          <w:sz w:val="20"/>
          <w:szCs w:val="20"/>
        </w:rPr>
      </w:pPr>
      <w:r>
        <w:rPr>
          <w:sz w:val="20"/>
          <w:szCs w:val="20"/>
        </w:rPr>
        <w:t>proceeds from any such sale of non-core real estate assets securing such debt, we could incur prepayment penalties under the terms of the indebtedness.  Since we are in the exploratory phase, we can provide no assurance that we will successfu</w:t>
      </w:r>
      <w:r>
        <w:rPr>
          <w:sz w:val="20"/>
          <w:szCs w:val="20"/>
        </w:rPr>
        <w:t>lly identify and consummate any sale of such non-core real estate assets.</w:t>
      </w:r>
    </w:p>
    <w:p w:rsidR="00000000" w:rsidRDefault="005F13FD">
      <w:pPr>
        <w:pStyle w:val="a3"/>
        <w:spacing w:before="360" w:beforeAutospacing="0" w:after="0" w:afterAutospacing="0"/>
        <w:jc w:val="both"/>
        <w:rPr>
          <w:b/>
          <w:bCs/>
          <w:i/>
          <w:iCs/>
          <w:sz w:val="20"/>
          <w:szCs w:val="20"/>
        </w:rPr>
      </w:pPr>
      <w:r>
        <w:rPr>
          <w:b/>
          <w:bCs/>
          <w:i/>
          <w:iCs/>
          <w:sz w:val="20"/>
          <w:szCs w:val="20"/>
        </w:rPr>
        <w:t>General and administrative expenses</w:t>
      </w:r>
    </w:p>
    <w:p w:rsidR="00000000" w:rsidRDefault="005F13FD">
      <w:pPr>
        <w:pStyle w:val="a3"/>
        <w:spacing w:before="120" w:beforeAutospacing="0" w:after="0" w:afterAutospacing="0"/>
        <w:jc w:val="both"/>
        <w:rPr>
          <w:sz w:val="20"/>
          <w:szCs w:val="20"/>
        </w:rPr>
      </w:pPr>
      <w:r>
        <w:rPr>
          <w:sz w:val="20"/>
          <w:szCs w:val="20"/>
        </w:rPr>
        <w:t>For the three months ended September 30, 2020 and 2019, general and administrative expenses totaled $35.9 million and $32.0 million, respectively,</w:t>
      </w:r>
      <w:r>
        <w:rPr>
          <w:sz w:val="20"/>
          <w:szCs w:val="20"/>
        </w:rPr>
        <w:t xml:space="preserve"> while general and administrative expenses totaled $97.3 million and $94.8 million, respectively, during the nine months ended September 30, 2020 and 2019. General and administrative expenses consist primarily of corporate management salaries and benefits,</w:t>
      </w:r>
      <w:r>
        <w:rPr>
          <w:sz w:val="20"/>
          <w:szCs w:val="20"/>
        </w:rPr>
        <w:t xml:space="preserve"> professional fees, including those associated with mergers and acquisitions, or M&amp;A, and expenses associated with changes in our corporate tax structure, as well as other administrative expenses.  General and administrative expenses increased from the pri</w:t>
      </w:r>
      <w:r>
        <w:rPr>
          <w:sz w:val="20"/>
          <w:szCs w:val="20"/>
        </w:rPr>
        <w:t>or year periods primarily as a result of expenses associated with changes in our corporate tax structure amounting to $4.7 million and $5.0 million, respectively, for the three and nine months ended September 30, 2020.  </w:t>
      </w:r>
    </w:p>
    <w:p w:rsidR="00000000" w:rsidRDefault="005F13FD">
      <w:pPr>
        <w:pStyle w:val="a3"/>
        <w:spacing w:before="360" w:beforeAutospacing="0" w:after="0" w:afterAutospacing="0"/>
        <w:jc w:val="both"/>
        <w:rPr>
          <w:b/>
          <w:bCs/>
          <w:i/>
          <w:iCs/>
          <w:sz w:val="20"/>
          <w:szCs w:val="20"/>
        </w:rPr>
      </w:pPr>
      <w:r>
        <w:rPr>
          <w:b/>
          <w:bCs/>
          <w:i/>
          <w:iCs/>
          <w:sz w:val="20"/>
          <w:szCs w:val="20"/>
        </w:rPr>
        <w:t>Depreciation and amortization</w:t>
      </w:r>
    </w:p>
    <w:p w:rsidR="00000000" w:rsidRDefault="005F13FD">
      <w:pPr>
        <w:pStyle w:val="a3"/>
        <w:spacing w:before="120" w:beforeAutospacing="0" w:after="0" w:afterAutospacing="0"/>
        <w:jc w:val="both"/>
        <w:rPr>
          <w:sz w:val="20"/>
          <w:szCs w:val="20"/>
        </w:rPr>
      </w:pPr>
      <w:r>
        <w:rPr>
          <w:sz w:val="20"/>
          <w:szCs w:val="20"/>
        </w:rPr>
        <w:t>For t</w:t>
      </w:r>
      <w:r>
        <w:rPr>
          <w:sz w:val="20"/>
          <w:szCs w:val="20"/>
        </w:rPr>
        <w:t xml:space="preserve">he three months ended September 30, 2020 and 2019, depreciation and amortization expense totaled $37.9 million and $36.7 million, respectively, while depreciation and amortization expense totaled $114.4 million and $107.8 million, respectively, during the </w:t>
      </w:r>
      <w:r>
        <w:rPr>
          <w:sz w:val="20"/>
          <w:szCs w:val="20"/>
        </w:rPr>
        <w:t>nine months ended September 30, 2020 and 2019. The increase in depreciation and amortization expense is primarily due to the additional depreciation and amortization resulting from our M&amp;A activities during 2019 and 2020.  </w:t>
      </w:r>
    </w:p>
    <w:p w:rsidR="00000000" w:rsidRDefault="005F13FD">
      <w:pPr>
        <w:pStyle w:val="a3"/>
        <w:spacing w:before="360" w:beforeAutospacing="0" w:after="0" w:afterAutospacing="0"/>
        <w:jc w:val="both"/>
        <w:rPr>
          <w:b/>
          <w:bCs/>
          <w:i/>
          <w:iCs/>
          <w:sz w:val="20"/>
          <w:szCs w:val="20"/>
        </w:rPr>
      </w:pPr>
      <w:r>
        <w:rPr>
          <w:b/>
          <w:bCs/>
          <w:i/>
          <w:iCs/>
          <w:sz w:val="20"/>
          <w:szCs w:val="20"/>
        </w:rPr>
        <w:t>Contingent consideration for acquisition of businesses</w:t>
      </w:r>
    </w:p>
    <w:p w:rsidR="00000000" w:rsidRDefault="005F13FD">
      <w:pPr>
        <w:pStyle w:val="a3"/>
        <w:spacing w:before="120" w:beforeAutospacing="0" w:after="0" w:afterAutospacing="0"/>
        <w:jc w:val="both"/>
        <w:rPr>
          <w:color w:val="000000"/>
          <w:sz w:val="20"/>
          <w:szCs w:val="20"/>
        </w:rPr>
      </w:pPr>
      <w:r>
        <w:rPr>
          <w:color w:val="000000"/>
          <w:sz w:val="20"/>
          <w:szCs w:val="20"/>
        </w:rPr>
        <w:t xml:space="preserve">As a result of better than estimated financial performance of two residential reentry centers acquired in 2019, during the third quarter of 2020, we recognized a charge of $0.6 million for the maximum </w:t>
      </w:r>
      <w:r>
        <w:rPr>
          <w:color w:val="000000"/>
          <w:sz w:val="20"/>
          <w:szCs w:val="20"/>
        </w:rPr>
        <w:t>contingent consideration estimated as owed to the seller associated with the acquisition.  The contingent consideration is expected to be paid during the first quarter of 2021.</w:t>
      </w:r>
    </w:p>
    <w:p w:rsidR="00000000" w:rsidRDefault="005F13FD">
      <w:pPr>
        <w:pStyle w:val="a3"/>
        <w:spacing w:before="360" w:beforeAutospacing="0" w:after="0" w:afterAutospacing="0"/>
        <w:jc w:val="both"/>
        <w:rPr>
          <w:b/>
          <w:bCs/>
          <w:i/>
          <w:iCs/>
          <w:sz w:val="20"/>
          <w:szCs w:val="20"/>
        </w:rPr>
      </w:pPr>
      <w:r>
        <w:rPr>
          <w:b/>
          <w:bCs/>
          <w:i/>
          <w:iCs/>
          <w:sz w:val="20"/>
          <w:szCs w:val="20"/>
        </w:rPr>
        <w:t>Interest expense, net</w:t>
      </w:r>
    </w:p>
    <w:p w:rsidR="00000000" w:rsidRDefault="005F13FD">
      <w:pPr>
        <w:pStyle w:val="a3"/>
        <w:spacing w:before="120" w:beforeAutospacing="0" w:after="0" w:afterAutospacing="0"/>
        <w:jc w:val="both"/>
        <w:rPr>
          <w:sz w:val="20"/>
          <w:szCs w:val="20"/>
        </w:rPr>
      </w:pPr>
      <w:r>
        <w:rPr>
          <w:sz w:val="20"/>
          <w:szCs w:val="20"/>
        </w:rPr>
        <w:t>Interest expense is reported net of interest income and c</w:t>
      </w:r>
      <w:r>
        <w:rPr>
          <w:sz w:val="20"/>
          <w:szCs w:val="20"/>
        </w:rPr>
        <w:t>apitalized interest for the three and nine months ended September 30, 2020 and 2019.  Gross interest expense, net of capitalized interest, was $22.8 million and $21.4 million for the three months ended September 30, 2020 and 2019, respectively, and was $71</w:t>
      </w:r>
      <w:r>
        <w:rPr>
          <w:sz w:val="20"/>
          <w:szCs w:val="20"/>
        </w:rPr>
        <w:t>.2 million and $64.7 million for the nine months ended September 30, 2020 and 2019, respectively. Gross interest expense is based on outstanding borrowings under our revolving credit facility, our outstanding Incremental Term Loan A, or Term Loan A, our ou</w:t>
      </w:r>
      <w:r>
        <w:rPr>
          <w:sz w:val="20"/>
          <w:szCs w:val="20"/>
        </w:rPr>
        <w:t>tstanding $250.00 million Senior Secured Term Loan B, or Term Loan B, as further described hereafter, our outstanding senior notes, and our outstanding non-recourse mortgage notes, as well as the amortization of loan costs and unused facility fees.  The in</w:t>
      </w:r>
      <w:r>
        <w:rPr>
          <w:sz w:val="20"/>
          <w:szCs w:val="20"/>
        </w:rPr>
        <w:t>crease in gross interest expense primarily resulted from an increase in the average outstanding balance on our revolving credit facility, and the interest expense associated with the Term Loan B and the new non-recourse mortgage note assumed during 2020, a</w:t>
      </w:r>
      <w:r>
        <w:rPr>
          <w:sz w:val="20"/>
          <w:szCs w:val="20"/>
        </w:rPr>
        <w:t>s further described hereafter.    </w:t>
      </w:r>
    </w:p>
    <w:p w:rsidR="00000000" w:rsidRDefault="005F13FD">
      <w:pPr>
        <w:pStyle w:val="a3"/>
        <w:spacing w:before="240" w:beforeAutospacing="0" w:after="0" w:afterAutospacing="0"/>
        <w:jc w:val="both"/>
        <w:rPr>
          <w:sz w:val="20"/>
          <w:szCs w:val="20"/>
        </w:rPr>
      </w:pPr>
      <w:r>
        <w:rPr>
          <w:sz w:val="20"/>
          <w:szCs w:val="20"/>
        </w:rPr>
        <w:t>We have benefited from relatively low interest rates on our revolving credit facility, which is largely based on the London Interbank Offered Rate, or LIBOR.  Based on our total leverage ratio, borrowings under our revolv</w:t>
      </w:r>
      <w:r>
        <w:rPr>
          <w:sz w:val="20"/>
          <w:szCs w:val="20"/>
        </w:rPr>
        <w:t>ing credit facility during 2019 and the first nine months of 2020 were at the base rate plus a margin of 0.50% or at LIBOR plus a margin of 1.50%, and a commitment fee equal to 0.35% of the unfunded balance. Interest rates under the Term Loan A are the sam</w:t>
      </w:r>
      <w:r>
        <w:rPr>
          <w:sz w:val="20"/>
          <w:szCs w:val="20"/>
        </w:rPr>
        <w:t>e as the interest rates under our revolving credit facility.</w:t>
      </w:r>
    </w:p>
    <w:p w:rsidR="00000000" w:rsidRDefault="005F13FD">
      <w:pPr>
        <w:pStyle w:val="a3"/>
        <w:spacing w:before="240" w:beforeAutospacing="0" w:after="0" w:afterAutospacing="0"/>
        <w:jc w:val="both"/>
        <w:rPr>
          <w:color w:val="000000"/>
          <w:sz w:val="20"/>
          <w:szCs w:val="20"/>
        </w:rPr>
      </w:pPr>
      <w:r>
        <w:rPr>
          <w:color w:val="000000"/>
          <w:sz w:val="20"/>
          <w:szCs w:val="20"/>
        </w:rPr>
        <w:t>On April 20, 2018, CoreCivic of Kansas, LLC, a wholly-owned unrestricted subsidiary of ours, priced $159.5 million in aggregate principal amount of non-recourse senior secured notes, or the Kansa</w:t>
      </w:r>
      <w:r>
        <w:rPr>
          <w:color w:val="000000"/>
          <w:sz w:val="20"/>
          <w:szCs w:val="20"/>
        </w:rPr>
        <w:t>s Notes, in a private placement pursuant to Section 4(a)(2) of the Securities Act of 1933, as amended, or the Securities Act.  The private placement closed on June 1, 2018. We used the proceeds of the private placement, which were drawn on quarterly fundin</w:t>
      </w:r>
      <w:r>
        <w:rPr>
          <w:color w:val="000000"/>
          <w:sz w:val="20"/>
          <w:szCs w:val="20"/>
        </w:rPr>
        <w:t>g dates beginning in the second quarter of 2018, to fund construction of the Lansing Correctional Facility, along with costs and expenses of the project.  The Kansas Notes have a yield to maturity of 4.43% and are scheduled to mature in January 2040, 20 ye</w:t>
      </w:r>
      <w:r>
        <w:rPr>
          <w:color w:val="000000"/>
          <w:sz w:val="20"/>
          <w:szCs w:val="20"/>
        </w:rPr>
        <w:t>ars following completion of the project, which occurred in January 2020.  We capitalized $1.4 million and $3.4 million of interest during the three and nine months ended September 30, 2019, respectively, and $0.5 million in 2020 through the date constructi</w:t>
      </w:r>
      <w:r>
        <w:rPr>
          <w:color w:val="000000"/>
          <w:sz w:val="20"/>
          <w:szCs w:val="20"/>
        </w:rPr>
        <w:t>on was complete in January 2020, associated with this construction project.  During the three and nine months ended September 30, 2020, we incurred $1.8 million and $4.9 million, respectively, of interest expense on the Kansas Notes, net of capitalized int</w:t>
      </w:r>
      <w:r>
        <w:rPr>
          <w:color w:val="000000"/>
          <w:sz w:val="20"/>
          <w:szCs w:val="20"/>
        </w:rPr>
        <w:t>erest.</w:t>
      </w:r>
    </w:p>
    <w:p w:rsidR="00000000" w:rsidRDefault="005F13FD">
      <w:pPr>
        <w:pStyle w:val="a3"/>
        <w:spacing w:before="240" w:beforeAutospacing="0" w:after="0" w:afterAutospacing="0"/>
        <w:jc w:val="both"/>
        <w:rPr>
          <w:sz w:val="20"/>
          <w:szCs w:val="20"/>
        </w:rPr>
      </w:pPr>
      <w:r>
        <w:rPr>
          <w:sz w:val="20"/>
          <w:szCs w:val="20"/>
        </w:rPr>
        <w:t>On December 18, 2019, we entered into a new Term Loan B which bears interest at a rate of LIBOR plus 4.50%, with a 1.00% LIBOR floor (or, at our option, a base rate plus 3.50%), and has a five-year maturity with scheduled quarterly principal payment</w:t>
      </w:r>
      <w:r>
        <w:rPr>
          <w:sz w:val="20"/>
          <w:szCs w:val="20"/>
        </w:rPr>
        <w:t>s through December 2024.  The Term Loan B is secured by a first lien on certain specified real property assets, representing a loan-to-value of no greater than 80%.  We can prepay the Term Loan B at any time and from time to time, without premium or penalt</w:t>
      </w:r>
      <w:r>
        <w:rPr>
          <w:sz w:val="20"/>
          <w:szCs w:val="20"/>
        </w:rPr>
        <w:t xml:space="preserve">y, except that a </w:t>
      </w:r>
    </w:p>
    <w:p w:rsidR="00000000" w:rsidRDefault="005F13FD">
      <w:pPr>
        <w:pStyle w:val="a3"/>
        <w:spacing w:before="240" w:beforeAutospacing="0" w:after="0" w:afterAutospacing="0"/>
        <w:jc w:val="center"/>
        <w:rPr>
          <w:sz w:val="20"/>
          <w:szCs w:val="20"/>
        </w:rPr>
      </w:pPr>
      <w:r>
        <w:rPr>
          <w:sz w:val="20"/>
          <w:szCs w:val="20"/>
        </w:rPr>
        <w:t>36</w:t>
      </w:r>
    </w:p>
    <w:p w:rsidR="00000000" w:rsidRDefault="005F13FD">
      <w:pPr>
        <w:rPr>
          <w:rFonts w:eastAsia="Times New Roman"/>
        </w:rPr>
      </w:pPr>
      <w:r>
        <w:rPr>
          <w:rFonts w:eastAsia="Times New Roman"/>
        </w:rPr>
        <w:pict>
          <v:rect id="_x0000_i1062"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sz w:val="20"/>
          <w:szCs w:val="20"/>
        </w:rPr>
      </w:pPr>
      <w:r>
        <w:rPr>
          <w:sz w:val="20"/>
          <w:szCs w:val="20"/>
        </w:rPr>
        <w:t>premium of 1.0% of the amount prepaid must accompany any prepayment made prior to December 18, 2020, with the proceeds of any new or replacement tranche of term loans that are in the nature of wha</w:t>
      </w:r>
      <w:r>
        <w:rPr>
          <w:sz w:val="20"/>
          <w:szCs w:val="20"/>
        </w:rPr>
        <w:t>t are commonly referred to as "B" term loans and that bear interest with an all-in yield less than the all-in yield applicable to the Term Loan B. The 1.0% prepayment premium is also payable in respect of certain repricing events occurring prior to Decembe</w:t>
      </w:r>
      <w:r>
        <w:rPr>
          <w:sz w:val="20"/>
          <w:szCs w:val="20"/>
        </w:rPr>
        <w:t xml:space="preserve">r 18, 2020.  Proceeds from the issuance of the Term Loan B were used to partially fund the early redemption of </w:t>
      </w:r>
      <w:r>
        <w:rPr>
          <w:color w:val="000000"/>
          <w:sz w:val="20"/>
          <w:szCs w:val="20"/>
        </w:rPr>
        <w:t>our $325.0 million in aggregate principal amount of 4.125% senior notes originally due in April 2020.</w:t>
      </w:r>
      <w:r>
        <w:rPr>
          <w:sz w:val="20"/>
          <w:szCs w:val="20"/>
        </w:rPr>
        <w:t xml:space="preserve"> </w:t>
      </w:r>
    </w:p>
    <w:p w:rsidR="00000000" w:rsidRDefault="005F13FD">
      <w:pPr>
        <w:pStyle w:val="a3"/>
        <w:spacing w:before="240" w:beforeAutospacing="0" w:after="0" w:afterAutospacing="0"/>
        <w:jc w:val="both"/>
        <w:rPr>
          <w:sz w:val="20"/>
          <w:szCs w:val="20"/>
        </w:rPr>
      </w:pPr>
      <w:r>
        <w:rPr>
          <w:sz w:val="20"/>
          <w:szCs w:val="20"/>
        </w:rPr>
        <w:t>On January 2, 2020, we completed the acqui</w:t>
      </w:r>
      <w:r>
        <w:rPr>
          <w:sz w:val="20"/>
          <w:szCs w:val="20"/>
        </w:rPr>
        <w:t>sition of a portfolio of 28 properties, 24 of which the counter-party contributed to a newly formed partnership of ours, for total consideration of $83.2 million.   In connection with the acquisition, a wholly-owned subsidiary of Government Real Estate Sol</w:t>
      </w:r>
      <w:r>
        <w:rPr>
          <w:sz w:val="20"/>
          <w:szCs w:val="20"/>
        </w:rPr>
        <w:t>utions, LLC, or GRES, an unrestricted subsidiary we control, assumed $52.2 million of in-place financing.  The assumed non-recourse mortgage note, or the GRES Note, carries a fixed interest rate of 4.91% and requires monthly principal and interest payments</w:t>
      </w:r>
      <w:r>
        <w:rPr>
          <w:sz w:val="20"/>
          <w:szCs w:val="20"/>
        </w:rPr>
        <w:t>, with a balloon payment of $46.2 million due at maturity in November 2025.  The GRES Note continues to be fully-secured by the same 24 properties originally pledged as collateral at the time the debt was issued.</w:t>
      </w:r>
    </w:p>
    <w:p w:rsidR="00000000" w:rsidRDefault="005F13FD">
      <w:pPr>
        <w:pStyle w:val="a3"/>
        <w:spacing w:before="240" w:beforeAutospacing="0" w:after="0" w:afterAutospacing="0"/>
        <w:jc w:val="both"/>
        <w:rPr>
          <w:sz w:val="20"/>
          <w:szCs w:val="20"/>
        </w:rPr>
      </w:pPr>
      <w:r>
        <w:rPr>
          <w:sz w:val="20"/>
          <w:szCs w:val="20"/>
        </w:rPr>
        <w:t xml:space="preserve">Gross interest income was $2.6 million and </w:t>
      </w:r>
      <w:r>
        <w:rPr>
          <w:sz w:val="20"/>
          <w:szCs w:val="20"/>
        </w:rPr>
        <w:t>$0.4 million for the three months ended September 30, 2020 and 2019, respectively, and was $7.5 million and $1.6 million for the nine months ended September 30, 2020 and 2019, respectively.  Gross interest income is earned on notes receivable, investments,</w:t>
      </w:r>
      <w:r>
        <w:rPr>
          <w:sz w:val="20"/>
          <w:szCs w:val="20"/>
        </w:rPr>
        <w:t xml:space="preserve"> cash and cash equivalents, and restricted cash.  Interest income also includes interest income associated with the 20-year finance receivable associated with the Lansing Correctional Facility lease to the KDOC, which commenced in January 2020, and amounte</w:t>
      </w:r>
      <w:r>
        <w:rPr>
          <w:sz w:val="20"/>
          <w:szCs w:val="20"/>
        </w:rPr>
        <w:t>d to $2.2 million and $6.1 million for the three and nine months ended September 30, 2020, respectively.  Total capitalized interest was $1.6 million during the three months ended September 30, 2019, and was $0.5 million and $4.3 million during the nine mo</w:t>
      </w:r>
      <w:r>
        <w:rPr>
          <w:sz w:val="20"/>
          <w:szCs w:val="20"/>
        </w:rPr>
        <w:t>nths ended September 30, 2020 and 2019, respectively. There was no interest capitalized during the third quarter of 2020. Capitalized interest was primarily associated with the construction of the Lansing Correctional Facility.  </w:t>
      </w:r>
    </w:p>
    <w:p w:rsidR="00000000" w:rsidRDefault="005F13FD">
      <w:pPr>
        <w:pStyle w:val="a3"/>
        <w:spacing w:before="360" w:beforeAutospacing="0" w:after="0" w:afterAutospacing="0"/>
        <w:jc w:val="both"/>
        <w:rPr>
          <w:b/>
          <w:bCs/>
          <w:i/>
          <w:iCs/>
          <w:sz w:val="20"/>
          <w:szCs w:val="20"/>
        </w:rPr>
      </w:pPr>
      <w:r>
        <w:rPr>
          <w:b/>
          <w:bCs/>
          <w:i/>
          <w:iCs/>
          <w:sz w:val="20"/>
          <w:szCs w:val="20"/>
        </w:rPr>
        <w:t>Income tax expense</w:t>
      </w:r>
    </w:p>
    <w:p w:rsidR="00000000" w:rsidRDefault="005F13FD">
      <w:pPr>
        <w:pStyle w:val="a3"/>
        <w:spacing w:before="120" w:beforeAutospacing="0" w:after="0" w:afterAutospacing="0"/>
        <w:jc w:val="both"/>
        <w:rPr>
          <w:spacing w:val="-2"/>
          <w:sz w:val="20"/>
          <w:szCs w:val="20"/>
        </w:rPr>
      </w:pPr>
      <w:r>
        <w:rPr>
          <w:spacing w:val="-2"/>
          <w:sz w:val="20"/>
          <w:szCs w:val="20"/>
        </w:rPr>
        <w:t>As a RE</w:t>
      </w:r>
      <w:r>
        <w:rPr>
          <w:spacing w:val="-2"/>
          <w:sz w:val="20"/>
          <w:szCs w:val="20"/>
        </w:rPr>
        <w:t xml:space="preserve">IT, we are entitled to a deduction for dividends paid, resulting in a substantial reduction in the amount of federal income tax expense we recognize.  Substantially all of our income tax expense is currently incurred based on the earnings generated by our </w:t>
      </w:r>
      <w:r>
        <w:rPr>
          <w:spacing w:val="-2"/>
          <w:sz w:val="20"/>
          <w:szCs w:val="20"/>
        </w:rPr>
        <w:t>TRSs.  Our overall effective tax rate is based on the taxable income primarily generated by our TRSs.  Our consolidated effective tax rate could fluctuate in the future based on changes in estimates of taxable income, the relative amounts of taxable income</w:t>
      </w:r>
      <w:r>
        <w:rPr>
          <w:spacing w:val="-2"/>
          <w:sz w:val="20"/>
          <w:szCs w:val="20"/>
        </w:rPr>
        <w:t xml:space="preserve"> generated by the TRSs and the REIT, the implementation of additional tax planning strategies, changes in federal or state tax rates or laws affecting tax credits available to us, changes in other tax laws, changes in estimates related to uncertain tax pos</w:t>
      </w:r>
      <w:r>
        <w:rPr>
          <w:spacing w:val="-2"/>
          <w:sz w:val="20"/>
          <w:szCs w:val="20"/>
        </w:rPr>
        <w:t>itions, or changes in state apportionment factors, as well as changes in the valuation allowance applied to our deferred tax assets that are based primarily on the amount of state net operating losses and tax credits that could expire unused.</w:t>
      </w:r>
    </w:p>
    <w:p w:rsidR="00000000" w:rsidRDefault="005F13FD">
      <w:pPr>
        <w:pStyle w:val="a3"/>
        <w:spacing w:before="240" w:beforeAutospacing="0" w:after="0" w:afterAutospacing="0"/>
        <w:jc w:val="both"/>
        <w:rPr>
          <w:sz w:val="20"/>
          <w:szCs w:val="20"/>
        </w:rPr>
      </w:pPr>
      <w:r>
        <w:rPr>
          <w:sz w:val="20"/>
          <w:szCs w:val="20"/>
        </w:rPr>
        <w:t xml:space="preserve">On August 5, </w:t>
      </w:r>
      <w:r>
        <w:rPr>
          <w:sz w:val="20"/>
          <w:szCs w:val="20"/>
        </w:rPr>
        <w:t>2020, we announced that our BOD unanimously approved a plan to revoke our REIT election and become a taxable C Corporation, effective January 1, 2021.  As a result, we will no longer be required to operate under REIT rules, including the requirement to dis</w:t>
      </w:r>
      <w:r>
        <w:rPr>
          <w:sz w:val="20"/>
          <w:szCs w:val="20"/>
        </w:rPr>
        <w:t>tribute at least 90% of our taxable income to our stockholders, which will provide us with greater flexibility to use our free cash flow.  Beginning January 1, 2021, we will be subject to federal and state income taxes on our taxable income at applicable t</w:t>
      </w:r>
      <w:r>
        <w:rPr>
          <w:sz w:val="20"/>
          <w:szCs w:val="20"/>
        </w:rPr>
        <w:t>ax rates, and will no longer be entitled to a tax deduction for dividends paid</w:t>
      </w:r>
      <w:r>
        <w:rPr>
          <w:sz w:val="23"/>
          <w:szCs w:val="23"/>
        </w:rPr>
        <w:t xml:space="preserve">. </w:t>
      </w:r>
      <w:r>
        <w:rPr>
          <w:sz w:val="20"/>
          <w:szCs w:val="20"/>
        </w:rPr>
        <w:t>The revocation of our REIT election will also result in a revaluation of our net deferred tax liabilities, resulting in a material income tax charge in the period we complete a</w:t>
      </w:r>
      <w:r>
        <w:rPr>
          <w:sz w:val="20"/>
          <w:szCs w:val="20"/>
        </w:rPr>
        <w:t>ll significant actions necessary to revoke our REIT election, currently anticipated to occur in the first quarter of 2021.  We have not yet completed our estimate of such charge.</w:t>
      </w:r>
      <w:r>
        <w:rPr>
          <w:sz w:val="23"/>
          <w:szCs w:val="23"/>
        </w:rPr>
        <w:t xml:space="preserve"> </w:t>
      </w:r>
      <w:r>
        <w:rPr>
          <w:sz w:val="20"/>
          <w:szCs w:val="20"/>
        </w:rPr>
        <w:t>We will</w:t>
      </w:r>
      <w:r>
        <w:rPr>
          <w:sz w:val="23"/>
          <w:szCs w:val="23"/>
        </w:rPr>
        <w:t xml:space="preserve"> </w:t>
      </w:r>
      <w:r>
        <w:rPr>
          <w:sz w:val="20"/>
          <w:szCs w:val="20"/>
        </w:rPr>
        <w:t>continue to operate as a REIT for the remainder of the 2020 tax year,</w:t>
      </w:r>
      <w:r>
        <w:rPr>
          <w:sz w:val="20"/>
          <w:szCs w:val="20"/>
        </w:rPr>
        <w:t xml:space="preserve"> and existing REIT requirements and limitations, including those established by our organizational documents, will remain in place until January 1, 2021.  Our BOD also announced that we are discontinuing our quarterly dividend and prioritizing the allocati</w:t>
      </w:r>
      <w:r>
        <w:rPr>
          <w:sz w:val="20"/>
          <w:szCs w:val="20"/>
        </w:rPr>
        <w:t>on of our free cash flow to debt reduction.</w:t>
      </w:r>
      <w:r>
        <w:rPr>
          <w:sz w:val="23"/>
          <w:szCs w:val="23"/>
        </w:rPr>
        <w:t xml:space="preserve"> </w:t>
      </w:r>
    </w:p>
    <w:p w:rsidR="00000000" w:rsidRDefault="005F13FD">
      <w:pPr>
        <w:pStyle w:val="a3"/>
        <w:spacing w:before="240" w:beforeAutospacing="0" w:after="0" w:afterAutospacing="0"/>
        <w:jc w:val="both"/>
        <w:rPr>
          <w:spacing w:val="-2"/>
          <w:sz w:val="20"/>
          <w:szCs w:val="20"/>
        </w:rPr>
      </w:pPr>
      <w:r>
        <w:rPr>
          <w:spacing w:val="-2"/>
          <w:sz w:val="20"/>
          <w:szCs w:val="20"/>
        </w:rPr>
        <w:t>During the three months ended September 30, 2020 and 2019, our financial statements reflected income tax expense of $0.4 million and $1.5 million, respectively.  During the nine months ended September 30, 2020 a</w:t>
      </w:r>
      <w:r>
        <w:rPr>
          <w:spacing w:val="-2"/>
          <w:sz w:val="20"/>
          <w:szCs w:val="20"/>
        </w:rPr>
        <w:t>nd 2019, our financial statements reflected income tax expense of $3.2 million and $5.9 million, respectively.  Our effective tax rate was 3.7% and 3.9% during the nine months ended September 30, 2020 and 2019, respectively. Income tax expense during the n</w:t>
      </w:r>
      <w:r>
        <w:rPr>
          <w:spacing w:val="-2"/>
          <w:sz w:val="20"/>
          <w:szCs w:val="20"/>
        </w:rPr>
        <w:t>ine months ended September 30, 2020 included $3.1 million, recorded in the first quarter of 2020, that had been deferred during the construction period of our Lansing Correctional Facility, which was owned by a TRS of ours until it converted to a qualified</w:t>
      </w:r>
      <w:r>
        <w:rPr>
          <w:spacing w:val="-2"/>
          <w:sz w:val="20"/>
          <w:szCs w:val="20"/>
        </w:rPr>
        <w:t xml:space="preserve"> REIT subsidiary, or QRS, upon completion of construction in the first quarter of 2020.  Because ownership of this facility reverts to the state of Kansas upon expiration of the twenty-year lease, the construction and subsequent lease of the facility to th</w:t>
      </w:r>
      <w:r>
        <w:rPr>
          <w:spacing w:val="-2"/>
          <w:sz w:val="20"/>
          <w:szCs w:val="20"/>
        </w:rPr>
        <w:t>e State was a deemed sale for federal and state income tax purposes.  The gain on sale was reported as a deferred tax asset based on the percentage of completion method over the construction period.  This deferred tax asset was revalued to zero upon conver</w:t>
      </w:r>
      <w:r>
        <w:rPr>
          <w:spacing w:val="-2"/>
          <w:sz w:val="20"/>
          <w:szCs w:val="20"/>
        </w:rPr>
        <w:t>sion of the TRS to a QRS. Aside from this charge, income tax expense during 2020 decreased due to lower occupancy levels at several facilities resulting from COVID-19.</w:t>
      </w:r>
    </w:p>
    <w:p w:rsidR="00000000" w:rsidRDefault="005F13FD">
      <w:pPr>
        <w:pStyle w:val="a3"/>
        <w:spacing w:before="240" w:beforeAutospacing="0" w:after="0" w:afterAutospacing="0"/>
        <w:jc w:val="center"/>
        <w:rPr>
          <w:sz w:val="20"/>
          <w:szCs w:val="20"/>
        </w:rPr>
      </w:pPr>
      <w:r>
        <w:rPr>
          <w:sz w:val="20"/>
          <w:szCs w:val="20"/>
        </w:rPr>
        <w:t>37</w:t>
      </w:r>
    </w:p>
    <w:p w:rsidR="00000000" w:rsidRDefault="005F13FD">
      <w:pPr>
        <w:rPr>
          <w:rFonts w:eastAsia="Times New Roman"/>
        </w:rPr>
      </w:pPr>
      <w:r>
        <w:rPr>
          <w:rFonts w:eastAsia="Times New Roman"/>
        </w:rPr>
        <w:pict>
          <v:rect id="_x0000_i1063"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360" w:beforeAutospacing="0" w:after="0" w:afterAutospacing="0"/>
        <w:jc w:val="both"/>
        <w:rPr>
          <w:b/>
          <w:bCs/>
          <w:sz w:val="20"/>
          <w:szCs w:val="20"/>
        </w:rPr>
      </w:pPr>
      <w:r>
        <w:rPr>
          <w:b/>
          <w:bCs/>
          <w:sz w:val="20"/>
          <w:szCs w:val="20"/>
        </w:rPr>
        <w:t>LIQUIDITY AND CAPITAL RESOURCES</w:t>
      </w:r>
    </w:p>
    <w:p w:rsidR="00000000" w:rsidRDefault="005F13FD">
      <w:pPr>
        <w:pStyle w:val="a3"/>
        <w:spacing w:before="120" w:beforeAutospacing="0" w:after="0" w:afterAutospacing="0"/>
        <w:jc w:val="both"/>
        <w:rPr>
          <w:sz w:val="20"/>
          <w:szCs w:val="20"/>
        </w:rPr>
      </w:pPr>
      <w:r>
        <w:rPr>
          <w:sz w:val="20"/>
          <w:szCs w:val="20"/>
        </w:rPr>
        <w:t xml:space="preserve">Our principal </w:t>
      </w:r>
      <w:r>
        <w:rPr>
          <w:sz w:val="20"/>
          <w:szCs w:val="20"/>
        </w:rPr>
        <w:t>capital requirements are for working capital, stockholder distributions, capital expenditures, and debt service payments.  Capital requirements may also include cash expenditures associated with our outstanding commitments and contingencies, as further dis</w:t>
      </w:r>
      <w:r>
        <w:rPr>
          <w:sz w:val="20"/>
          <w:szCs w:val="20"/>
        </w:rPr>
        <w:t>cussed in the notes to our financial statements.  Additionally, our capital expenditures may include M&amp;A activities that will enable us to further expand our network of residential reentry centers and acquire other businesses that provide complementary ser</w:t>
      </w:r>
      <w:r>
        <w:rPr>
          <w:sz w:val="20"/>
          <w:szCs w:val="20"/>
        </w:rPr>
        <w:t>vices. We will continue to pursue opportunities to help our government partners meet their infrastructure needs, primarily through the development and redevelopment of criminal justice sector assets that we believe have favorable investment returns, divers</w:t>
      </w:r>
      <w:r>
        <w:rPr>
          <w:sz w:val="20"/>
          <w:szCs w:val="20"/>
        </w:rPr>
        <w:t>ify our cash flows, and increase value to our stockholders.  We will also respond to customer demand and may develop or expand correctional and detention facilities when we believe potential long-term returns justify the capital deployment.  </w:t>
      </w:r>
    </w:p>
    <w:p w:rsidR="00000000" w:rsidRDefault="005F13FD">
      <w:pPr>
        <w:pStyle w:val="a3"/>
        <w:spacing w:before="240" w:beforeAutospacing="0" w:after="0" w:afterAutospacing="0"/>
        <w:jc w:val="both"/>
        <w:rPr>
          <w:sz w:val="20"/>
          <w:szCs w:val="20"/>
        </w:rPr>
      </w:pPr>
      <w:r>
        <w:rPr>
          <w:sz w:val="20"/>
          <w:szCs w:val="20"/>
        </w:rPr>
        <w:t>To maintain our qualification as a REIT, we generally are required to distribute annually to our stockholders at least 90% of our REIT taxable income (determined without regard to the dividends paid deduction and excluding net capital gains). Our REIT taxa</w:t>
      </w:r>
      <w:r>
        <w:rPr>
          <w:sz w:val="20"/>
          <w:szCs w:val="20"/>
        </w:rPr>
        <w:t>ble income will not typically include income earned by our TRSs except to the extent our TRSs pay dividends to the REIT.  Our BOD declared a quarterly dividend of $0.44 for the first quarter of 2020 totaling $53.4 million. On August 5, 2020, our BOD announ</w:t>
      </w:r>
      <w:r>
        <w:rPr>
          <w:sz w:val="20"/>
          <w:szCs w:val="20"/>
        </w:rPr>
        <w:t>ced that we are discontinuing our quarterly dividend and prioritizing the allocation of our free cash flow to debt reduction. The amount, timing and frequency of future distributions will be at the sole discretion of our BOD and will be declared based upon</w:t>
      </w:r>
      <w:r>
        <w:rPr>
          <w:sz w:val="20"/>
          <w:szCs w:val="20"/>
        </w:rPr>
        <w:t xml:space="preserve"> various factors, many of which are beyond our control, including our financial condition and operating cash flows, the amount required to maintain qualification and taxation as a REIT for years we elected to be taxed as a REIT and to reduce any income and</w:t>
      </w:r>
      <w:r>
        <w:rPr>
          <w:sz w:val="20"/>
          <w:szCs w:val="20"/>
        </w:rPr>
        <w:t xml:space="preserve"> excise taxes that we otherwise would be required to pay, limitations on distributions in our existing and future debt instruments, limitations on our ability to fund distributions using cash generated through our TRSs, alternative growth opportunities tha</w:t>
      </w:r>
      <w:r>
        <w:rPr>
          <w:sz w:val="20"/>
          <w:szCs w:val="20"/>
        </w:rPr>
        <w:t>t require capital deployment, and other factors that our BOD may deem relevant.</w:t>
      </w:r>
    </w:p>
    <w:p w:rsidR="00000000" w:rsidRDefault="005F13FD">
      <w:pPr>
        <w:pStyle w:val="a3"/>
        <w:spacing w:before="240" w:beforeAutospacing="0" w:after="0" w:afterAutospacing="0"/>
        <w:jc w:val="both"/>
        <w:rPr>
          <w:sz w:val="20"/>
          <w:szCs w:val="20"/>
        </w:rPr>
      </w:pPr>
      <w:r>
        <w:rPr>
          <w:sz w:val="20"/>
          <w:szCs w:val="20"/>
        </w:rPr>
        <w:t>On June 17, 2020, we announced that our BOD was evaluating corporate structure and capital allocation alternatives.  Concurrently, our BOD suspended our quarterly dividend whil</w:t>
      </w:r>
      <w:r>
        <w:rPr>
          <w:sz w:val="20"/>
          <w:szCs w:val="20"/>
        </w:rPr>
        <w:t xml:space="preserve">e we assessed how best to use our free cash flow to build shareholder value, maintain service excellence, and offer and implement unique solutions for our government partners and the communities in which we serve.  On August 5, 2020, we announced that our </w:t>
      </w:r>
      <w:r>
        <w:rPr>
          <w:sz w:val="20"/>
          <w:szCs w:val="20"/>
        </w:rPr>
        <w:t>BOD concluded its analysis and unanimously approved a plan to revoke our REIT election and become a taxable C Corporation, effective January 1, 2021.  Additionally, our BOD voted unanimously to discontinue the quarterly dividend and prioritize allocating o</w:t>
      </w:r>
      <w:r>
        <w:rPr>
          <w:sz w:val="20"/>
          <w:szCs w:val="20"/>
        </w:rPr>
        <w:t>ur free cash flow to reduce debt levels.  As a result, we will no longer be required to operate under REIT rules, including the requirement to distribute at least 90% of our taxable income to our stockholders, which will provide us with greater flexibility</w:t>
      </w:r>
      <w:r>
        <w:rPr>
          <w:sz w:val="20"/>
          <w:szCs w:val="20"/>
        </w:rPr>
        <w:t xml:space="preserve"> to use our free cash flow.  Beginning January 1, 2021, we will be subject to federal and state income taxes on our taxable income at applicable tax rates, and will no longer be entitled to a tax deduction for dividends paid.  However, we believe this conv</w:t>
      </w:r>
      <w:r>
        <w:rPr>
          <w:sz w:val="20"/>
          <w:szCs w:val="20"/>
        </w:rPr>
        <w:t>ersion will improve our overall credit profile and lower our cost of capital. Following our first priority of debt reduction, we expect to allocate a substantial portion of our free cash flow to returning capital to shareholders and pursue attractive growt</w:t>
      </w:r>
      <w:r>
        <w:rPr>
          <w:sz w:val="20"/>
          <w:szCs w:val="20"/>
        </w:rPr>
        <w:t>h opportunities. This conversion will also provide us with significantly more liquidity, which will enable us to reduce our reliance on the capital markets and reduce the size of our Second Amended and Restated Credit Agreement, or Bank Credit Agreement, i</w:t>
      </w:r>
      <w:r>
        <w:rPr>
          <w:sz w:val="20"/>
          <w:szCs w:val="20"/>
        </w:rPr>
        <w:t>n the future</w:t>
      </w:r>
      <w:r>
        <w:rPr>
          <w:sz w:val="23"/>
          <w:szCs w:val="23"/>
        </w:rPr>
        <w:t>.  </w:t>
      </w:r>
      <w:r>
        <w:rPr>
          <w:sz w:val="20"/>
          <w:szCs w:val="20"/>
        </w:rPr>
        <w:t>Beyond the operating cash flow we generate from our business, we are also exploring the sale of certain non-core real estate assets in our Properties segment.  Generating net proceeds from such sales would allow us to accelerate the implemen</w:t>
      </w:r>
      <w:r>
        <w:rPr>
          <w:sz w:val="20"/>
          <w:szCs w:val="20"/>
        </w:rPr>
        <w:t>tation of our revised capital allocation strategy.</w:t>
      </w:r>
      <w:r>
        <w:rPr>
          <w:sz w:val="23"/>
          <w:szCs w:val="23"/>
        </w:rPr>
        <w:t xml:space="preserve"> </w:t>
      </w:r>
    </w:p>
    <w:p w:rsidR="00000000" w:rsidRDefault="005F13FD">
      <w:pPr>
        <w:pStyle w:val="a3"/>
        <w:spacing w:before="240" w:beforeAutospacing="0" w:after="0" w:afterAutospacing="0"/>
        <w:jc w:val="both"/>
        <w:rPr>
          <w:spacing w:val="-2"/>
          <w:sz w:val="20"/>
          <w:szCs w:val="20"/>
        </w:rPr>
      </w:pPr>
      <w:r>
        <w:rPr>
          <w:spacing w:val="-2"/>
          <w:sz w:val="20"/>
          <w:szCs w:val="20"/>
        </w:rPr>
        <w:t>In March 2020, the World Health Organization declared the outbreak of COVID-19 as a pandemic, which continues to spread throughout the United States. As a result, in the first quarter of 2020, the federal</w:t>
      </w:r>
      <w:r>
        <w:rPr>
          <w:spacing w:val="-2"/>
          <w:sz w:val="20"/>
          <w:szCs w:val="20"/>
        </w:rPr>
        <w:t xml:space="preserve"> government decided to deny entry at the United States southern border to asylum-seekers and anyone crossing the southern border without proper documentation or authority in an effort to contain the spread of COVID-19. This action has resulted in the reduc</w:t>
      </w:r>
      <w:r>
        <w:rPr>
          <w:spacing w:val="-2"/>
          <w:sz w:val="20"/>
          <w:szCs w:val="20"/>
        </w:rPr>
        <w:t>tion in the number of people being apprehended and detained by ICE.  Further, disruptions to the criminal justice system have also contributed to a reduction in the number of USMS detainee populations, as the number of courts in session and prosecutions ha</w:t>
      </w:r>
      <w:r>
        <w:rPr>
          <w:spacing w:val="-2"/>
          <w:sz w:val="20"/>
          <w:szCs w:val="20"/>
        </w:rPr>
        <w:t>ve declined.  We currently expect the federal government’s policy of denying entry at the United States southern border to asylum-seekers and anyone crossing the southern border without proper documentation or authority, as well as the disruptions in the c</w:t>
      </w:r>
      <w:r>
        <w:rPr>
          <w:spacing w:val="-2"/>
          <w:sz w:val="20"/>
          <w:szCs w:val="20"/>
        </w:rPr>
        <w:t>riminal justice system, to persist until a widely accepted treatment and/or vaccine for COVID-19 is available.  In addition, many state and local government agencies have released, may be considering releasing, or may be experiencing pressure to release, c</w:t>
      </w:r>
      <w:r>
        <w:rPr>
          <w:spacing w:val="-2"/>
          <w:sz w:val="20"/>
          <w:szCs w:val="20"/>
        </w:rPr>
        <w:t>ertain inmates and detainees to help ensure social distancing within their facilities and prevent excessive interactions among inmate populations.  A protracted denial in southern border entries of asylum-seekers and undocumented immigrants, or continued d</w:t>
      </w:r>
      <w:r>
        <w:rPr>
          <w:spacing w:val="-2"/>
          <w:sz w:val="20"/>
          <w:szCs w:val="20"/>
        </w:rPr>
        <w:t>isruptions in the criminal justice system could have a material effect on our financial position, results of operations and cash flows.  As a result of uncertainties in the near-term outlook for the business caused by COVID-19, we are monitoring and reduci</w:t>
      </w:r>
      <w:r>
        <w:rPr>
          <w:spacing w:val="-2"/>
          <w:sz w:val="20"/>
          <w:szCs w:val="20"/>
        </w:rPr>
        <w:t>ng discretionary spending (except to help ensure the safety of our employees and residents entrusted to our care), reviewing capital projects to ensure we are only spending on projects that are deemed essential in the current environment, and limiting trav</w:t>
      </w:r>
      <w:r>
        <w:rPr>
          <w:spacing w:val="-2"/>
          <w:sz w:val="20"/>
          <w:szCs w:val="20"/>
        </w:rPr>
        <w:t>el and other operating expenses.</w:t>
      </w:r>
    </w:p>
    <w:p w:rsidR="00000000" w:rsidRDefault="005F13FD">
      <w:pPr>
        <w:pStyle w:val="a3"/>
        <w:spacing w:before="240" w:beforeAutospacing="0" w:after="0" w:afterAutospacing="0"/>
        <w:jc w:val="both"/>
        <w:rPr>
          <w:spacing w:val="-2"/>
          <w:sz w:val="20"/>
          <w:szCs w:val="20"/>
        </w:rPr>
      </w:pPr>
      <w:r>
        <w:rPr>
          <w:spacing w:val="-2"/>
          <w:sz w:val="20"/>
          <w:szCs w:val="20"/>
        </w:rPr>
        <w:t>As of September 30, 2020, we had cash on hand of $282.5 million, and $329.2 million available under our revolving credit facility.  During the nine months ended September 30, 2020 and 2019, we generated $281.5 million and $</w:t>
      </w:r>
      <w:r>
        <w:rPr>
          <w:spacing w:val="-2"/>
          <w:sz w:val="20"/>
          <w:szCs w:val="20"/>
        </w:rPr>
        <w:t xml:space="preserve">304.1 million, respectively, in cash through operating activities.  Despite COVID-19, our cash generated by operating activities remains strong, amounting to $107.2 million during the </w:t>
      </w:r>
    </w:p>
    <w:p w:rsidR="00000000" w:rsidRDefault="005F13FD">
      <w:pPr>
        <w:pStyle w:val="a3"/>
        <w:spacing w:before="240" w:beforeAutospacing="0" w:after="0" w:afterAutospacing="0"/>
        <w:jc w:val="center"/>
        <w:rPr>
          <w:sz w:val="20"/>
          <w:szCs w:val="20"/>
        </w:rPr>
      </w:pPr>
      <w:r>
        <w:rPr>
          <w:sz w:val="20"/>
          <w:szCs w:val="20"/>
        </w:rPr>
        <w:t>38</w:t>
      </w:r>
    </w:p>
    <w:p w:rsidR="00000000" w:rsidRDefault="005F13FD">
      <w:pPr>
        <w:rPr>
          <w:rFonts w:eastAsia="Times New Roman"/>
        </w:rPr>
      </w:pPr>
      <w:r>
        <w:rPr>
          <w:rFonts w:eastAsia="Times New Roman"/>
        </w:rPr>
        <w:pict>
          <v:rect id="_x0000_i1064"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spacing w:val="-2"/>
          <w:sz w:val="20"/>
          <w:szCs w:val="20"/>
        </w:rPr>
      </w:pPr>
      <w:r>
        <w:rPr>
          <w:spacing w:val="-2"/>
          <w:sz w:val="20"/>
          <w:szCs w:val="20"/>
        </w:rPr>
        <w:t>third quarter of 2020, enablin</w:t>
      </w:r>
      <w:r>
        <w:rPr>
          <w:spacing w:val="-2"/>
          <w:sz w:val="20"/>
          <w:szCs w:val="20"/>
        </w:rPr>
        <w:t>g us to repay $102.2 million of total debt during the third quarter, net of the change in cash and cash equivalents.  We currently expect to be able to meet our cash expenditure requirements for the next year utilizing cash on hand and availability under o</w:t>
      </w:r>
      <w:r>
        <w:rPr>
          <w:spacing w:val="-2"/>
          <w:sz w:val="20"/>
          <w:szCs w:val="20"/>
        </w:rPr>
        <w:t>ur revolving credit facility. Some banks that are party to our Bank Credit Agreement have announced that they do not expect to continue to provide credit or financial services to private entities that operate correctional and detention facilities, includin</w:t>
      </w:r>
      <w:r>
        <w:rPr>
          <w:spacing w:val="-2"/>
          <w:sz w:val="20"/>
          <w:szCs w:val="20"/>
        </w:rPr>
        <w:t>g CoreCivic.  These banks are legally obligated to honor their commitments under our Bank Credit Agreement, which expires in April 2023.  We can provide no assurance that additional banks that are party to our Bank Credit Agreement will not make similar de</w:t>
      </w:r>
      <w:r>
        <w:rPr>
          <w:spacing w:val="-2"/>
          <w:sz w:val="20"/>
          <w:szCs w:val="20"/>
        </w:rPr>
        <w:t>cisions, or that new banks will be willing to become party to our Bank Credit Agreement.  As previously mentioned, upon our planned revocation of our REIT election, we believe we will not be as reliant on the revolving credit facility under the Bank Credit</w:t>
      </w:r>
      <w:r>
        <w:rPr>
          <w:spacing w:val="-2"/>
          <w:sz w:val="20"/>
          <w:szCs w:val="20"/>
        </w:rPr>
        <w:t xml:space="preserve"> Agreement, as we will be able to retain our cash flows to use at our general discretion and, therefore, believe we can operate with a smaller revolving credit facility.  We have no debt maturities until October 2022, and do not currently anticipate a need</w:t>
      </w:r>
      <w:r>
        <w:rPr>
          <w:spacing w:val="-2"/>
          <w:sz w:val="20"/>
          <w:szCs w:val="20"/>
        </w:rPr>
        <w:t xml:space="preserve"> to access the capital markets in the short-term.  With the revocation of our REIT election, we also intend to evaluate the sales of non-core real estate assets in our Properties segment, which would provide us with additional liquidity, and we believe cou</w:t>
      </w:r>
      <w:r>
        <w:rPr>
          <w:spacing w:val="-2"/>
          <w:sz w:val="20"/>
          <w:szCs w:val="20"/>
        </w:rPr>
        <w:t xml:space="preserve">ld accelerate the implementation of our revised capital allocation strategy.   </w:t>
      </w:r>
    </w:p>
    <w:p w:rsidR="00000000" w:rsidRDefault="005F13FD">
      <w:pPr>
        <w:pStyle w:val="a3"/>
        <w:spacing w:before="240" w:beforeAutospacing="0" w:after="0" w:afterAutospacing="0"/>
        <w:jc w:val="both"/>
        <w:rPr>
          <w:sz w:val="20"/>
          <w:szCs w:val="20"/>
        </w:rPr>
      </w:pPr>
      <w:r>
        <w:rPr>
          <w:sz w:val="20"/>
          <w:szCs w:val="20"/>
        </w:rPr>
        <w:t>Our cash flow is subject to the receipt of sufficient funding of and timely payment by contracting governmental entities.  If the appropriate governmental agency does not recei</w:t>
      </w:r>
      <w:r>
        <w:rPr>
          <w:sz w:val="20"/>
          <w:szCs w:val="20"/>
        </w:rPr>
        <w:t>ve sufficient appropriations to cover its contractual obligations, it may terminate our contract or delay or reduce payment to us.  Delays in payment from our major customers or the termination of contracts from our major customers could have an adverse ef</w:t>
      </w:r>
      <w:r>
        <w:rPr>
          <w:sz w:val="20"/>
          <w:szCs w:val="20"/>
        </w:rPr>
        <w:t>fect on our cash flow and financial condition.  Although our revenue has been negatively impacted by COVID-19, we have not experienced any unusual delays in payments from our major customers.</w:t>
      </w:r>
    </w:p>
    <w:p w:rsidR="00000000" w:rsidRDefault="005F13FD">
      <w:pPr>
        <w:pStyle w:val="a3"/>
        <w:spacing w:before="360" w:beforeAutospacing="0" w:after="0" w:afterAutospacing="0"/>
        <w:jc w:val="both"/>
        <w:rPr>
          <w:b/>
          <w:bCs/>
          <w:i/>
          <w:iCs/>
          <w:sz w:val="20"/>
          <w:szCs w:val="20"/>
        </w:rPr>
      </w:pPr>
      <w:r>
        <w:rPr>
          <w:b/>
          <w:bCs/>
          <w:i/>
          <w:iCs/>
          <w:sz w:val="20"/>
          <w:szCs w:val="20"/>
        </w:rPr>
        <w:t>Debt and equity</w:t>
      </w:r>
    </w:p>
    <w:p w:rsidR="00000000" w:rsidRDefault="005F13FD">
      <w:pPr>
        <w:pStyle w:val="a3"/>
        <w:spacing w:before="240" w:beforeAutospacing="0" w:after="0" w:afterAutospacing="0"/>
        <w:jc w:val="both"/>
        <w:rPr>
          <w:spacing w:val="-2"/>
          <w:sz w:val="20"/>
          <w:szCs w:val="20"/>
        </w:rPr>
      </w:pPr>
      <w:r>
        <w:rPr>
          <w:spacing w:val="-2"/>
          <w:sz w:val="20"/>
          <w:szCs w:val="20"/>
        </w:rPr>
        <w:t xml:space="preserve">As of September 30, 2020, we had $350.0 million </w:t>
      </w:r>
      <w:r>
        <w:rPr>
          <w:spacing w:val="-2"/>
          <w:sz w:val="20"/>
          <w:szCs w:val="20"/>
        </w:rPr>
        <w:t>principal amount of unsecured notes outstanding with a fixed stated interest rate of 4.625%, $250.0 million principal amount of unsecured notes outstanding with a fixed stated interest rate of 5.0%, and $250.0 million principal amount of unsecured notes ou</w:t>
      </w:r>
      <w:r>
        <w:rPr>
          <w:spacing w:val="-2"/>
          <w:sz w:val="20"/>
          <w:szCs w:val="20"/>
        </w:rPr>
        <w:t>tstanding with a fixed stated interest rate of 4.75%, or collectively, the Senior Notes.  In addition, we had $21.3 million outstanding under the Capital Commerce Note with a fixed stated interest rate of 4.5%, $158.6 million outstanding under the Kansas N</w:t>
      </w:r>
      <w:r>
        <w:rPr>
          <w:spacing w:val="-2"/>
          <w:sz w:val="20"/>
          <w:szCs w:val="20"/>
        </w:rPr>
        <w:t>otes with a fixed stated interest rate of 4.43%, $145.9 million outstanding under the SSA-Baltimore Note with a fixed stated interest rate of 4.5%, and $51.5 million outstanding under the GRES Note with a fixed stated interest rate of 4.91%. We also had $1</w:t>
      </w:r>
      <w:r>
        <w:rPr>
          <w:spacing w:val="-2"/>
          <w:sz w:val="20"/>
          <w:szCs w:val="20"/>
        </w:rPr>
        <w:t>82.5 million outstanding under our Term Loan A with a variable interest rate of 1.6%, $240.6 million outstanding under our Term Loan B with a variable interest rate of 5.5%, and $456.0 million outstanding under our revolving credit facility with a variable</w:t>
      </w:r>
      <w:r>
        <w:rPr>
          <w:spacing w:val="-2"/>
          <w:sz w:val="20"/>
          <w:szCs w:val="20"/>
        </w:rPr>
        <w:t xml:space="preserve"> weighted average interest rate of 1.7%.  As of September 30, 2020, our total weighted average effective interest rate was 4.2%, while our total weighted average maturity was 5.4 years.  We may also seek to issue debt or equity securities from time to time</w:t>
      </w:r>
      <w:r>
        <w:rPr>
          <w:spacing w:val="-2"/>
          <w:sz w:val="20"/>
          <w:szCs w:val="20"/>
        </w:rPr>
        <w:t xml:space="preserve"> when we determine that market conditions and the opportunity to utilize the proceeds from the issuance of such securities are favorable. </w:t>
      </w:r>
    </w:p>
    <w:p w:rsidR="00000000" w:rsidRDefault="005F13FD">
      <w:pPr>
        <w:pStyle w:val="a3"/>
        <w:spacing w:before="240" w:beforeAutospacing="0" w:after="0" w:afterAutospacing="0"/>
        <w:jc w:val="both"/>
        <w:rPr>
          <w:sz w:val="20"/>
          <w:szCs w:val="20"/>
        </w:rPr>
      </w:pPr>
      <w:r>
        <w:rPr>
          <w:sz w:val="20"/>
          <w:szCs w:val="20"/>
        </w:rPr>
        <w:t>On August 28, 2018, we entered into an Amended and Restated ATM Equity Offering Sales Agreement, or ATM Agreement, wi</w:t>
      </w:r>
      <w:r>
        <w:rPr>
          <w:sz w:val="20"/>
          <w:szCs w:val="20"/>
        </w:rPr>
        <w:t>th multiple sales agents, pursuant to which we may offer and sell to or through the agents, from time to time, shares of our common stock, par value $0.01 per share, having an aggregate gross sales price of up to $200.0 million. Sales, if any, of our share</w:t>
      </w:r>
      <w:r>
        <w:rPr>
          <w:sz w:val="20"/>
          <w:szCs w:val="20"/>
        </w:rPr>
        <w:t>s of common stock will be made primarily in "at-the-market" offerings, as defined in Rule 415 under the Securities Act.  The shares of common stock will be offered and sold pursuant to our registration statement on Form S-3 and a related prospectus supplem</w:t>
      </w:r>
      <w:r>
        <w:rPr>
          <w:sz w:val="20"/>
          <w:szCs w:val="20"/>
        </w:rPr>
        <w:t>ent, both filed with the SEC on August 28, 2018.  We intend to use substantially all of the net proceeds from any sale of shares of our common stock to repay outstanding borrowings or for working capital and other general corporate purposes, which may incl</w:t>
      </w:r>
      <w:r>
        <w:rPr>
          <w:sz w:val="20"/>
          <w:szCs w:val="20"/>
        </w:rPr>
        <w:t>ude investments.  There were no shares of our common stock sold under the ATM Agreement during 2020 or 2019.  </w:t>
      </w:r>
    </w:p>
    <w:p w:rsidR="00000000" w:rsidRDefault="005F13FD">
      <w:pPr>
        <w:pStyle w:val="a3"/>
        <w:spacing w:before="360" w:beforeAutospacing="0" w:after="0" w:afterAutospacing="0"/>
        <w:jc w:val="both"/>
        <w:rPr>
          <w:b/>
          <w:bCs/>
          <w:i/>
          <w:iCs/>
          <w:sz w:val="20"/>
          <w:szCs w:val="20"/>
        </w:rPr>
      </w:pPr>
      <w:r>
        <w:rPr>
          <w:b/>
          <w:bCs/>
          <w:i/>
          <w:iCs/>
          <w:sz w:val="20"/>
          <w:szCs w:val="20"/>
        </w:rPr>
        <w:t>Facility acquisitions, development, and capital expenditures</w:t>
      </w:r>
    </w:p>
    <w:p w:rsidR="00000000" w:rsidRDefault="005F13FD">
      <w:pPr>
        <w:pStyle w:val="a3"/>
        <w:spacing w:before="240" w:beforeAutospacing="0" w:after="0" w:afterAutospacing="0"/>
        <w:jc w:val="both"/>
        <w:rPr>
          <w:sz w:val="20"/>
          <w:szCs w:val="20"/>
        </w:rPr>
      </w:pPr>
      <w:r>
        <w:rPr>
          <w:sz w:val="20"/>
          <w:szCs w:val="20"/>
        </w:rPr>
        <w:t>On January 2, 2020, we completed the acquisition of a portfolio of 28 properties, 24</w:t>
      </w:r>
      <w:r>
        <w:rPr>
          <w:sz w:val="20"/>
          <w:szCs w:val="20"/>
        </w:rPr>
        <w:t xml:space="preserve"> of which the counter-party contributed to a newly formed partnership of the Company's, for total consideration of $83.2 million, excluding transaction-related expenses.  All of the properties are leased to the federal government through the GSA. We financ</w:t>
      </w:r>
      <w:r>
        <w:rPr>
          <w:sz w:val="20"/>
          <w:szCs w:val="20"/>
        </w:rPr>
        <w:t>ed the acquisition with $7.7 million of cash, assumed debt of $52.2 million and the balance with the issuance of 1.3 million shares of Class A Common Interests in GRES that are convertible into cash or, at our option, shares of our common stock following a</w:t>
      </w:r>
      <w:r>
        <w:rPr>
          <w:sz w:val="20"/>
          <w:szCs w:val="20"/>
        </w:rPr>
        <w:t xml:space="preserve"> two-year holding period on a one-for-one basis, or Operating Partnership Units, using a partnership structure.  The assumed debt carries a fixed interest rate of 4.91%, with fixed monthly payments extending through November 2025, and a balloon payment of </w:t>
      </w:r>
      <w:r>
        <w:rPr>
          <w:sz w:val="20"/>
          <w:szCs w:val="20"/>
        </w:rPr>
        <w:t xml:space="preserve">$46.2 million due at maturity.  For this acquisition, we were able to complete an accretive transaction despite what we believe is a depressed market value of our public securities, by fixing the number of Operating Partnership Units to be issued based on </w:t>
      </w:r>
      <w:r>
        <w:rPr>
          <w:sz w:val="20"/>
          <w:szCs w:val="20"/>
        </w:rPr>
        <w:t>a negotiated share price collar between $21.00 and $25.00, or a 17% premium to the price of our common stock as of the date of the acquisition.  Creating a partnership structure provides us with another form of capital outside our traditional debt and equi</w:t>
      </w:r>
      <w:r>
        <w:rPr>
          <w:sz w:val="20"/>
          <w:szCs w:val="20"/>
        </w:rPr>
        <w:t>ty securities, and is attractive to potential sellers because they may be able to defer a substantial portion of income taxes they otherwise may incur by selling their properties to another buyer.  </w:t>
      </w:r>
    </w:p>
    <w:p w:rsidR="00000000" w:rsidRDefault="005F13FD">
      <w:pPr>
        <w:pStyle w:val="a3"/>
        <w:spacing w:before="240" w:beforeAutospacing="0" w:after="0" w:afterAutospacing="0"/>
        <w:jc w:val="center"/>
        <w:rPr>
          <w:sz w:val="20"/>
          <w:szCs w:val="20"/>
        </w:rPr>
      </w:pPr>
      <w:r>
        <w:rPr>
          <w:sz w:val="20"/>
          <w:szCs w:val="20"/>
        </w:rPr>
        <w:t>39</w:t>
      </w:r>
    </w:p>
    <w:p w:rsidR="00000000" w:rsidRDefault="005F13FD">
      <w:pPr>
        <w:rPr>
          <w:rFonts w:eastAsia="Times New Roman"/>
        </w:rPr>
      </w:pPr>
      <w:r>
        <w:rPr>
          <w:rFonts w:eastAsia="Times New Roman"/>
        </w:rPr>
        <w:pict>
          <v:rect id="_x0000_i1065"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sz w:val="20"/>
          <w:szCs w:val="20"/>
        </w:rPr>
      </w:pPr>
      <w:r>
        <w:rPr>
          <w:sz w:val="20"/>
          <w:szCs w:val="20"/>
        </w:rPr>
        <w:t>On January 24, 2</w:t>
      </w:r>
      <w:r>
        <w:rPr>
          <w:sz w:val="20"/>
          <w:szCs w:val="20"/>
        </w:rPr>
        <w:t>018, we entered into a 20-year lease agreement with the KDOC for a 2,432-bed correctional facility to be constructed in Lansing, Kansas.  We commenced construction of the facility in the first quarter of 2018 and, as of December 31, 2019, we had capitalize</w:t>
      </w:r>
      <w:r>
        <w:rPr>
          <w:sz w:val="20"/>
          <w:szCs w:val="20"/>
        </w:rPr>
        <w:t>d $137.7 million associated with the construction project.  In December 2019, the Lansing facility began accepting offenders into the 512-bed minimum security complex ahead of schedule, with the remaining 1,920-bed medium/maximum security complex completed</w:t>
      </w:r>
      <w:r>
        <w:rPr>
          <w:sz w:val="20"/>
          <w:szCs w:val="20"/>
        </w:rPr>
        <w:t xml:space="preserve"> in January 2020, for a total project cost of approximately $155.0 million.  Construction of the facility was 100% funded with proceeds from the private placement of the Kansas Notes, as previously described herein. This transaction represents the first de</w:t>
      </w:r>
      <w:r>
        <w:rPr>
          <w:sz w:val="20"/>
          <w:szCs w:val="20"/>
        </w:rPr>
        <w:t>velopment of a privately owned, build-to-suit correctional facility operated by a government agency through a long-term lease agreement.  We are responsible for facility maintenance throughout the 20-year term of the lease, at which time ownership will rev</w:t>
      </w:r>
      <w:r>
        <w:rPr>
          <w:sz w:val="20"/>
          <w:szCs w:val="20"/>
        </w:rPr>
        <w:t>ert to the state of Kansas.  With the extensively aged criminal justice infrastructure in the United States today, we believe we can bring our flexible solutions like this to other government agencies.</w:t>
      </w:r>
    </w:p>
    <w:p w:rsidR="00000000" w:rsidRDefault="005F13FD">
      <w:pPr>
        <w:pStyle w:val="a3"/>
        <w:spacing w:before="240" w:beforeAutospacing="0" w:after="0" w:afterAutospacing="0"/>
        <w:jc w:val="both"/>
        <w:rPr>
          <w:sz w:val="20"/>
          <w:szCs w:val="20"/>
        </w:rPr>
      </w:pPr>
      <w:r>
        <w:rPr>
          <w:sz w:val="20"/>
          <w:szCs w:val="20"/>
        </w:rPr>
        <w:t>Although disrupted by the COVID-19 pandemic, several o</w:t>
      </w:r>
      <w:r>
        <w:rPr>
          <w:sz w:val="20"/>
          <w:szCs w:val="20"/>
        </w:rPr>
        <w:t>f our existing federal and state partners, as well as prospective state partners, had been experiencing growth in offender populations and overcrowded conditions.  Governments are now assessing their need for correctional space in light of COVID-19, and se</w:t>
      </w:r>
      <w:r>
        <w:rPr>
          <w:sz w:val="20"/>
          <w:szCs w:val="20"/>
        </w:rPr>
        <w:t xml:space="preserve">veral are considering alternative correctional capacity for their aged or inefficient infrastructure, or are seeking cost savings by utilizing the private sector.  Competing budget priorities, which will likely become more challenging because of COVID-19, </w:t>
      </w:r>
      <w:r>
        <w:rPr>
          <w:sz w:val="20"/>
          <w:szCs w:val="20"/>
        </w:rPr>
        <w:t xml:space="preserve">often impede our customers' ability to construct new prison beds of their own or update older facilities, which we believe could result in further need for private sector prison capacity solutions in the long-term. Over the long-term, we would like to see </w:t>
      </w:r>
      <w:r>
        <w:rPr>
          <w:sz w:val="20"/>
          <w:szCs w:val="20"/>
        </w:rPr>
        <w:t>meaningful utilization of our available capacity and better visibility from our customers into their potential future needs before we develop new prison capacity on a speculative basis. We will, however, respond to customer demand and may develop or expand</w:t>
      </w:r>
      <w:r>
        <w:rPr>
          <w:sz w:val="20"/>
          <w:szCs w:val="20"/>
        </w:rPr>
        <w:t xml:space="preserve"> correctional and detention facilities when we believe potential long-term returns justify the capital deployment.</w:t>
      </w:r>
      <w:r>
        <w:rPr>
          <w:b/>
          <w:bCs/>
          <w:sz w:val="20"/>
          <w:szCs w:val="20"/>
        </w:rPr>
        <w:t>  </w:t>
      </w:r>
      <w:r>
        <w:rPr>
          <w:sz w:val="20"/>
          <w:szCs w:val="20"/>
        </w:rPr>
        <w:t>  </w:t>
      </w:r>
    </w:p>
    <w:p w:rsidR="00000000" w:rsidRDefault="005F13FD">
      <w:pPr>
        <w:pStyle w:val="a3"/>
        <w:spacing w:before="360" w:beforeAutospacing="0" w:after="0" w:afterAutospacing="0"/>
        <w:jc w:val="both"/>
        <w:rPr>
          <w:b/>
          <w:bCs/>
          <w:sz w:val="20"/>
          <w:szCs w:val="20"/>
        </w:rPr>
      </w:pPr>
      <w:r>
        <w:rPr>
          <w:b/>
          <w:bCs/>
          <w:sz w:val="20"/>
          <w:szCs w:val="20"/>
        </w:rPr>
        <w:t>Operating Activities</w:t>
      </w:r>
    </w:p>
    <w:p w:rsidR="00000000" w:rsidRDefault="005F13FD">
      <w:pPr>
        <w:pStyle w:val="a3"/>
        <w:spacing w:before="120" w:beforeAutospacing="0" w:after="0" w:afterAutospacing="0"/>
        <w:jc w:val="both"/>
        <w:rPr>
          <w:sz w:val="20"/>
          <w:szCs w:val="20"/>
        </w:rPr>
      </w:pPr>
      <w:r>
        <w:rPr>
          <w:sz w:val="20"/>
          <w:szCs w:val="20"/>
        </w:rPr>
        <w:t>Our net cash provided by operating activities for the nine months ended September 30, 2020 was $281.5 million, compa</w:t>
      </w:r>
      <w:r>
        <w:rPr>
          <w:sz w:val="20"/>
          <w:szCs w:val="20"/>
        </w:rPr>
        <w:t>red with $304.1 million for the same period in the prior year.</w:t>
      </w:r>
      <w:r>
        <w:rPr>
          <w:spacing w:val="-2"/>
          <w:sz w:val="20"/>
          <w:szCs w:val="20"/>
        </w:rPr>
        <w:t xml:space="preserve"> Our net cash provided by operating activities was $107.2 million during the third quarter of 2020 compared with $75.4 million during the first quarter of 2020, before our operations were impact</w:t>
      </w:r>
      <w:r>
        <w:rPr>
          <w:spacing w:val="-2"/>
          <w:sz w:val="20"/>
          <w:szCs w:val="20"/>
        </w:rPr>
        <w:t>ed by COVID-19, and compared with $137.5 million during the third quarter of 2019.  </w:t>
      </w:r>
      <w:r>
        <w:rPr>
          <w:sz w:val="20"/>
          <w:szCs w:val="20"/>
        </w:rPr>
        <w:t>Cash provided by operating activities represents the year to date net income plus depreciation and amortization, changes in various components of working capital, and vario</w:t>
      </w:r>
      <w:r>
        <w:rPr>
          <w:sz w:val="20"/>
          <w:szCs w:val="20"/>
        </w:rPr>
        <w:t>us non-cash charges.</w:t>
      </w:r>
    </w:p>
    <w:p w:rsidR="00000000" w:rsidRDefault="005F13FD">
      <w:pPr>
        <w:pStyle w:val="a3"/>
        <w:spacing w:before="360" w:beforeAutospacing="0" w:after="0" w:afterAutospacing="0"/>
        <w:jc w:val="both"/>
        <w:rPr>
          <w:b/>
          <w:bCs/>
          <w:sz w:val="20"/>
          <w:szCs w:val="20"/>
        </w:rPr>
      </w:pPr>
      <w:r>
        <w:rPr>
          <w:b/>
          <w:bCs/>
          <w:sz w:val="20"/>
          <w:szCs w:val="20"/>
        </w:rPr>
        <w:t>Investing Activities</w:t>
      </w:r>
    </w:p>
    <w:p w:rsidR="00000000" w:rsidRDefault="005F13FD">
      <w:pPr>
        <w:pStyle w:val="a3"/>
        <w:spacing w:before="120" w:beforeAutospacing="0" w:after="0" w:afterAutospacing="0"/>
        <w:jc w:val="both"/>
        <w:rPr>
          <w:sz w:val="20"/>
          <w:szCs w:val="20"/>
        </w:rPr>
      </w:pPr>
      <w:r>
        <w:rPr>
          <w:sz w:val="20"/>
          <w:szCs w:val="20"/>
        </w:rPr>
        <w:t>Our net cash flow used in investing activities was $63.4 million for the nine months ended September </w:t>
      </w:r>
      <w:r>
        <w:rPr>
          <w:sz w:val="20"/>
          <w:szCs w:val="20"/>
        </w:rPr>
        <w:t>30, 2020 and was attributable to capital expenditures for facility development and expansions of $26.6 million and $33.5 million for facility maintenance and information technology capital expenditures.  Our cash flow used in investing activities also incl</w:t>
      </w:r>
      <w:r>
        <w:rPr>
          <w:sz w:val="20"/>
          <w:szCs w:val="20"/>
        </w:rPr>
        <w:t>uded $8.8 million primarily attributable to the acquisition of the aforementioned portfolio of 28 properties in January 2020.  Our cash flow used in investing activities was $198.1 million for the nine months ended September 30, 2019 and was attributable t</w:t>
      </w:r>
      <w:r>
        <w:rPr>
          <w:sz w:val="20"/>
          <w:szCs w:val="20"/>
        </w:rPr>
        <w:t xml:space="preserve">o payments totaling $39.3 million, including payments of $30.0 million to the state of Montana in connection with an agreement with the state of Montana to extend our ownership of the Crossroads Correctional Center for the estimated duration of its useful </w:t>
      </w:r>
      <w:r>
        <w:rPr>
          <w:sz w:val="20"/>
          <w:szCs w:val="20"/>
        </w:rPr>
        <w:t>life, and acquisitions completed in the first nine months of 2019, net of cash acquired.  Our net cash flow used in investing activities also included capital expenditures for facility development and expansions of $122.1 million and $35.6 million for faci</w:t>
      </w:r>
      <w:r>
        <w:rPr>
          <w:sz w:val="20"/>
          <w:szCs w:val="20"/>
        </w:rPr>
        <w:t>lity maintenance and information technology capital expenditures.    </w:t>
      </w:r>
    </w:p>
    <w:p w:rsidR="00000000" w:rsidRDefault="005F13FD">
      <w:pPr>
        <w:pStyle w:val="a3"/>
        <w:spacing w:before="360" w:beforeAutospacing="0" w:after="0" w:afterAutospacing="0"/>
        <w:jc w:val="both"/>
        <w:rPr>
          <w:b/>
          <w:bCs/>
          <w:sz w:val="20"/>
          <w:szCs w:val="20"/>
        </w:rPr>
      </w:pPr>
      <w:r>
        <w:rPr>
          <w:b/>
          <w:bCs/>
          <w:sz w:val="20"/>
          <w:szCs w:val="20"/>
        </w:rPr>
        <w:t>Financing Activities</w:t>
      </w:r>
    </w:p>
    <w:p w:rsidR="00000000" w:rsidRDefault="005F13FD">
      <w:pPr>
        <w:pStyle w:val="a3"/>
        <w:spacing w:before="120" w:beforeAutospacing="0" w:after="0" w:afterAutospacing="0"/>
        <w:jc w:val="both"/>
        <w:rPr>
          <w:sz w:val="20"/>
          <w:szCs w:val="20"/>
        </w:rPr>
      </w:pPr>
      <w:r>
        <w:rPr>
          <w:sz w:val="20"/>
          <w:szCs w:val="20"/>
        </w:rPr>
        <w:t xml:space="preserve">Our net cash flow used in financing activities was $43.5 million for the nine months ended September 30, 2020 and was primarily attributable to net borrowings under </w:t>
      </w:r>
      <w:r>
        <w:rPr>
          <w:sz w:val="20"/>
          <w:szCs w:val="20"/>
        </w:rPr>
        <w:t>our revolving credit facility of $91.0 million, partially offset by dividend payments of $106.0 million and $3.6 million for the purchase and retirement of common stock that was issued in connection with equity-based compensation.  In addition, cash flow u</w:t>
      </w:r>
      <w:r>
        <w:rPr>
          <w:sz w:val="20"/>
          <w:szCs w:val="20"/>
        </w:rPr>
        <w:t>sed in financing activities included $23.7 million of scheduled principal repayments under our Term Loan A, Term Loan B, and non-recourse mortgage notes.  </w:t>
      </w:r>
    </w:p>
    <w:p w:rsidR="00000000" w:rsidRDefault="005F13FD">
      <w:pPr>
        <w:pStyle w:val="a3"/>
        <w:spacing w:before="240" w:beforeAutospacing="0" w:after="0" w:afterAutospacing="0"/>
        <w:jc w:val="both"/>
        <w:rPr>
          <w:sz w:val="20"/>
          <w:szCs w:val="20"/>
        </w:rPr>
      </w:pPr>
      <w:r>
        <w:rPr>
          <w:sz w:val="20"/>
          <w:szCs w:val="20"/>
        </w:rPr>
        <w:t>Our net cash flow used in financing activities was $107.1 million for the nine months ended Septembe</w:t>
      </w:r>
      <w:r>
        <w:rPr>
          <w:sz w:val="20"/>
          <w:szCs w:val="20"/>
        </w:rPr>
        <w:t>r 30, 2019 and was primarily attributable to dividend payments of $157.1 million and $3.5 million for the purchase and retirement of common stock that was issued in connection with equity-based compensation.  In addition, cash flow used in financing activi</w:t>
      </w:r>
      <w:r>
        <w:rPr>
          <w:sz w:val="20"/>
          <w:szCs w:val="20"/>
        </w:rPr>
        <w:t>ties included $7.4 million of contingent consideration associated with the acquisition of a business, $9.9 million of scheduled principal repayments under our Term Loan A and non-recourse mortgage notes, and $12.0 million of net payments under our revolvin</w:t>
      </w:r>
      <w:r>
        <w:rPr>
          <w:sz w:val="20"/>
          <w:szCs w:val="20"/>
        </w:rPr>
        <w:t>g credit facility. These payments were partially offset by $82.6 million of proceeds from the quarterly borrowings of the Kansas Notes during the construction period of the Lansing Correctional Facility.</w:t>
      </w:r>
    </w:p>
    <w:p w:rsidR="00000000" w:rsidRDefault="005F13FD">
      <w:pPr>
        <w:pStyle w:val="a3"/>
        <w:spacing w:before="0" w:beforeAutospacing="0" w:after="0" w:afterAutospacing="0"/>
        <w:rPr>
          <w:b/>
          <w:bCs/>
          <w:sz w:val="20"/>
          <w:szCs w:val="20"/>
        </w:rPr>
      </w:pPr>
    </w:p>
    <w:p w:rsidR="00000000" w:rsidRDefault="005F13FD">
      <w:pPr>
        <w:pStyle w:val="a3"/>
        <w:spacing w:before="240" w:beforeAutospacing="0" w:after="0" w:afterAutospacing="0"/>
        <w:jc w:val="center"/>
        <w:rPr>
          <w:sz w:val="20"/>
          <w:szCs w:val="20"/>
        </w:rPr>
      </w:pPr>
      <w:r>
        <w:rPr>
          <w:sz w:val="20"/>
          <w:szCs w:val="20"/>
        </w:rPr>
        <w:t>40</w:t>
      </w:r>
    </w:p>
    <w:p w:rsidR="00000000" w:rsidRDefault="005F13FD">
      <w:pPr>
        <w:rPr>
          <w:rFonts w:eastAsia="Times New Roman"/>
        </w:rPr>
      </w:pPr>
      <w:r>
        <w:rPr>
          <w:rFonts w:eastAsia="Times New Roman"/>
        </w:rPr>
        <w:pict>
          <v:rect id="_x0000_i1066"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both"/>
        <w:rPr>
          <w:b/>
          <w:bCs/>
          <w:sz w:val="20"/>
          <w:szCs w:val="20"/>
        </w:rPr>
      </w:pPr>
      <w:r>
        <w:rPr>
          <w:b/>
          <w:bCs/>
          <w:sz w:val="20"/>
          <w:szCs w:val="20"/>
        </w:rPr>
        <w:t>Supplemental Guarantor Information</w:t>
      </w:r>
    </w:p>
    <w:p w:rsidR="00000000" w:rsidRDefault="005F13FD">
      <w:pPr>
        <w:pStyle w:val="a3"/>
        <w:spacing w:before="120" w:beforeAutospacing="0" w:after="0" w:afterAutospacing="0"/>
        <w:jc w:val="both"/>
        <w:rPr>
          <w:sz w:val="20"/>
          <w:szCs w:val="20"/>
        </w:rPr>
      </w:pPr>
      <w:r>
        <w:rPr>
          <w:sz w:val="20"/>
          <w:szCs w:val="20"/>
        </w:rPr>
        <w:t>On March 2, 2020, the SEC adopted final rules that amend and simplify the financial disclosure requirements for subsidiary issuers and guarantors of registered debt securities under R</w:t>
      </w:r>
      <w:r>
        <w:rPr>
          <w:sz w:val="20"/>
          <w:szCs w:val="20"/>
        </w:rPr>
        <w:t>ules 3-10 and 3-16 of SEC Regulation S-X.  The new rules permit registrants to provide certain alternative financial disclosures and non-financial disclosures in lieu of separate consolidating financial statements for subsidiary issuers and guarantors of r</w:t>
      </w:r>
      <w:r>
        <w:rPr>
          <w:sz w:val="20"/>
          <w:szCs w:val="20"/>
        </w:rPr>
        <w:t>egistered debt securities (which we previously included within the notes to our financial statements included in our Annual Reports on Form 10-K and Quarterly Reports on Form 10-Q) if certain conditions are met. Although the disclosures required by the ame</w:t>
      </w:r>
      <w:r>
        <w:rPr>
          <w:sz w:val="20"/>
          <w:szCs w:val="20"/>
        </w:rPr>
        <w:t>ndments do not become mandatory until January 4, 2021, voluntary early compliance is permitted.  We elected to voluntarily comply beginning with the quarterly period ended June 30, 2020.</w:t>
      </w:r>
    </w:p>
    <w:p w:rsidR="00000000" w:rsidRDefault="005F13FD">
      <w:pPr>
        <w:pStyle w:val="a3"/>
        <w:spacing w:before="240" w:beforeAutospacing="0" w:after="0" w:afterAutospacing="0"/>
        <w:jc w:val="both"/>
        <w:rPr>
          <w:sz w:val="20"/>
          <w:szCs w:val="20"/>
        </w:rPr>
      </w:pPr>
      <w:r>
        <w:rPr>
          <w:sz w:val="20"/>
          <w:szCs w:val="20"/>
        </w:rPr>
        <w:t>All of the domestic subsidiaries of CoreCivic (as the parent corporat</w:t>
      </w:r>
      <w:r>
        <w:rPr>
          <w:sz w:val="20"/>
          <w:szCs w:val="20"/>
        </w:rPr>
        <w:t>ion) that guarantee the Credit Agreements have provided full and unconditional guarantees of the Senior Notes.  All of CoreCivic's subsidiaries guaranteeing the Senior Notes are 100% owned direct or indirect subsidiaries of CoreCivic; and the subsidiary gu</w:t>
      </w:r>
      <w:r>
        <w:rPr>
          <w:sz w:val="20"/>
          <w:szCs w:val="20"/>
        </w:rPr>
        <w:t xml:space="preserve">arantees are full and unconditional and are joint and several obligations of the guarantors. </w:t>
      </w:r>
    </w:p>
    <w:p w:rsidR="00000000" w:rsidRDefault="005F13FD">
      <w:pPr>
        <w:pStyle w:val="a3"/>
        <w:spacing w:before="240" w:beforeAutospacing="0" w:after="0" w:afterAutospacing="0"/>
        <w:jc w:val="both"/>
        <w:rPr>
          <w:sz w:val="20"/>
          <w:szCs w:val="20"/>
        </w:rPr>
      </w:pPr>
      <w:r>
        <w:rPr>
          <w:sz w:val="20"/>
          <w:szCs w:val="20"/>
        </w:rPr>
        <w:t>As of September 30, 2020, neither CoreCivic nor any of its subsidiary guarantors had any material or significant restrictions on CoreCivic's ability to obtain fun</w:t>
      </w:r>
      <w:r>
        <w:rPr>
          <w:sz w:val="20"/>
          <w:szCs w:val="20"/>
        </w:rPr>
        <w:t>ds from its subsidiaries by dividend or loan or to transfer assets from such subsidiaries.</w:t>
      </w:r>
    </w:p>
    <w:p w:rsidR="00000000" w:rsidRDefault="005F13FD">
      <w:pPr>
        <w:pStyle w:val="a3"/>
        <w:spacing w:before="120" w:beforeAutospacing="0" w:after="0" w:afterAutospacing="0"/>
        <w:jc w:val="both"/>
        <w:rPr>
          <w:sz w:val="20"/>
          <w:szCs w:val="20"/>
        </w:rPr>
      </w:pPr>
      <w:r>
        <w:rPr>
          <w:sz w:val="20"/>
          <w:szCs w:val="20"/>
        </w:rPr>
        <w:t>The indentures governing our Senior Notes contain certain customary covenants that, subject to certain exceptions and qualifications, restrict CoreCivic's ability to</w:t>
      </w:r>
      <w:r>
        <w:rPr>
          <w:sz w:val="20"/>
          <w:szCs w:val="20"/>
        </w:rPr>
        <w:t>, among other things, create or permit to exist certain liens and consolidate, merge or transfer all or substantially all of CoreCivic's assets.  In addition, if CoreCivic experiences specific kinds of changes in control, CoreCivic must offer to repurchase</w:t>
      </w:r>
      <w:r>
        <w:rPr>
          <w:sz w:val="20"/>
          <w:szCs w:val="20"/>
        </w:rPr>
        <w:t xml:space="preserve"> all or a portion of the Senior Notes.  The offer price for the Senior Notes in connection with a change in control would be 101% of the aggregate principal amount of the notes repurchased plus accrued and unpaid interest and liquidated damages, if any, on</w:t>
      </w:r>
      <w:r>
        <w:rPr>
          <w:sz w:val="20"/>
          <w:szCs w:val="20"/>
        </w:rPr>
        <w:t xml:space="preserve"> the notes repurchased to the date of purchase.   </w:t>
      </w:r>
    </w:p>
    <w:p w:rsidR="00000000" w:rsidRDefault="005F13FD">
      <w:pPr>
        <w:pStyle w:val="a3"/>
        <w:spacing w:before="120" w:beforeAutospacing="0" w:after="0" w:afterAutospacing="0"/>
        <w:jc w:val="both"/>
        <w:rPr>
          <w:sz w:val="20"/>
          <w:szCs w:val="20"/>
        </w:rPr>
      </w:pPr>
      <w:r>
        <w:rPr>
          <w:sz w:val="20"/>
          <w:szCs w:val="20"/>
        </w:rPr>
        <w:t xml:space="preserve">The following tables present summarized information for CoreCivic and the subsidiary guarantors, on a combined basis after elimination of (i) intercompany transactions and balances among CoreCivic and the </w:t>
      </w:r>
      <w:r>
        <w:rPr>
          <w:sz w:val="20"/>
          <w:szCs w:val="20"/>
        </w:rPr>
        <w:t>subsidiary guarantors and (ii) equity in earnings from, and any investments in, any subsidiary that is a non-guarantor (in thousands).  </w:t>
      </w:r>
    </w:p>
    <w:p w:rsidR="00000000" w:rsidRDefault="005F13FD">
      <w:pPr>
        <w:pStyle w:val="a3"/>
        <w:spacing w:before="12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849"/>
        <w:gridCol w:w="65"/>
        <w:gridCol w:w="116"/>
        <w:gridCol w:w="921"/>
        <w:gridCol w:w="65"/>
        <w:gridCol w:w="65"/>
        <w:gridCol w:w="116"/>
        <w:gridCol w:w="1213"/>
        <w:gridCol w:w="65"/>
      </w:tblGrid>
      <w:tr w:rsidR="00000000">
        <w:trPr>
          <w:divId w:val="1087310324"/>
        </w:trPr>
        <w:tc>
          <w:tcPr>
            <w:tcW w:w="335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 2020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08731032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Current assets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585,243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402,983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08731032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Real estate and related assets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2,655,491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2,738,347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08731032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Other assets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324,254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241,823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08731032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Total non-current assets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2,979,745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2,980,170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08731032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Current liabilities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201,633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258,834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08731032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Long-term debt, net</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1,701,185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1,629,427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087310324"/>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   Other liabilities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240,878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118,048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087310324"/>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Total long-term liabilities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1,942,063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1,747,475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360" w:beforeAutospacing="0" w:after="0" w:afterAutospacing="0"/>
        <w:jc w:val="both"/>
        <w:rPr>
          <w:b/>
          <w:bCs/>
          <w:sz w:val="20"/>
          <w:szCs w:val="20"/>
        </w:rPr>
      </w:pPr>
      <w:r>
        <w:rPr>
          <w:b/>
          <w:bCs/>
          <w:sz w:val="20"/>
          <w:szCs w:val="20"/>
        </w:rPr>
        <w:t> </w:t>
      </w:r>
    </w:p>
    <w:tbl>
      <w:tblPr>
        <w:tblW w:w="4500" w:type="pct"/>
        <w:tblCellMar>
          <w:left w:w="0" w:type="dxa"/>
          <w:right w:w="0" w:type="dxa"/>
        </w:tblCellMar>
        <w:tblLook w:val="04A0" w:firstRow="1" w:lastRow="0" w:firstColumn="1" w:lastColumn="0" w:noHBand="0" w:noVBand="1"/>
      </w:tblPr>
      <w:tblGrid>
        <w:gridCol w:w="4761"/>
        <w:gridCol w:w="100"/>
        <w:gridCol w:w="115"/>
        <w:gridCol w:w="1174"/>
        <w:gridCol w:w="65"/>
        <w:gridCol w:w="100"/>
        <w:gridCol w:w="115"/>
        <w:gridCol w:w="980"/>
        <w:gridCol w:w="65"/>
      </w:tblGrid>
      <w:tr w:rsidR="00000000">
        <w:trPr>
          <w:divId w:val="1947300979"/>
        </w:trPr>
        <w:tc>
          <w:tcPr>
            <w:tcW w:w="319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pPr>
            <w:r>
              <w:t> </w:t>
            </w:r>
          </w:p>
        </w:tc>
        <w:tc>
          <w:tcPr>
            <w:tcW w:w="7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 </w:t>
            </w:r>
          </w:p>
        </w:tc>
        <w:tc>
          <w:tcPr>
            <w:tcW w:w="84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Nine</w:t>
            </w:r>
          </w:p>
          <w:p w:rsidR="00000000" w:rsidRDefault="005F13FD">
            <w:pPr>
              <w:pStyle w:val="a3"/>
              <w:spacing w:before="0" w:beforeAutospacing="0" w:after="0" w:afterAutospacing="0"/>
              <w:jc w:val="center"/>
              <w:rPr>
                <w:b/>
                <w:bCs/>
                <w:color w:val="000000"/>
                <w:sz w:val="16"/>
                <w:szCs w:val="16"/>
              </w:rPr>
            </w:pPr>
            <w:r>
              <w:rPr>
                <w:b/>
                <w:bCs/>
                <w:color w:val="000000"/>
                <w:sz w:val="16"/>
                <w:szCs w:val="16"/>
              </w:rPr>
              <w:t>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 2020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Twelve</w:t>
            </w:r>
          </w:p>
          <w:p w:rsidR="00000000" w:rsidRDefault="005F13FD">
            <w:pPr>
              <w:pStyle w:val="a3"/>
              <w:spacing w:before="0" w:beforeAutospacing="0" w:after="0" w:afterAutospacing="0"/>
              <w:jc w:val="center"/>
              <w:rPr>
                <w:b/>
                <w:bCs/>
                <w:color w:val="000000"/>
                <w:sz w:val="16"/>
                <w:szCs w:val="16"/>
              </w:rPr>
            </w:pPr>
            <w:r>
              <w:rPr>
                <w:b/>
                <w:bCs/>
                <w:color w:val="000000"/>
                <w:sz w:val="16"/>
                <w:szCs w:val="16"/>
              </w:rPr>
              <w:t>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947300979"/>
        </w:trPr>
        <w:tc>
          <w:tcPr>
            <w:tcW w:w="319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Revenues</w:t>
            </w:r>
          </w:p>
        </w:tc>
        <w:tc>
          <w:tcPr>
            <w:tcW w:w="75"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1,405,026</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6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1,957,143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47300979"/>
        </w:trPr>
        <w:tc>
          <w:tcPr>
            <w:tcW w:w="319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Operating expenses</w:t>
            </w:r>
          </w:p>
        </w:tc>
        <w:tc>
          <w:tcPr>
            <w:tcW w:w="7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1,054,557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6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1,413,627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47300979"/>
        </w:trPr>
        <w:tc>
          <w:tcPr>
            <w:tcW w:w="319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Other expenses</w:t>
            </w:r>
          </w:p>
        </w:tc>
        <w:tc>
          <w:tcPr>
            <w:tcW w:w="75"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215,231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6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268,590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47300979"/>
        </w:trPr>
        <w:tc>
          <w:tcPr>
            <w:tcW w:w="3192"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Total expenses</w:t>
            </w:r>
          </w:p>
        </w:tc>
        <w:tc>
          <w:tcPr>
            <w:tcW w:w="7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1,269,788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6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1,682,217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47300979"/>
        </w:trPr>
        <w:tc>
          <w:tcPr>
            <w:tcW w:w="3192"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Operating income</w:t>
            </w:r>
          </w:p>
        </w:tc>
        <w:tc>
          <w:tcPr>
            <w:tcW w:w="75"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135,238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6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274,926</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47300979"/>
        </w:trPr>
        <w:tc>
          <w:tcPr>
            <w:tcW w:w="3192"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Net income</w:t>
            </w:r>
          </w:p>
        </w:tc>
        <w:tc>
          <w:tcPr>
            <w:tcW w:w="7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82,451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6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189,357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947300979"/>
        </w:trPr>
        <w:tc>
          <w:tcPr>
            <w:tcW w:w="3192"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Net income attributable to common stockholders</w:t>
            </w:r>
          </w:p>
        </w:tc>
        <w:tc>
          <w:tcPr>
            <w:tcW w:w="75"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82,451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6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189,357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240" w:beforeAutospacing="0" w:after="0" w:afterAutospacing="0"/>
        <w:jc w:val="center"/>
        <w:rPr>
          <w:sz w:val="20"/>
          <w:szCs w:val="20"/>
        </w:rPr>
      </w:pPr>
      <w:r>
        <w:rPr>
          <w:sz w:val="20"/>
          <w:szCs w:val="20"/>
        </w:rPr>
        <w:t>41</w:t>
      </w:r>
    </w:p>
    <w:p w:rsidR="00000000" w:rsidRDefault="005F13FD">
      <w:pPr>
        <w:rPr>
          <w:rFonts w:eastAsia="Times New Roman"/>
        </w:rPr>
      </w:pPr>
      <w:r>
        <w:rPr>
          <w:rFonts w:eastAsia="Times New Roman"/>
        </w:rPr>
        <w:pict>
          <v:rect id="_x0000_i1067"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360" w:beforeAutospacing="0" w:after="0" w:afterAutospacing="0"/>
        <w:jc w:val="both"/>
        <w:rPr>
          <w:b/>
          <w:bCs/>
          <w:sz w:val="20"/>
          <w:szCs w:val="20"/>
        </w:rPr>
      </w:pPr>
      <w:r>
        <w:rPr>
          <w:b/>
          <w:bCs/>
          <w:sz w:val="20"/>
          <w:szCs w:val="20"/>
        </w:rPr>
        <w:t>Funds from Operations</w:t>
      </w:r>
    </w:p>
    <w:p w:rsidR="00000000" w:rsidRDefault="005F13FD">
      <w:pPr>
        <w:pStyle w:val="a3"/>
        <w:spacing w:before="120" w:beforeAutospacing="0" w:after="0" w:afterAutospacing="0"/>
        <w:jc w:val="both"/>
        <w:rPr>
          <w:sz w:val="20"/>
          <w:szCs w:val="20"/>
        </w:rPr>
      </w:pPr>
      <w:r>
        <w:rPr>
          <w:sz w:val="20"/>
          <w:szCs w:val="20"/>
        </w:rPr>
        <w:t>Funds From Operations, or FFO, is a widely accepted supplemental non-GAAP measure utilized to evaluate the operating performance of real estate companies. The National Association of Real Estate I</w:t>
      </w:r>
      <w:r>
        <w:rPr>
          <w:sz w:val="20"/>
          <w:szCs w:val="20"/>
        </w:rPr>
        <w:t>nvestment Trusts, or NAREIT, defines FFO as net income computed in accordance with GAAP, excluding gains or losses from sales of property and extraordinary items, plus depreciation and amortization of real estate and impairment of depreciable real estate a</w:t>
      </w:r>
      <w:r>
        <w:rPr>
          <w:sz w:val="20"/>
          <w:szCs w:val="20"/>
        </w:rPr>
        <w:t>nd after adjustments for unconsolidated partnerships and joint ventures calculated to reflect funds from operations on the same basis.  We believe FFO is an important supplemental measure of our operating performance and believe it is frequently used by se</w:t>
      </w:r>
      <w:r>
        <w:rPr>
          <w:sz w:val="20"/>
          <w:szCs w:val="20"/>
        </w:rPr>
        <w:t xml:space="preserve">curities analysts, investors and other interested parties in the evaluation of REITs and other real estate companies, many of which present FFO when reporting results. </w:t>
      </w:r>
    </w:p>
    <w:p w:rsidR="00000000" w:rsidRDefault="005F13FD">
      <w:pPr>
        <w:pStyle w:val="a3"/>
        <w:spacing w:before="240" w:beforeAutospacing="0" w:after="0" w:afterAutospacing="0"/>
        <w:jc w:val="both"/>
        <w:rPr>
          <w:spacing w:val="-2"/>
          <w:sz w:val="20"/>
          <w:szCs w:val="20"/>
        </w:rPr>
      </w:pPr>
      <w:r>
        <w:rPr>
          <w:spacing w:val="-2"/>
          <w:sz w:val="20"/>
          <w:szCs w:val="20"/>
        </w:rPr>
        <w:t>We also present Normalized FFO as an additional supplemental measure as we believe it i</w:t>
      </w:r>
      <w:r>
        <w:rPr>
          <w:spacing w:val="-2"/>
          <w:sz w:val="20"/>
          <w:szCs w:val="20"/>
        </w:rPr>
        <w:t>s more reflective of our core operating performance. We may make adjustments to FFO from time to time for certain other income and expenses that we consider non-recurring, infrequent or unusual, even though such items may require cash settlement, because s</w:t>
      </w:r>
      <w:r>
        <w:rPr>
          <w:spacing w:val="-2"/>
          <w:sz w:val="20"/>
          <w:szCs w:val="20"/>
        </w:rPr>
        <w:t>uch items do not reflect a necessary or ordinary component of our ongoing operations.  Even though expenses associated with M&amp;A may be recurring, the magnitude and timing fluctuate based on the timing and scope of M&amp;A activity, and therefore, such expenses</w:t>
      </w:r>
      <w:r>
        <w:rPr>
          <w:spacing w:val="-2"/>
          <w:sz w:val="20"/>
          <w:szCs w:val="20"/>
        </w:rPr>
        <w:t>, which are not a necessary component of our ongoing operations, may not be comparable from period to period.  Start-up expenses represent the incremental operating losses incurred during the period we were activating idle correctional facilities.  Normali</w:t>
      </w:r>
      <w:r>
        <w:rPr>
          <w:spacing w:val="-2"/>
          <w:sz w:val="20"/>
          <w:szCs w:val="20"/>
        </w:rPr>
        <w:t>zed FFO excludes the effects of such items.</w:t>
      </w:r>
    </w:p>
    <w:p w:rsidR="00000000" w:rsidRDefault="005F13FD">
      <w:pPr>
        <w:pStyle w:val="a3"/>
        <w:spacing w:before="240" w:beforeAutospacing="0" w:after="0" w:afterAutospacing="0"/>
        <w:jc w:val="both"/>
        <w:rPr>
          <w:sz w:val="20"/>
          <w:szCs w:val="20"/>
        </w:rPr>
      </w:pPr>
      <w:r>
        <w:rPr>
          <w:sz w:val="20"/>
          <w:szCs w:val="20"/>
        </w:rPr>
        <w:t>FFO and Normalized FFO are supplemental non-GAAP financial measures of real estate companies' operating performance, which do not represent cash generated from operating activities in accordance with GAAP and therefore should not be considered an alternati</w:t>
      </w:r>
      <w:r>
        <w:rPr>
          <w:sz w:val="20"/>
          <w:szCs w:val="20"/>
        </w:rPr>
        <w:t>ve for net income or as a measure of liquidity. Our method of calculating FFO and Normalized FFO may be different from methods used by other REITs and, accordingly, may not be comparable to such other REITs.</w:t>
      </w:r>
    </w:p>
    <w:p w:rsidR="00000000" w:rsidRDefault="005F13FD">
      <w:pPr>
        <w:pStyle w:val="a3"/>
        <w:spacing w:before="240" w:beforeAutospacing="0" w:after="0" w:afterAutospacing="0"/>
        <w:jc w:val="both"/>
        <w:rPr>
          <w:sz w:val="20"/>
          <w:szCs w:val="20"/>
        </w:rPr>
      </w:pPr>
      <w:r>
        <w:rPr>
          <w:sz w:val="20"/>
          <w:szCs w:val="20"/>
        </w:rPr>
        <w:t>Our reconciliation of net income to FFO and Norm</w:t>
      </w:r>
      <w:r>
        <w:rPr>
          <w:sz w:val="20"/>
          <w:szCs w:val="20"/>
        </w:rPr>
        <w:t>alized FFO for the three and nine months ended September 30, 2020 and 2019 is as follows (in thousands):</w:t>
      </w:r>
    </w:p>
    <w:p w:rsidR="00000000" w:rsidRDefault="005F13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5000"/>
        <w:gridCol w:w="102"/>
        <w:gridCol w:w="115"/>
        <w:gridCol w:w="945"/>
        <w:gridCol w:w="82"/>
        <w:gridCol w:w="102"/>
        <w:gridCol w:w="115"/>
        <w:gridCol w:w="949"/>
        <w:gridCol w:w="65"/>
      </w:tblGrid>
      <w:tr w:rsidR="00000000">
        <w:trPr>
          <w:divId w:val="1414279962"/>
        </w:trPr>
        <w:tc>
          <w:tcPr>
            <w:tcW w:w="335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414279962"/>
        </w:trPr>
        <w:tc>
          <w:tcPr>
            <w:tcW w:w="335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FUNDS FROM OPERATIONS: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1414279962"/>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26,717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48,994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14279962"/>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28,249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27,264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14279962"/>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Gain on sale of real estate assets, net of taxes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(1,570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14279962"/>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Funds From Operations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53,396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76,258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14279962"/>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Expenses associated with mergers and acquisitions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14279962"/>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Contingent consideration for acquisition of businesses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14279962"/>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Expenses associated with COVID-19</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2,820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14279962"/>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Expenses associated with changes in corporate</w:t>
            </w:r>
          </w:p>
          <w:p w:rsidR="00000000" w:rsidRDefault="005F13FD">
            <w:pPr>
              <w:pStyle w:val="a3"/>
              <w:spacing w:before="0" w:beforeAutospacing="0" w:after="0" w:afterAutospacing="0"/>
              <w:rPr>
                <w:color w:val="000000"/>
                <w:sz w:val="20"/>
                <w:szCs w:val="20"/>
              </w:rPr>
            </w:pPr>
            <w:r>
              <w:rPr>
                <w:color w:val="000000"/>
                <w:sz w:val="20"/>
                <w:szCs w:val="20"/>
              </w:rPr>
              <w:t>   tax structure</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4,698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14279962"/>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Start-up expenses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6,793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14279962"/>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Goodwill and other impairments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805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1414279962"/>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Normalized Funds From Operations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62,339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83,134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240" w:beforeAutospacing="0" w:after="0" w:afterAutospacing="0"/>
        <w:jc w:val="center"/>
        <w:rPr>
          <w:sz w:val="20"/>
          <w:szCs w:val="20"/>
        </w:rPr>
      </w:pPr>
      <w:r>
        <w:rPr>
          <w:sz w:val="20"/>
          <w:szCs w:val="20"/>
        </w:rPr>
        <w:t>42</w:t>
      </w:r>
    </w:p>
    <w:p w:rsidR="00000000" w:rsidRDefault="005F13FD">
      <w:pPr>
        <w:rPr>
          <w:rFonts w:eastAsia="Times New Roman"/>
        </w:rPr>
      </w:pPr>
      <w:r>
        <w:rPr>
          <w:rFonts w:eastAsia="Times New Roman"/>
        </w:rPr>
        <w:pict>
          <v:rect id="_x0000_i1068"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7"/>
        <w:gridCol w:w="99"/>
        <w:gridCol w:w="115"/>
        <w:gridCol w:w="942"/>
        <w:gridCol w:w="82"/>
        <w:gridCol w:w="99"/>
        <w:gridCol w:w="115"/>
        <w:gridCol w:w="944"/>
        <w:gridCol w:w="82"/>
      </w:tblGrid>
      <w:tr w:rsidR="00000000">
        <w:trPr>
          <w:divId w:val="5905479"/>
        </w:trPr>
        <w:tc>
          <w:tcPr>
            <w:tcW w:w="335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5F13FD">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5905479"/>
        </w:trPr>
        <w:tc>
          <w:tcPr>
            <w:tcW w:w="335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FUNDS FROM OPERATIONS: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r>
      <w:tr w:rsidR="00000000">
        <w:trPr>
          <w:divId w:val="5905479"/>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82,141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146,912</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905479"/>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84,599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80,366</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905479"/>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Impairment of real estate assets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10,155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4,428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905479"/>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Gain on sale of real estate assets, net of taxes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(4,388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(287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r>
      <w:tr w:rsidR="00000000">
        <w:trPr>
          <w:divId w:val="5905479"/>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Funds From Operations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172,507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231,419</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905479"/>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Expenses associated with mergers and acquisitions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338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957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905479"/>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Contingent consideration for acquisition of businesses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620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905479"/>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Expenses associated with COVID-19</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10,985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905479"/>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Expenses associated with changes in corporate</w:t>
            </w:r>
          </w:p>
          <w:p w:rsidR="00000000" w:rsidRDefault="005F13FD">
            <w:pPr>
              <w:pStyle w:val="a3"/>
              <w:spacing w:before="0" w:beforeAutospacing="0" w:after="0" w:afterAutospacing="0"/>
              <w:rPr>
                <w:color w:val="000000"/>
                <w:sz w:val="20"/>
                <w:szCs w:val="20"/>
              </w:rPr>
            </w:pPr>
            <w:r>
              <w:rPr>
                <w:color w:val="000000"/>
                <w:sz w:val="20"/>
                <w:szCs w:val="20"/>
              </w:rPr>
              <w:t>   tax structure</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5,045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905479"/>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Deferred tax expense on Kansas lease structure</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3,085</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905479"/>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Start-up expenses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9,480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905479"/>
        </w:trPr>
        <w:tc>
          <w:tcPr>
            <w:tcW w:w="335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Goodwill and other impairments</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2,903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000000">
        <w:trPr>
          <w:divId w:val="5905479"/>
        </w:trPr>
        <w:tc>
          <w:tcPr>
            <w:tcW w:w="335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ind w:left="274"/>
              <w:rPr>
                <w:color w:val="000000"/>
                <w:sz w:val="20"/>
                <w:szCs w:val="20"/>
              </w:rPr>
            </w:pPr>
            <w:r>
              <w:rPr>
                <w:color w:val="000000"/>
                <w:sz w:val="20"/>
                <w:szCs w:val="20"/>
              </w:rPr>
              <w:t>Normalized Funds From Operations</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b/>
                <w:bCs/>
                <w:color w:val="000000"/>
                <w:sz w:val="20"/>
                <w:szCs w:val="20"/>
              </w:rPr>
            </w:pPr>
            <w:r>
              <w:rPr>
                <w:b/>
                <w:bCs/>
                <w:color w:val="000000"/>
                <w:sz w:val="20"/>
                <w:szCs w:val="20"/>
              </w:rPr>
              <w:t>195,483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242,134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160" w:beforeAutospacing="0" w:after="0" w:afterAutospacing="0"/>
        <w:jc w:val="both"/>
        <w:rPr>
          <w:b/>
          <w:bCs/>
          <w:sz w:val="20"/>
          <w:szCs w:val="20"/>
        </w:rPr>
      </w:pPr>
      <w:r>
        <w:rPr>
          <w:b/>
          <w:bCs/>
          <w:sz w:val="20"/>
          <w:szCs w:val="20"/>
        </w:rPr>
        <w:t> </w:t>
      </w:r>
    </w:p>
    <w:p w:rsidR="00000000" w:rsidRDefault="005F13FD">
      <w:pPr>
        <w:pStyle w:val="a3"/>
        <w:spacing w:before="160" w:beforeAutospacing="0" w:after="0" w:afterAutospacing="0"/>
        <w:jc w:val="both"/>
        <w:rPr>
          <w:b/>
          <w:bCs/>
          <w:sz w:val="20"/>
          <w:szCs w:val="20"/>
        </w:rPr>
      </w:pPr>
      <w:r>
        <w:rPr>
          <w:b/>
          <w:bCs/>
          <w:sz w:val="20"/>
          <w:szCs w:val="20"/>
        </w:rPr>
        <w:t>Contractual Obligations</w:t>
      </w:r>
    </w:p>
    <w:p w:rsidR="00000000" w:rsidRDefault="005F13FD">
      <w:pPr>
        <w:pStyle w:val="a3"/>
        <w:spacing w:before="120" w:beforeAutospacing="0" w:after="0" w:afterAutospacing="0"/>
        <w:jc w:val="both"/>
        <w:rPr>
          <w:sz w:val="20"/>
          <w:szCs w:val="20"/>
        </w:rPr>
      </w:pPr>
      <w:r>
        <w:rPr>
          <w:sz w:val="20"/>
          <w:szCs w:val="20"/>
        </w:rPr>
        <w:t>The following schedule summarizes our contractual cash obligations by the indicated period as of September 30, 2020 (in thousands):</w:t>
      </w:r>
    </w:p>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17"/>
        <w:gridCol w:w="65"/>
        <w:gridCol w:w="118"/>
        <w:gridCol w:w="724"/>
        <w:gridCol w:w="65"/>
        <w:gridCol w:w="65"/>
        <w:gridCol w:w="115"/>
        <w:gridCol w:w="665"/>
        <w:gridCol w:w="65"/>
        <w:gridCol w:w="65"/>
        <w:gridCol w:w="115"/>
        <w:gridCol w:w="665"/>
        <w:gridCol w:w="65"/>
        <w:gridCol w:w="65"/>
        <w:gridCol w:w="115"/>
        <w:gridCol w:w="815"/>
        <w:gridCol w:w="65"/>
        <w:gridCol w:w="65"/>
        <w:gridCol w:w="115"/>
        <w:gridCol w:w="665"/>
        <w:gridCol w:w="65"/>
        <w:gridCol w:w="65"/>
        <w:gridCol w:w="132"/>
        <w:gridCol w:w="805"/>
        <w:gridCol w:w="65"/>
        <w:gridCol w:w="65"/>
        <w:gridCol w:w="115"/>
        <w:gridCol w:w="815"/>
        <w:gridCol w:w="65"/>
      </w:tblGrid>
      <w:tr w:rsidR="00000000">
        <w:trPr>
          <w:divId w:val="1314799221"/>
        </w:trPr>
        <w:tc>
          <w:tcPr>
            <w:tcW w:w="183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sz w:val="20"/>
                <w:szCs w:val="20"/>
              </w:rPr>
            </w:pPr>
            <w:r>
              <w:rPr>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3070" w:type="pct"/>
            <w:gridSpan w:val="26"/>
            <w:tcBorders>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Payments Due By Year Ended December 31,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r>
      <w:tr w:rsidR="00000000">
        <w:trPr>
          <w:divId w:val="1314799221"/>
        </w:trPr>
        <w:tc>
          <w:tcPr>
            <w:tcW w:w="183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2020</w:t>
            </w:r>
          </w:p>
          <w:p w:rsidR="00000000" w:rsidRDefault="005F13FD">
            <w:pPr>
              <w:pStyle w:val="a3"/>
              <w:spacing w:before="0" w:beforeAutospacing="0" w:after="0" w:afterAutospacing="0"/>
              <w:jc w:val="center"/>
              <w:rPr>
                <w:b/>
                <w:bCs/>
                <w:color w:val="000000"/>
                <w:sz w:val="16"/>
                <w:szCs w:val="16"/>
              </w:rPr>
            </w:pPr>
            <w:r>
              <w:rPr>
                <w:b/>
                <w:bCs/>
                <w:color w:val="000000"/>
                <w:sz w:val="16"/>
                <w:szCs w:val="16"/>
              </w:rPr>
              <w:t>(remainder)</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16"/>
                <w:szCs w:val="16"/>
              </w:rPr>
            </w:pPr>
            <w:r>
              <w:rPr>
                <w:b/>
                <w:bCs/>
                <w:color w:val="000000"/>
                <w:sz w:val="16"/>
                <w:szCs w:val="16"/>
              </w:rPr>
              <w:t>2024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Thereafter</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b/>
                <w:bCs/>
                <w:color w:val="000000"/>
                <w:sz w:val="20"/>
                <w:szCs w:val="20"/>
              </w:rPr>
            </w:pPr>
            <w:r>
              <w:rPr>
                <w:b/>
                <w:bCs/>
                <w:color w:val="000000"/>
                <w:sz w:val="20"/>
                <w:szCs w:val="20"/>
              </w:rPr>
              <w:t> </w:t>
            </w:r>
          </w:p>
        </w:tc>
      </w:tr>
      <w:tr w:rsidR="005F13FD">
        <w:trPr>
          <w:divId w:val="1314799221"/>
        </w:trPr>
        <w:tc>
          <w:tcPr>
            <w:tcW w:w="183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Long-term debt</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8,585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40,047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293,990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996,170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196,044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571,577</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2,106,413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1314799221"/>
        </w:trPr>
        <w:tc>
          <w:tcPr>
            <w:tcW w:w="183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Interest on senior and mortgage notes</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24,550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57,314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56,790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35,594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26,863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129,648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330,759</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1314799221"/>
        </w:trPr>
        <w:tc>
          <w:tcPr>
            <w:tcW w:w="183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Contractual facility developments and</w:t>
            </w:r>
          </w:p>
          <w:p w:rsidR="00000000" w:rsidRDefault="005F13FD">
            <w:pPr>
              <w:pStyle w:val="a3"/>
              <w:spacing w:before="0" w:beforeAutospacing="0" w:after="0" w:afterAutospacing="0"/>
              <w:rPr>
                <w:color w:val="000000"/>
                <w:sz w:val="20"/>
                <w:szCs w:val="20"/>
              </w:rPr>
            </w:pPr>
            <w:r>
              <w:rPr>
                <w:color w:val="000000"/>
                <w:sz w:val="20"/>
                <w:szCs w:val="20"/>
              </w:rPr>
              <w:t>   other commitments</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1,621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1,621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1314799221"/>
        </w:trPr>
        <w:tc>
          <w:tcPr>
            <w:tcW w:w="183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South Texas Family Residential Center</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12,961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51,421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51,421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51,421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51,562</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89,881</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308,667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1314799221"/>
        </w:trPr>
        <w:tc>
          <w:tcPr>
            <w:tcW w:w="1834" w:type="pct"/>
            <w:shd w:val="clear" w:color="auto" w:fill="CFF0FC"/>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Operating leases</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1,370</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5,221</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4,203</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3,145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3,135</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24,184</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41,258</w:t>
            </w:r>
          </w:p>
        </w:tc>
        <w:tc>
          <w:tcPr>
            <w:tcW w:w="50" w:type="pct"/>
            <w:shd w:val="clear" w:color="auto" w:fill="CFF0FC"/>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r>
      <w:tr w:rsidR="005F13FD">
        <w:trPr>
          <w:divId w:val="1314799221"/>
        </w:trPr>
        <w:tc>
          <w:tcPr>
            <w:tcW w:w="1834" w:type="pct"/>
            <w:shd w:val="clear" w:color="auto" w:fill="FFFFFF"/>
            <w:tcMar>
              <w:top w:w="15" w:type="dxa"/>
              <w:left w:w="0" w:type="dxa"/>
              <w:bottom w:w="0" w:type="dxa"/>
              <w:right w:w="15" w:type="dxa"/>
            </w:tcMar>
            <w:hideMark/>
          </w:tcPr>
          <w:p w:rsidR="00000000" w:rsidRDefault="005F13FD">
            <w:pPr>
              <w:pStyle w:val="a3"/>
              <w:spacing w:before="0" w:beforeAutospacing="0" w:after="0" w:afterAutospacing="0"/>
              <w:rPr>
                <w:color w:val="000000"/>
                <w:sz w:val="20"/>
                <w:szCs w:val="20"/>
              </w:rPr>
            </w:pPr>
            <w:r>
              <w:rPr>
                <w:color w:val="000000"/>
                <w:sz w:val="20"/>
                <w:szCs w:val="20"/>
              </w:rPr>
              <w:t>Total contractual cash obligations</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49,087</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154,003</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406,404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1,086,330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277,604</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815,290</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jc w:val="right"/>
              <w:rPr>
                <w:color w:val="000000"/>
                <w:sz w:val="20"/>
                <w:szCs w:val="20"/>
              </w:rPr>
            </w:pPr>
            <w:r>
              <w:rPr>
                <w:color w:val="000000"/>
                <w:sz w:val="20"/>
                <w:szCs w:val="20"/>
              </w:rPr>
              <w:t>2,788,718</w:t>
            </w:r>
          </w:p>
        </w:tc>
        <w:tc>
          <w:tcPr>
            <w:tcW w:w="50" w:type="pct"/>
            <w:shd w:val="clear" w:color="auto" w:fill="FFFFFF"/>
            <w:noWrap/>
            <w:tcMar>
              <w:top w:w="15" w:type="dxa"/>
              <w:left w:w="0" w:type="dxa"/>
              <w:bottom w:w="0" w:type="dxa"/>
              <w:right w:w="15" w:type="dxa"/>
            </w:tcMar>
            <w:vAlign w:val="bottom"/>
            <w:hideMark/>
          </w:tcPr>
          <w:p w:rsidR="00000000" w:rsidRDefault="005F13FD">
            <w:pPr>
              <w:pStyle w:val="a3"/>
              <w:spacing w:before="0" w:beforeAutospacing="0" w:after="0" w:afterAutospacing="0"/>
              <w:rPr>
                <w:color w:val="000000"/>
                <w:sz w:val="2"/>
                <w:szCs w:val="2"/>
              </w:rPr>
            </w:pPr>
            <w:r>
              <w:rPr>
                <w:color w:val="000000"/>
                <w:sz w:val="2"/>
                <w:szCs w:val="2"/>
              </w:rPr>
              <w:t> </w:t>
            </w:r>
          </w:p>
        </w:tc>
      </w:tr>
    </w:tbl>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0" w:beforeAutospacing="0" w:after="0" w:afterAutospacing="0"/>
        <w:jc w:val="both"/>
        <w:rPr>
          <w:sz w:val="20"/>
          <w:szCs w:val="20"/>
        </w:rPr>
      </w:pPr>
      <w:r>
        <w:rPr>
          <w:sz w:val="20"/>
          <w:szCs w:val="20"/>
        </w:rPr>
        <w:t>The cash obligations in the table above do not include future cash obligations f</w:t>
      </w:r>
      <w:r>
        <w:rPr>
          <w:sz w:val="20"/>
          <w:szCs w:val="20"/>
        </w:rPr>
        <w:t xml:space="preserve">or variable interest expense associated with our Term Loan A, Term Loan B or the balance on our outstanding revolving credit facility as projections would be based on future outstanding balances as well as future variable interest rates, and we are unable </w:t>
      </w:r>
      <w:r>
        <w:rPr>
          <w:sz w:val="20"/>
          <w:szCs w:val="20"/>
        </w:rPr>
        <w:t>to make reliable estimates of either.  The contractual facility developments included in the table above represent development projects for which we have already entered into a contract with a customer that obligates us to complete the development project.</w:t>
      </w:r>
      <w:r>
        <w:rPr>
          <w:sz w:val="20"/>
          <w:szCs w:val="20"/>
        </w:rPr>
        <w:t>  The table excludes two renovation projects, totaling approximately $23.0 million, that the federal government has agreed to reimburse over a twelve-month period. Certain of our other ongoing construction projects are not currently under contract and thus</w:t>
      </w:r>
      <w:r>
        <w:rPr>
          <w:sz w:val="20"/>
          <w:szCs w:val="20"/>
        </w:rPr>
        <w:t xml:space="preserve"> are not included as a contractual obligation above as we may generally suspend or terminate such projects without substantial penalty.  With respect to the South Texas Family Residential Center, the cash obligations included in the table above reflect the</w:t>
      </w:r>
      <w:r>
        <w:rPr>
          <w:sz w:val="20"/>
          <w:szCs w:val="20"/>
        </w:rPr>
        <w:t xml:space="preserve"> full contractual obligations of the lease of the site, excluding contingent payments, even though the lease agreement provides us with the ability to terminate if ICE terminates the amended IGSA associated with the facility.  </w:t>
      </w:r>
    </w:p>
    <w:p w:rsidR="00000000" w:rsidRDefault="005F13FD">
      <w:pPr>
        <w:pStyle w:val="a3"/>
        <w:spacing w:before="240" w:beforeAutospacing="0" w:after="0" w:afterAutospacing="0"/>
        <w:jc w:val="both"/>
        <w:rPr>
          <w:sz w:val="20"/>
          <w:szCs w:val="20"/>
        </w:rPr>
      </w:pPr>
      <w:r>
        <w:rPr>
          <w:sz w:val="20"/>
          <w:szCs w:val="20"/>
        </w:rPr>
        <w:t>We had $14.8 million of letters of credit outstanding at September 30, 2020 primarily to support our requirement to repay fees and claims under our self-insured workers' compensation plan in the event we do not repay the fees and claims due in accordance w</w:t>
      </w:r>
      <w:r>
        <w:rPr>
          <w:sz w:val="20"/>
          <w:szCs w:val="20"/>
        </w:rPr>
        <w:t>ith the terms of the plan.  The letters of credit are renewable annually.  We did not have any draws under these outstanding letters of credit during the nine months ended September 30, 2020 or 2019.  </w:t>
      </w:r>
    </w:p>
    <w:p w:rsidR="00000000" w:rsidRDefault="005F13FD">
      <w:pPr>
        <w:pStyle w:val="a3"/>
        <w:spacing w:before="240" w:beforeAutospacing="0" w:after="0" w:afterAutospacing="0"/>
        <w:jc w:val="center"/>
        <w:rPr>
          <w:sz w:val="20"/>
          <w:szCs w:val="20"/>
        </w:rPr>
      </w:pPr>
      <w:r>
        <w:rPr>
          <w:sz w:val="20"/>
          <w:szCs w:val="20"/>
        </w:rPr>
        <w:t>43</w:t>
      </w:r>
    </w:p>
    <w:p w:rsidR="00000000" w:rsidRDefault="005F13FD">
      <w:pPr>
        <w:rPr>
          <w:rFonts w:eastAsia="Times New Roman"/>
        </w:rPr>
      </w:pPr>
      <w:r>
        <w:rPr>
          <w:rFonts w:eastAsia="Times New Roman"/>
        </w:rPr>
        <w:pict>
          <v:rect id="_x0000_i1069"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360" w:beforeAutospacing="0" w:after="0" w:afterAutospacing="0"/>
        <w:jc w:val="both"/>
        <w:rPr>
          <w:b/>
          <w:bCs/>
          <w:sz w:val="20"/>
          <w:szCs w:val="20"/>
        </w:rPr>
      </w:pPr>
      <w:r>
        <w:rPr>
          <w:b/>
          <w:bCs/>
          <w:sz w:val="20"/>
          <w:szCs w:val="20"/>
        </w:rPr>
        <w:t>INFLATION</w:t>
      </w:r>
    </w:p>
    <w:p w:rsidR="00000000" w:rsidRDefault="005F13FD">
      <w:pPr>
        <w:pStyle w:val="a3"/>
        <w:spacing w:before="120" w:beforeAutospacing="0" w:after="0" w:afterAutospacing="0"/>
        <w:jc w:val="both"/>
        <w:rPr>
          <w:sz w:val="20"/>
          <w:szCs w:val="20"/>
        </w:rPr>
      </w:pPr>
      <w:r>
        <w:rPr>
          <w:sz w:val="20"/>
          <w:szCs w:val="20"/>
        </w:rPr>
        <w:t>Ma</w:t>
      </w:r>
      <w:r>
        <w:rPr>
          <w:sz w:val="20"/>
          <w:szCs w:val="20"/>
        </w:rPr>
        <w:t>ny of our contracts include provisions for inflationary indexing, which mitigates an adverse impact of inflation on net income.  However, a substantial increase in personnel costs, workers' compensation or food and medical expenses could have an adverse im</w:t>
      </w:r>
      <w:r>
        <w:rPr>
          <w:sz w:val="20"/>
          <w:szCs w:val="20"/>
        </w:rPr>
        <w:t>pact on our results of operations in the future to the extent that these expenses increase at a faster pace than the per diem or fixed rates we receive for our management services.  We outsource our food service operations to a third party.  The contract w</w:t>
      </w:r>
      <w:r>
        <w:rPr>
          <w:sz w:val="20"/>
          <w:szCs w:val="20"/>
        </w:rPr>
        <w:t>ith our outsourced food service vendor contains certain protections against increases in food costs.  </w:t>
      </w:r>
    </w:p>
    <w:p w:rsidR="00000000" w:rsidRDefault="005F13FD">
      <w:pPr>
        <w:pStyle w:val="a3"/>
        <w:spacing w:before="360" w:beforeAutospacing="0" w:after="0" w:afterAutospacing="0"/>
        <w:jc w:val="both"/>
        <w:rPr>
          <w:b/>
          <w:bCs/>
          <w:sz w:val="20"/>
          <w:szCs w:val="20"/>
        </w:rPr>
      </w:pPr>
      <w:r>
        <w:rPr>
          <w:b/>
          <w:bCs/>
          <w:sz w:val="20"/>
          <w:szCs w:val="20"/>
        </w:rPr>
        <w:t xml:space="preserve">SEASONALITY AND QUARTERLY RESULTS </w:t>
      </w:r>
    </w:p>
    <w:p w:rsidR="00000000" w:rsidRDefault="005F13FD">
      <w:pPr>
        <w:pStyle w:val="a3"/>
        <w:spacing w:before="120" w:beforeAutospacing="0" w:after="0" w:afterAutospacing="0"/>
        <w:jc w:val="both"/>
        <w:rPr>
          <w:sz w:val="20"/>
          <w:szCs w:val="20"/>
        </w:rPr>
      </w:pPr>
      <w:r>
        <w:rPr>
          <w:sz w:val="20"/>
          <w:szCs w:val="20"/>
        </w:rPr>
        <w:t>Certain aspects of our business are subject to seasonal fluctuations.  Because we are generally compensated for operat</w:t>
      </w:r>
      <w:r>
        <w:rPr>
          <w:sz w:val="20"/>
          <w:szCs w:val="20"/>
        </w:rPr>
        <w:t>ing and managing correctional, detention, and reentry facilities at a per diem rate, our financial results are impacted by the number of calendar days in a fiscal quarter. Our fiscal year follows the calendar year and therefore, our daily profits for the t</w:t>
      </w:r>
      <w:r>
        <w:rPr>
          <w:sz w:val="20"/>
          <w:szCs w:val="20"/>
        </w:rPr>
        <w:t xml:space="preserve">hird and fourth quarters include two more days than the first quarter (except in leap years) and one more day than the second quarter.  Further, salaries and benefits represent the most significant component of operating expenses.  Significant portions of </w:t>
      </w:r>
      <w:r>
        <w:rPr>
          <w:sz w:val="20"/>
          <w:szCs w:val="20"/>
        </w:rPr>
        <w:t xml:space="preserve">our unemployment taxes are recognized during the first quarter, when base wage rates reset for unemployment tax purposes.  Quarterly results are also affected by government funding initiatives, acquisitions, the timing of the opening of new facilities, or </w:t>
      </w:r>
      <w:r>
        <w:rPr>
          <w:sz w:val="20"/>
          <w:szCs w:val="20"/>
        </w:rPr>
        <w:t>the commencement of new management contracts and related start-up expenses which may mitigate or exacerbate the impact of other seasonal influences.  Because of seasonality factors, and other factors described here, results for any quarter are not necessar</w:t>
      </w:r>
      <w:r>
        <w:rPr>
          <w:sz w:val="20"/>
          <w:szCs w:val="20"/>
        </w:rPr>
        <w:t xml:space="preserve">ily indicative of the results that may be achieved for the full fiscal year.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293104215"/>
        </w:trPr>
        <w:tc>
          <w:tcPr>
            <w:tcW w:w="453" w:type="pct"/>
            <w:noWrap/>
            <w:hideMark/>
          </w:tcPr>
          <w:p w:rsidR="00000000" w:rsidRDefault="005F13FD">
            <w:pPr>
              <w:pStyle w:val="a3"/>
              <w:spacing w:before="360" w:beforeAutospacing="0" w:after="0" w:afterAutospacing="0"/>
              <w:rPr>
                <w:b/>
                <w:bCs/>
                <w:sz w:val="20"/>
                <w:szCs w:val="20"/>
              </w:rPr>
            </w:pPr>
            <w:r>
              <w:rPr>
                <w:b/>
                <w:bCs/>
                <w:sz w:val="20"/>
                <w:szCs w:val="20"/>
              </w:rPr>
              <w:t>ITEM 3.</w:t>
            </w:r>
          </w:p>
        </w:tc>
        <w:tc>
          <w:tcPr>
            <w:tcW w:w="0" w:type="auto"/>
            <w:hideMark/>
          </w:tcPr>
          <w:p w:rsidR="00000000" w:rsidRDefault="005F13FD">
            <w:pPr>
              <w:pStyle w:val="a3"/>
              <w:spacing w:before="360" w:beforeAutospacing="0" w:after="0" w:afterAutospacing="0"/>
              <w:rPr>
                <w:b/>
                <w:bCs/>
                <w:sz w:val="20"/>
                <w:szCs w:val="20"/>
              </w:rPr>
            </w:pPr>
            <w:r>
              <w:rPr>
                <w:b/>
                <w:bCs/>
                <w:sz w:val="20"/>
                <w:szCs w:val="20"/>
              </w:rPr>
              <w:t>QUANTITATIVE AND QUALITATIVE DISCLOSURES ABOUT MARKET RISK.</w:t>
            </w:r>
          </w:p>
        </w:tc>
      </w:tr>
    </w:tbl>
    <w:p w:rsidR="00000000" w:rsidRDefault="005F13FD">
      <w:pPr>
        <w:pStyle w:val="a3"/>
        <w:spacing w:before="120" w:beforeAutospacing="0" w:after="0" w:afterAutospacing="0"/>
        <w:jc w:val="both"/>
        <w:rPr>
          <w:sz w:val="20"/>
          <w:szCs w:val="20"/>
        </w:rPr>
      </w:pPr>
      <w:r>
        <w:rPr>
          <w:sz w:val="20"/>
          <w:szCs w:val="20"/>
        </w:rPr>
        <w:t>Our primary market risk exposure is to changes in U.S. interest rates.  We are exposed to market risk related</w:t>
      </w:r>
      <w:r>
        <w:rPr>
          <w:sz w:val="20"/>
          <w:szCs w:val="20"/>
        </w:rPr>
        <w:t xml:space="preserve"> to our revolving credit facility, Term Loan A and Term Loan B because the interest rates on these loans are subject to fluctuations in the market.  If the interest rate for our outstanding indebtedness under the revolving credit facility, the Term Loan A,</w:t>
      </w:r>
      <w:r>
        <w:rPr>
          <w:sz w:val="20"/>
          <w:szCs w:val="20"/>
        </w:rPr>
        <w:t xml:space="preserve"> and the Term Loan B was 100 basis points higher or lower during the three and nine months ended September 30, 2020, our interest expense, net of amounts capitalized, would have been increased by $1.9 million and $6.4 million, respectively, and would have </w:t>
      </w:r>
      <w:r>
        <w:rPr>
          <w:sz w:val="20"/>
          <w:szCs w:val="20"/>
        </w:rPr>
        <w:t xml:space="preserve">been decreased by $0.3 million and $3.2 million, respectively. </w:t>
      </w:r>
    </w:p>
    <w:p w:rsidR="00000000" w:rsidRDefault="005F13FD">
      <w:pPr>
        <w:pStyle w:val="a3"/>
        <w:spacing w:before="240" w:beforeAutospacing="0" w:after="0" w:afterAutospacing="0"/>
        <w:jc w:val="both"/>
        <w:rPr>
          <w:sz w:val="20"/>
          <w:szCs w:val="20"/>
        </w:rPr>
      </w:pPr>
      <w:r>
        <w:rPr>
          <w:sz w:val="20"/>
          <w:szCs w:val="20"/>
        </w:rPr>
        <w:t>As of September 30, 2020, we had outstanding $350.0 million of senior notes due 2023 with a fixed interest rate of 4.625%, $250.0 million of senior notes due 2022 with a fixed interest rate of</w:t>
      </w:r>
      <w:r>
        <w:rPr>
          <w:sz w:val="20"/>
          <w:szCs w:val="20"/>
        </w:rPr>
        <w:t xml:space="preserve"> 5.0%, and $250.0 million of senior notes due 2027 with a fixed interest rate of 4.75%. We also had $21.3 million outstanding under the Capital Commerce Note with a fixed interest rate of 4.5%, $158.6 million outstanding under the Kansas Notes with a fixed</w:t>
      </w:r>
      <w:r>
        <w:rPr>
          <w:sz w:val="20"/>
          <w:szCs w:val="20"/>
        </w:rPr>
        <w:t xml:space="preserve"> interest rate of 4.43%, $145.9 million outstanding under the SSA-Baltimore Note with a fixed interest rate of 4.5%, and $51.5 million outstanding under the GRES Note with a fixed interest rate of 4.91%.  Because the interest rates with respect to these in</w:t>
      </w:r>
      <w:r>
        <w:rPr>
          <w:sz w:val="20"/>
          <w:szCs w:val="20"/>
        </w:rPr>
        <w:t>struments are fixed, a hypothetical 100 basis point increase or decrease in market interest rates would not have a material impact on our financial statements.</w:t>
      </w:r>
    </w:p>
    <w:p w:rsidR="00000000" w:rsidRDefault="005F13FD">
      <w:pPr>
        <w:pStyle w:val="a3"/>
        <w:spacing w:before="240" w:beforeAutospacing="0" w:after="0" w:afterAutospacing="0"/>
        <w:jc w:val="both"/>
        <w:rPr>
          <w:sz w:val="20"/>
          <w:szCs w:val="20"/>
        </w:rPr>
      </w:pPr>
      <w:r>
        <w:rPr>
          <w:sz w:val="20"/>
          <w:szCs w:val="20"/>
        </w:rPr>
        <w:t>We may, from time to time, invest our cash in a variety of short-term financial instruments.  Th</w:t>
      </w:r>
      <w:r>
        <w:rPr>
          <w:sz w:val="20"/>
          <w:szCs w:val="20"/>
        </w:rPr>
        <w:t>ese instruments generally consist of highly liquid investments with original maturities at the date of purchase of three months or less.  While these investments are subject to interest rate risk and will decline in value if market interest rates increase,</w:t>
      </w:r>
      <w:r>
        <w:rPr>
          <w:sz w:val="20"/>
          <w:szCs w:val="20"/>
        </w:rPr>
        <w:t xml:space="preserve"> a hypothetical 100 basis point increase or decrease in market interest rates would not materially affect the value of these instruments.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762533726"/>
        </w:trPr>
        <w:tc>
          <w:tcPr>
            <w:tcW w:w="453" w:type="pct"/>
            <w:noWrap/>
            <w:hideMark/>
          </w:tcPr>
          <w:p w:rsidR="00000000" w:rsidRDefault="005F13FD">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5F13FD">
            <w:pPr>
              <w:pStyle w:val="a3"/>
              <w:spacing w:before="360" w:beforeAutospacing="0" w:after="0" w:afterAutospacing="0"/>
              <w:jc w:val="both"/>
              <w:rPr>
                <w:b/>
                <w:bCs/>
                <w:sz w:val="20"/>
                <w:szCs w:val="20"/>
              </w:rPr>
            </w:pPr>
            <w:r>
              <w:rPr>
                <w:b/>
                <w:bCs/>
                <w:sz w:val="20"/>
                <w:szCs w:val="20"/>
              </w:rPr>
              <w:t>CONTROLS AND PROCEDURES.</w:t>
            </w:r>
          </w:p>
        </w:tc>
      </w:tr>
    </w:tbl>
    <w:p w:rsidR="00000000" w:rsidRDefault="005F13FD">
      <w:pPr>
        <w:pStyle w:val="a3"/>
        <w:spacing w:before="120" w:beforeAutospacing="0" w:after="0" w:afterAutospacing="0"/>
        <w:jc w:val="both"/>
        <w:rPr>
          <w:sz w:val="20"/>
          <w:szCs w:val="20"/>
        </w:rPr>
      </w:pPr>
      <w:r>
        <w:rPr>
          <w:sz w:val="20"/>
          <w:szCs w:val="20"/>
        </w:rPr>
        <w:t>An evaluation was performed under the supervision and with the participation of our senior management, including our Chief Executive Officer and Chief Financial Officer, of the effectiveness of our disclosure controls and procedures, as defined in Rules 13</w:t>
      </w:r>
      <w:r>
        <w:rPr>
          <w:sz w:val="20"/>
          <w:szCs w:val="20"/>
        </w:rPr>
        <w:t>a-15(e) and 15d-15(e) of the Exchange Act as of the end of the period covered by this Quarterly Report.  Based on that evaluation, our officers, including our Chief Executive Officer and Chief Financial Officer, concluded that as of the end of the period c</w:t>
      </w:r>
      <w:r>
        <w:rPr>
          <w:sz w:val="20"/>
          <w:szCs w:val="20"/>
        </w:rPr>
        <w:t>overed by this Quarterly Report our disclosure controls and procedures are effective to ensure that information required to be disclosed in the reports that we file or submit under the Exchange Act is recorded, processed, summarized, and reported within th</w:t>
      </w:r>
      <w:r>
        <w:rPr>
          <w:sz w:val="20"/>
          <w:szCs w:val="20"/>
        </w:rPr>
        <w:t>e time periods specified in the SEC's rules and forms and information required to be disclosed in the reports we file or submit under the Exchange Act is accumulated and communicated to our management, including our Chief Executive Officer and Chief Financ</w:t>
      </w:r>
      <w:r>
        <w:rPr>
          <w:sz w:val="20"/>
          <w:szCs w:val="20"/>
        </w:rPr>
        <w:t>ial Officer, to allow timely decisions regarding required disclosure.  There have been no changes in our internal control over financial reporting that occurred during the period covered by this report that have materially affected, or are reasonably likel</w:t>
      </w:r>
      <w:r>
        <w:rPr>
          <w:sz w:val="20"/>
          <w:szCs w:val="20"/>
        </w:rPr>
        <w:t xml:space="preserve">y to materially affect, our internal control over financial reporting. </w:t>
      </w:r>
    </w:p>
    <w:p w:rsidR="00000000" w:rsidRDefault="005F13FD">
      <w:pPr>
        <w:pStyle w:val="a3"/>
        <w:spacing w:before="240" w:beforeAutospacing="0" w:after="0" w:afterAutospacing="0"/>
        <w:jc w:val="center"/>
        <w:rPr>
          <w:sz w:val="20"/>
          <w:szCs w:val="20"/>
        </w:rPr>
      </w:pPr>
      <w:r>
        <w:rPr>
          <w:sz w:val="20"/>
          <w:szCs w:val="20"/>
        </w:rPr>
        <w:t>44</w:t>
      </w:r>
    </w:p>
    <w:p w:rsidR="00000000" w:rsidRDefault="005F13FD">
      <w:pPr>
        <w:rPr>
          <w:rFonts w:eastAsia="Times New Roman"/>
        </w:rPr>
      </w:pPr>
      <w:r>
        <w:rPr>
          <w:rFonts w:eastAsia="Times New Roman"/>
        </w:rPr>
        <w:pict>
          <v:rect id="_x0000_i1070"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0" w:beforeAutospacing="0" w:after="0" w:afterAutospacing="0"/>
        <w:jc w:val="center"/>
        <w:rPr>
          <w:b/>
          <w:bCs/>
          <w:sz w:val="20"/>
          <w:szCs w:val="20"/>
        </w:rPr>
      </w:pPr>
      <w:r>
        <w:rPr>
          <w:b/>
          <w:bCs/>
          <w:sz w:val="20"/>
          <w:szCs w:val="20"/>
        </w:rPr>
        <w:t>PART II – OTHER INFORMATION</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173570355"/>
        </w:trPr>
        <w:tc>
          <w:tcPr>
            <w:tcW w:w="453" w:type="pct"/>
            <w:noWrap/>
            <w:hideMark/>
          </w:tcPr>
          <w:p w:rsidR="00000000" w:rsidRDefault="005F13FD">
            <w:pPr>
              <w:pStyle w:val="a3"/>
              <w:spacing w:before="0" w:beforeAutospacing="0" w:after="0" w:afterAutospacing="0"/>
              <w:jc w:val="both"/>
              <w:rPr>
                <w:b/>
                <w:bCs/>
                <w:sz w:val="20"/>
                <w:szCs w:val="20"/>
              </w:rPr>
            </w:pPr>
            <w:r>
              <w:rPr>
                <w:b/>
                <w:bCs/>
                <w:sz w:val="20"/>
                <w:szCs w:val="20"/>
              </w:rPr>
              <w:t>ITEM 1.</w:t>
            </w:r>
          </w:p>
        </w:tc>
        <w:tc>
          <w:tcPr>
            <w:tcW w:w="0" w:type="auto"/>
            <w:hideMark/>
          </w:tcPr>
          <w:p w:rsidR="00000000" w:rsidRDefault="005F13FD">
            <w:pPr>
              <w:pStyle w:val="a3"/>
              <w:spacing w:before="0" w:beforeAutospacing="0" w:after="0" w:afterAutospacing="0"/>
              <w:jc w:val="both"/>
              <w:rPr>
                <w:b/>
                <w:bCs/>
                <w:sz w:val="20"/>
                <w:szCs w:val="20"/>
              </w:rPr>
            </w:pPr>
            <w:r>
              <w:rPr>
                <w:b/>
                <w:bCs/>
                <w:sz w:val="20"/>
                <w:szCs w:val="20"/>
              </w:rPr>
              <w:t>LEGAL PROCEEDINGS.</w:t>
            </w:r>
          </w:p>
        </w:tc>
      </w:tr>
    </w:tbl>
    <w:p w:rsidR="00000000" w:rsidRDefault="005F13FD">
      <w:pPr>
        <w:pStyle w:val="a3"/>
        <w:spacing w:before="0" w:beforeAutospacing="0" w:after="0" w:afterAutospacing="0"/>
        <w:jc w:val="both"/>
        <w:rPr>
          <w:b/>
          <w:bCs/>
          <w:sz w:val="12"/>
          <w:szCs w:val="12"/>
        </w:rPr>
      </w:pPr>
      <w:r>
        <w:rPr>
          <w:b/>
          <w:bCs/>
          <w:sz w:val="12"/>
          <w:szCs w:val="12"/>
        </w:rPr>
        <w:t> </w:t>
      </w:r>
    </w:p>
    <w:p w:rsidR="00000000" w:rsidRDefault="005F13FD">
      <w:pPr>
        <w:pStyle w:val="a3"/>
        <w:spacing w:before="0" w:beforeAutospacing="0" w:after="0" w:afterAutospacing="0"/>
        <w:jc w:val="both"/>
        <w:rPr>
          <w:sz w:val="20"/>
          <w:szCs w:val="20"/>
        </w:rPr>
      </w:pPr>
      <w:r>
        <w:rPr>
          <w:sz w:val="20"/>
          <w:szCs w:val="20"/>
        </w:rPr>
        <w:t xml:space="preserve">See the information reported in Note 8 to the financial statements included in Part </w:t>
      </w:r>
      <w:r>
        <w:rPr>
          <w:sz w:val="20"/>
          <w:szCs w:val="20"/>
        </w:rPr>
        <w:t>I, which information is incorporated hereunder by this reference.</w:t>
      </w:r>
    </w:p>
    <w:p w:rsidR="00000000" w:rsidRDefault="005F13FD">
      <w:pPr>
        <w:pStyle w:val="a3"/>
        <w:spacing w:before="16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124202426"/>
        </w:trPr>
        <w:tc>
          <w:tcPr>
            <w:tcW w:w="453" w:type="pct"/>
            <w:noWrap/>
            <w:hideMark/>
          </w:tcPr>
          <w:p w:rsidR="00000000" w:rsidRDefault="005F13FD">
            <w:pPr>
              <w:pStyle w:val="a3"/>
              <w:spacing w:before="0" w:beforeAutospacing="0" w:after="0" w:afterAutospacing="0"/>
              <w:jc w:val="both"/>
              <w:rPr>
                <w:b/>
                <w:bCs/>
                <w:sz w:val="20"/>
                <w:szCs w:val="20"/>
              </w:rPr>
            </w:pPr>
            <w:r>
              <w:rPr>
                <w:b/>
                <w:bCs/>
                <w:sz w:val="20"/>
                <w:szCs w:val="20"/>
              </w:rPr>
              <w:t>ITEM 1A.</w:t>
            </w:r>
          </w:p>
        </w:tc>
        <w:tc>
          <w:tcPr>
            <w:tcW w:w="0" w:type="auto"/>
            <w:hideMark/>
          </w:tcPr>
          <w:p w:rsidR="00000000" w:rsidRDefault="005F13FD">
            <w:pPr>
              <w:pStyle w:val="a3"/>
              <w:spacing w:before="0" w:beforeAutospacing="0" w:after="0" w:afterAutospacing="0"/>
              <w:jc w:val="both"/>
              <w:rPr>
                <w:b/>
                <w:bCs/>
                <w:sz w:val="20"/>
                <w:szCs w:val="20"/>
              </w:rPr>
            </w:pPr>
            <w:r>
              <w:rPr>
                <w:b/>
                <w:bCs/>
                <w:sz w:val="20"/>
                <w:szCs w:val="20"/>
              </w:rPr>
              <w:t>RISK FACTORS.</w:t>
            </w:r>
          </w:p>
        </w:tc>
      </w:tr>
    </w:tbl>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jc w:val="both"/>
        <w:rPr>
          <w:sz w:val="20"/>
          <w:szCs w:val="20"/>
        </w:rPr>
      </w:pPr>
      <w:r>
        <w:rPr>
          <w:sz w:val="20"/>
          <w:szCs w:val="20"/>
        </w:rPr>
        <w:t>Item 1A of Part 1 of our 2019 Form 10-K includes a detailed discussion of the risk factors that could materially affect our business, financial condition or future prospects.  Set forth below is a discussion of the material changes in our risk factors prev</w:t>
      </w:r>
      <w:r>
        <w:rPr>
          <w:sz w:val="20"/>
          <w:szCs w:val="20"/>
        </w:rPr>
        <w:t>iously disclosed in the 2019 Form 10-K.  The information below updates and should be read in conjunction with the risk factors in our 2019 Form 10-K.</w:t>
      </w:r>
    </w:p>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jc w:val="both"/>
        <w:rPr>
          <w:b/>
          <w:bCs/>
          <w:i/>
          <w:iCs/>
          <w:sz w:val="20"/>
          <w:szCs w:val="20"/>
        </w:rPr>
      </w:pPr>
      <w:r>
        <w:rPr>
          <w:b/>
          <w:bCs/>
          <w:i/>
          <w:iCs/>
          <w:sz w:val="20"/>
          <w:szCs w:val="20"/>
        </w:rPr>
        <w:t>The COVID-19 pandemic has had, and we expect will continue to have, certain negative effects on our busi</w:t>
      </w:r>
      <w:r>
        <w:rPr>
          <w:b/>
          <w:bCs/>
          <w:i/>
          <w:iCs/>
          <w:sz w:val="20"/>
          <w:szCs w:val="20"/>
        </w:rPr>
        <w:t xml:space="preserve">ness, and such effects may have a material adverse effect on our results of operations, financial condition and cash flows. </w:t>
      </w:r>
    </w:p>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jc w:val="both"/>
        <w:rPr>
          <w:sz w:val="20"/>
          <w:szCs w:val="20"/>
        </w:rPr>
      </w:pPr>
      <w:r>
        <w:rPr>
          <w:sz w:val="20"/>
          <w:szCs w:val="20"/>
        </w:rPr>
        <w:t>The public health crisis caused by the COVID-19 pandemic and the unprecedented measures taken by United States federal, state and</w:t>
      </w:r>
      <w:r>
        <w:rPr>
          <w:sz w:val="20"/>
          <w:szCs w:val="20"/>
        </w:rPr>
        <w:t xml:space="preserve"> local government authorities in an effort to contain and mitigate the spread of COVID-19, have had, and we expect will continue to have, certain negative effects on our business, including, without limitation, the following:</w:t>
      </w:r>
    </w:p>
    <w:p w:rsidR="00000000" w:rsidRDefault="005F13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506602032"/>
        </w:trPr>
        <w:tc>
          <w:tcPr>
            <w:tcW w:w="166" w:type="pct"/>
            <w:noWrap/>
            <w:hideMark/>
          </w:tcPr>
          <w:p w:rsidR="00000000" w:rsidRDefault="005F13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5F13FD">
            <w:pPr>
              <w:pStyle w:val="a3"/>
              <w:spacing w:before="0" w:beforeAutospacing="0" w:after="0" w:afterAutospacing="0"/>
              <w:jc w:val="both"/>
              <w:rPr>
                <w:sz w:val="20"/>
                <w:szCs w:val="20"/>
              </w:rPr>
            </w:pPr>
            <w:r>
              <w:rPr>
                <w:sz w:val="20"/>
                <w:szCs w:val="20"/>
              </w:rPr>
              <w:t>•</w:t>
            </w:r>
          </w:p>
        </w:tc>
        <w:tc>
          <w:tcPr>
            <w:tcW w:w="0" w:type="auto"/>
            <w:hideMark/>
          </w:tcPr>
          <w:p w:rsidR="00000000" w:rsidRDefault="005F13FD">
            <w:pPr>
              <w:pStyle w:val="a3"/>
              <w:spacing w:before="0" w:beforeAutospacing="0" w:after="0" w:afterAutospacing="0"/>
              <w:jc w:val="both"/>
              <w:rPr>
                <w:sz w:val="20"/>
                <w:szCs w:val="20"/>
              </w:rPr>
            </w:pPr>
            <w:r>
              <w:rPr>
                <w:sz w:val="20"/>
                <w:szCs w:val="20"/>
              </w:rPr>
              <w:t xml:space="preserve">The decision imposed by </w:t>
            </w:r>
            <w:r>
              <w:rPr>
                <w:sz w:val="20"/>
                <w:szCs w:val="20"/>
              </w:rPr>
              <w:t>the federal government to deny entry at the United States southern border to asylum-seekers and anyone crossing the United States southern border without proper documentation or authority in an effort to contain the spread of COVID-19 has resulted in a red</w:t>
            </w:r>
            <w:r>
              <w:rPr>
                <w:sz w:val="20"/>
                <w:szCs w:val="20"/>
              </w:rPr>
              <w:t>uction in ICE populations, including in our facilities.</w:t>
            </w:r>
            <w:r>
              <w:rPr>
                <w:sz w:val="23"/>
                <w:szCs w:val="23"/>
              </w:rPr>
              <w:t xml:space="preserve"> </w:t>
            </w:r>
            <w:r>
              <w:rPr>
                <w:sz w:val="20"/>
                <w:szCs w:val="20"/>
              </w:rPr>
              <w:t xml:space="preserve">The duration of the closure of the United States southern border to asylum-seekers and anyone crossing the southern boarder without proper documentation or authority is unknown, and such closure will </w:t>
            </w:r>
            <w:r>
              <w:rPr>
                <w:sz w:val="20"/>
                <w:szCs w:val="20"/>
              </w:rPr>
              <w:t>continue to effect the utilization of our facilities by ICE.</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tc>
          <w:tcPr>
            <w:tcW w:w="166" w:type="pct"/>
            <w:noWrap/>
            <w:hideMark/>
          </w:tcPr>
          <w:p w:rsidR="00000000" w:rsidRDefault="005F13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5F13FD">
            <w:pPr>
              <w:pStyle w:val="a3"/>
              <w:spacing w:before="0" w:beforeAutospacing="0" w:after="0" w:afterAutospacing="0"/>
              <w:jc w:val="both"/>
              <w:rPr>
                <w:sz w:val="20"/>
                <w:szCs w:val="20"/>
              </w:rPr>
            </w:pPr>
            <w:r>
              <w:rPr>
                <w:sz w:val="20"/>
                <w:szCs w:val="20"/>
              </w:rPr>
              <w:t>•</w:t>
            </w:r>
          </w:p>
        </w:tc>
        <w:tc>
          <w:tcPr>
            <w:tcW w:w="0" w:type="auto"/>
            <w:hideMark/>
          </w:tcPr>
          <w:p w:rsidR="00000000" w:rsidRDefault="005F13FD">
            <w:pPr>
              <w:pStyle w:val="a3"/>
              <w:spacing w:before="0" w:beforeAutospacing="0" w:after="0" w:afterAutospacing="0"/>
              <w:jc w:val="both"/>
              <w:rPr>
                <w:sz w:val="20"/>
                <w:szCs w:val="20"/>
              </w:rPr>
            </w:pPr>
            <w:r>
              <w:rPr>
                <w:sz w:val="20"/>
                <w:szCs w:val="20"/>
              </w:rPr>
              <w:t xml:space="preserve">Disruptions to the criminal justice system as a result of COVID-19 have contributed to a reduction in the number of USMS populations and state populations in our correctional and detention </w:t>
            </w:r>
            <w:r>
              <w:rPr>
                <w:sz w:val="20"/>
                <w:szCs w:val="20"/>
              </w:rPr>
              <w:t>facilities, as the number of courts in session, arrests, and prosecutions have declined. Disruptions to the criminal justice system have also resulted in fewer referrals to both our residential reentry facilities and programs in our non-residential crimina</w:t>
            </w:r>
            <w:r>
              <w:rPr>
                <w:sz w:val="20"/>
                <w:szCs w:val="20"/>
              </w:rPr>
              <w:t>l justice services business. As long as COVID-19 related restrictions on individuals, businesses, and services, along with government policies on prosecutions, and newly ordered legal restrictions associated with COVID-19 that affect the number of people p</w:t>
            </w:r>
            <w:r>
              <w:rPr>
                <w:sz w:val="20"/>
                <w:szCs w:val="20"/>
              </w:rPr>
              <w:t xml:space="preserve">laced in correctional, detention, and reentry facilities, remain in effect, we expect the disruption in the criminal justice system to continue. </w:t>
            </w:r>
          </w:p>
        </w:tc>
      </w:tr>
    </w:tbl>
    <w:p w:rsidR="00000000" w:rsidRDefault="005F13FD">
      <w:pPr>
        <w:divId w:val="762527512"/>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762527512"/>
        </w:trPr>
        <w:tc>
          <w:tcPr>
            <w:tcW w:w="166" w:type="pct"/>
            <w:noWrap/>
            <w:hideMark/>
          </w:tcPr>
          <w:p w:rsidR="00000000" w:rsidRDefault="005F13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5F13FD">
            <w:pPr>
              <w:pStyle w:val="a3"/>
              <w:spacing w:before="0" w:beforeAutospacing="0" w:after="0" w:afterAutospacing="0"/>
              <w:jc w:val="both"/>
              <w:rPr>
                <w:sz w:val="20"/>
                <w:szCs w:val="20"/>
              </w:rPr>
            </w:pPr>
            <w:r>
              <w:rPr>
                <w:sz w:val="20"/>
                <w:szCs w:val="20"/>
              </w:rPr>
              <w:t>•</w:t>
            </w:r>
          </w:p>
        </w:tc>
        <w:tc>
          <w:tcPr>
            <w:tcW w:w="0" w:type="auto"/>
            <w:hideMark/>
          </w:tcPr>
          <w:p w:rsidR="00000000" w:rsidRDefault="005F13FD">
            <w:pPr>
              <w:pStyle w:val="a3"/>
              <w:spacing w:before="0" w:beforeAutospacing="0" w:after="0" w:afterAutospacing="0"/>
              <w:jc w:val="both"/>
              <w:rPr>
                <w:sz w:val="20"/>
                <w:szCs w:val="20"/>
              </w:rPr>
            </w:pPr>
            <w:r>
              <w:rPr>
                <w:sz w:val="20"/>
                <w:szCs w:val="20"/>
              </w:rPr>
              <w:t>We have had positive COVID-19 cases at our facilities. While we are taking measures to protect our emplo</w:t>
            </w:r>
            <w:r>
              <w:rPr>
                <w:sz w:val="20"/>
                <w:szCs w:val="20"/>
              </w:rPr>
              <w:t>yees and those entrusted to our care, which include, but are not limited to, enhanced hygiene practices, the suspension of visitation (after consultation with our government partners), following guidance provided by the United States Centers for Disease Co</w:t>
            </w:r>
            <w:r>
              <w:rPr>
                <w:sz w:val="20"/>
                <w:szCs w:val="20"/>
              </w:rPr>
              <w:t>ntrol and Prevention for Correctional and Detention Facilities, and the separation of vulnerable inmate populations from the rest of the inmate population for their protection, these measures may not be sufficient to prevent or mitigate the spread of COVID</w:t>
            </w:r>
            <w:r>
              <w:rPr>
                <w:sz w:val="20"/>
                <w:szCs w:val="20"/>
              </w:rPr>
              <w:t>-19 among our employees and those entrusted to our care and, as a result, we may face disruptions at our facilities. For example, an inability to fully staff our correctional, detention, and reentry facilities could result in negative consequences, includi</w:t>
            </w:r>
            <w:r>
              <w:rPr>
                <w:sz w:val="20"/>
                <w:szCs w:val="20"/>
              </w:rPr>
              <w:t>ng fines, other penalties, or contract cancellations.  </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tc>
          <w:tcPr>
            <w:tcW w:w="166" w:type="pct"/>
            <w:noWrap/>
            <w:hideMark/>
          </w:tcPr>
          <w:p w:rsidR="00000000" w:rsidRDefault="005F13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5F13FD">
            <w:pPr>
              <w:pStyle w:val="a3"/>
              <w:spacing w:before="0" w:beforeAutospacing="0" w:after="0" w:afterAutospacing="0"/>
              <w:jc w:val="both"/>
              <w:rPr>
                <w:sz w:val="20"/>
                <w:szCs w:val="20"/>
              </w:rPr>
            </w:pPr>
            <w:r>
              <w:rPr>
                <w:sz w:val="20"/>
                <w:szCs w:val="20"/>
              </w:rPr>
              <w:t>•</w:t>
            </w:r>
          </w:p>
        </w:tc>
        <w:tc>
          <w:tcPr>
            <w:tcW w:w="0" w:type="auto"/>
            <w:hideMark/>
          </w:tcPr>
          <w:p w:rsidR="00000000" w:rsidRDefault="005F13FD">
            <w:pPr>
              <w:pStyle w:val="a3"/>
              <w:spacing w:before="0" w:beforeAutospacing="0" w:after="0" w:afterAutospacing="0"/>
              <w:jc w:val="both"/>
              <w:rPr>
                <w:sz w:val="20"/>
                <w:szCs w:val="20"/>
              </w:rPr>
            </w:pPr>
            <w:r>
              <w:rPr>
                <w:sz w:val="20"/>
                <w:szCs w:val="20"/>
              </w:rPr>
              <w:t>Certain government agencies have released, may be considering releasing, or may be experiencing pressure to release, certain inmates and detainees as a result of COVID-19.  It is possible that government agencies, which may include our government partners,</w:t>
            </w:r>
            <w:r>
              <w:rPr>
                <w:sz w:val="20"/>
                <w:szCs w:val="20"/>
              </w:rPr>
              <w:t xml:space="preserve"> could release certain inmates and detainees from correctional, detention, and residential reentry facilities, which could reduce the utilization of our facilities and our services, and could occur as a result of legal decisions. In addition, our governmen</w:t>
            </w:r>
            <w:r>
              <w:rPr>
                <w:sz w:val="20"/>
                <w:szCs w:val="20"/>
              </w:rPr>
              <w:t>t partners could require us to transfer inmates or detainees to other facilities in the event of a COVID-19 outbreak at one of our facilities.</w:t>
            </w:r>
          </w:p>
        </w:tc>
      </w:tr>
    </w:tbl>
    <w:p w:rsidR="00000000" w:rsidRDefault="005F13FD">
      <w:pPr>
        <w:divId w:val="854883473"/>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854883473"/>
        </w:trPr>
        <w:tc>
          <w:tcPr>
            <w:tcW w:w="166" w:type="pct"/>
            <w:noWrap/>
            <w:hideMark/>
          </w:tcPr>
          <w:p w:rsidR="00000000" w:rsidRDefault="005F13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5F13FD">
            <w:pPr>
              <w:pStyle w:val="a3"/>
              <w:spacing w:before="0" w:beforeAutospacing="0" w:after="0" w:afterAutospacing="0"/>
              <w:jc w:val="both"/>
              <w:rPr>
                <w:sz w:val="20"/>
                <w:szCs w:val="20"/>
              </w:rPr>
            </w:pPr>
            <w:r>
              <w:rPr>
                <w:sz w:val="20"/>
                <w:szCs w:val="20"/>
              </w:rPr>
              <w:t>•</w:t>
            </w:r>
          </w:p>
        </w:tc>
        <w:tc>
          <w:tcPr>
            <w:tcW w:w="0" w:type="auto"/>
            <w:hideMark/>
          </w:tcPr>
          <w:p w:rsidR="00000000" w:rsidRDefault="005F13FD">
            <w:pPr>
              <w:pStyle w:val="a3"/>
              <w:spacing w:before="0" w:beforeAutospacing="0" w:after="0" w:afterAutospacing="0"/>
              <w:jc w:val="both"/>
              <w:rPr>
                <w:sz w:val="20"/>
                <w:szCs w:val="20"/>
              </w:rPr>
            </w:pPr>
            <w:r>
              <w:rPr>
                <w:sz w:val="20"/>
                <w:szCs w:val="20"/>
              </w:rPr>
              <w:t>Longer-term budget challenges our government partners face as a result of a reduction in revenues resulting</w:t>
            </w:r>
            <w:r>
              <w:rPr>
                <w:sz w:val="20"/>
                <w:szCs w:val="20"/>
              </w:rPr>
              <w:t xml:space="preserve"> from COVID-19 could negatively impact per diem rates and the utilization of our facilities and our services.  </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tc>
          <w:tcPr>
            <w:tcW w:w="166" w:type="pct"/>
            <w:noWrap/>
            <w:hideMark/>
          </w:tcPr>
          <w:p w:rsidR="00000000" w:rsidRDefault="005F13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5F13FD">
            <w:pPr>
              <w:pStyle w:val="a3"/>
              <w:spacing w:before="0" w:beforeAutospacing="0" w:after="0" w:afterAutospacing="0"/>
              <w:jc w:val="both"/>
              <w:rPr>
                <w:sz w:val="20"/>
                <w:szCs w:val="20"/>
              </w:rPr>
            </w:pPr>
            <w:r>
              <w:rPr>
                <w:sz w:val="20"/>
                <w:szCs w:val="20"/>
              </w:rPr>
              <w:t>•</w:t>
            </w:r>
          </w:p>
        </w:tc>
        <w:tc>
          <w:tcPr>
            <w:tcW w:w="0" w:type="auto"/>
            <w:hideMark/>
          </w:tcPr>
          <w:p w:rsidR="00000000" w:rsidRDefault="005F13FD">
            <w:pPr>
              <w:pStyle w:val="a3"/>
              <w:spacing w:before="0" w:beforeAutospacing="0" w:after="0" w:afterAutospacing="0"/>
              <w:jc w:val="both"/>
              <w:rPr>
                <w:sz w:val="20"/>
                <w:szCs w:val="20"/>
              </w:rPr>
            </w:pPr>
            <w:r>
              <w:rPr>
                <w:sz w:val="20"/>
                <w:szCs w:val="20"/>
              </w:rPr>
              <w:t xml:space="preserve">Our personnel costs and expenses at our facilities have increased as a result of COVID-19. In response to the COVID-19 pandemic, we have, </w:t>
            </w:r>
            <w:r>
              <w:rPr>
                <w:sz w:val="20"/>
                <w:szCs w:val="20"/>
              </w:rPr>
              <w:t>among other things, increased compensation and provided additional benefits to staff at our correctional, detention, and residential reentry facilities, and implemented enhanced hygiene practices at our facilities.    </w:t>
            </w:r>
          </w:p>
        </w:tc>
      </w:tr>
    </w:tbl>
    <w:p w:rsidR="00000000" w:rsidRDefault="005F13FD">
      <w:pPr>
        <w:divId w:val="1180508772"/>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1180508772"/>
        </w:trPr>
        <w:tc>
          <w:tcPr>
            <w:tcW w:w="166" w:type="pct"/>
            <w:noWrap/>
            <w:hideMark/>
          </w:tcPr>
          <w:p w:rsidR="00000000" w:rsidRDefault="005F13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5F13FD">
            <w:pPr>
              <w:pStyle w:val="a3"/>
              <w:spacing w:before="0" w:beforeAutospacing="0" w:after="0" w:afterAutospacing="0"/>
              <w:jc w:val="both"/>
              <w:rPr>
                <w:sz w:val="20"/>
                <w:szCs w:val="20"/>
              </w:rPr>
            </w:pPr>
            <w:r>
              <w:rPr>
                <w:sz w:val="20"/>
                <w:szCs w:val="20"/>
              </w:rPr>
              <w:t>•</w:t>
            </w:r>
          </w:p>
        </w:tc>
        <w:tc>
          <w:tcPr>
            <w:tcW w:w="0" w:type="auto"/>
            <w:hideMark/>
          </w:tcPr>
          <w:p w:rsidR="00000000" w:rsidRDefault="005F13FD">
            <w:pPr>
              <w:pStyle w:val="a3"/>
              <w:spacing w:before="0" w:beforeAutospacing="0" w:after="0" w:afterAutospacing="0"/>
              <w:jc w:val="both"/>
              <w:rPr>
                <w:sz w:val="20"/>
                <w:szCs w:val="20"/>
              </w:rPr>
            </w:pPr>
            <w:r>
              <w:rPr>
                <w:sz w:val="20"/>
                <w:szCs w:val="20"/>
              </w:rPr>
              <w:t>Government agencies and referri</w:t>
            </w:r>
            <w:r>
              <w:rPr>
                <w:sz w:val="20"/>
                <w:szCs w:val="20"/>
              </w:rPr>
              <w:t>ng boards have decided, and may continue to decide, to refer residents to home confinement or otherwise reduce the utilization of community facilities, such as our residential reentry facilities.</w:t>
            </w:r>
          </w:p>
        </w:tc>
      </w:tr>
    </w:tbl>
    <w:p w:rsidR="00000000" w:rsidRDefault="005F13FD">
      <w:pPr>
        <w:pStyle w:val="a3"/>
        <w:spacing w:before="240" w:beforeAutospacing="0" w:after="0" w:afterAutospacing="0"/>
        <w:jc w:val="center"/>
        <w:rPr>
          <w:sz w:val="20"/>
          <w:szCs w:val="20"/>
        </w:rPr>
      </w:pPr>
      <w:r>
        <w:rPr>
          <w:sz w:val="20"/>
          <w:szCs w:val="20"/>
        </w:rPr>
        <w:t>45</w:t>
      </w:r>
    </w:p>
    <w:p w:rsidR="00000000" w:rsidRDefault="005F13FD">
      <w:pPr>
        <w:rPr>
          <w:rFonts w:eastAsia="Times New Roman"/>
        </w:rPr>
      </w:pPr>
      <w:r>
        <w:rPr>
          <w:rFonts w:eastAsia="Times New Roman"/>
        </w:rPr>
        <w:pict>
          <v:rect id="_x0000_i1071"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546527894"/>
        </w:trPr>
        <w:tc>
          <w:tcPr>
            <w:tcW w:w="166" w:type="pct"/>
            <w:noWrap/>
            <w:hideMark/>
          </w:tcPr>
          <w:p w:rsidR="00000000" w:rsidRDefault="005F13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5F13FD">
            <w:pPr>
              <w:pStyle w:val="a3"/>
              <w:spacing w:before="0" w:beforeAutospacing="0" w:after="0" w:afterAutospacing="0"/>
              <w:jc w:val="both"/>
              <w:rPr>
                <w:sz w:val="20"/>
                <w:szCs w:val="20"/>
              </w:rPr>
            </w:pPr>
            <w:r>
              <w:rPr>
                <w:sz w:val="20"/>
                <w:szCs w:val="20"/>
              </w:rPr>
              <w:t>•</w:t>
            </w:r>
          </w:p>
        </w:tc>
        <w:tc>
          <w:tcPr>
            <w:tcW w:w="0" w:type="auto"/>
            <w:hideMark/>
          </w:tcPr>
          <w:p w:rsidR="00000000" w:rsidRDefault="005F13FD">
            <w:pPr>
              <w:pStyle w:val="a3"/>
              <w:spacing w:before="0" w:beforeAutospacing="0" w:after="0" w:afterAutospacing="0"/>
              <w:jc w:val="both"/>
              <w:rPr>
                <w:sz w:val="20"/>
                <w:szCs w:val="20"/>
              </w:rPr>
            </w:pPr>
            <w:r>
              <w:rPr>
                <w:sz w:val="20"/>
                <w:szCs w:val="20"/>
              </w:rPr>
              <w:t xml:space="preserve">We rely on third-party service providers and business partners, such as suppliers, distributors, contractors and other external businesses, for certain functions or for services in support of our operations. These third-party service providers are subject </w:t>
            </w:r>
            <w:r>
              <w:rPr>
                <w:sz w:val="20"/>
                <w:szCs w:val="20"/>
              </w:rPr>
              <w:t>to risks and uncertainties related to COVID-19, which may interfere with their ability to fulfill their respective commitments and responsibilities to us in a timely manner and in accordance with the agreed-upon terms.</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tc>
          <w:tcPr>
            <w:tcW w:w="166" w:type="pct"/>
            <w:noWrap/>
            <w:hideMark/>
          </w:tcPr>
          <w:p w:rsidR="00000000" w:rsidRDefault="005F13FD">
            <w:pPr>
              <w:pStyle w:val="a3"/>
              <w:spacing w:before="0" w:beforeAutospacing="0" w:after="200" w:afterAutospacing="0"/>
              <w:jc w:val="both"/>
              <w:rPr>
                <w:sz w:val="20"/>
                <w:szCs w:val="20"/>
              </w:rPr>
            </w:pPr>
            <w:r>
              <w:rPr>
                <w:sz w:val="20"/>
                <w:szCs w:val="20"/>
              </w:rPr>
              <w:t> </w:t>
            </w:r>
          </w:p>
        </w:tc>
        <w:tc>
          <w:tcPr>
            <w:tcW w:w="166" w:type="pct"/>
            <w:noWrap/>
            <w:hideMark/>
          </w:tcPr>
          <w:p w:rsidR="00000000" w:rsidRDefault="005F13FD">
            <w:pPr>
              <w:pStyle w:val="a3"/>
              <w:spacing w:before="0" w:beforeAutospacing="0" w:after="200" w:afterAutospacing="0"/>
              <w:jc w:val="both"/>
              <w:rPr>
                <w:sz w:val="20"/>
                <w:szCs w:val="20"/>
              </w:rPr>
            </w:pPr>
            <w:r>
              <w:rPr>
                <w:sz w:val="20"/>
                <w:szCs w:val="20"/>
              </w:rPr>
              <w:t>•</w:t>
            </w:r>
          </w:p>
        </w:tc>
        <w:tc>
          <w:tcPr>
            <w:tcW w:w="0" w:type="auto"/>
            <w:hideMark/>
          </w:tcPr>
          <w:p w:rsidR="00000000" w:rsidRDefault="005F13FD">
            <w:pPr>
              <w:pStyle w:val="a3"/>
              <w:spacing w:before="0" w:beforeAutospacing="0" w:after="200" w:afterAutospacing="0"/>
              <w:jc w:val="both"/>
              <w:rPr>
                <w:sz w:val="20"/>
                <w:szCs w:val="20"/>
              </w:rPr>
            </w:pPr>
            <w:r>
              <w:rPr>
                <w:sz w:val="20"/>
                <w:szCs w:val="20"/>
              </w:rPr>
              <w:t>Actions we have taken or may ta</w:t>
            </w:r>
            <w:r>
              <w:rPr>
                <w:sz w:val="20"/>
                <w:szCs w:val="20"/>
              </w:rPr>
              <w:t>ke, or decisions we have made or may make, as a consequence of COVID-19, may result in legal claims or litigation against us.</w:t>
            </w:r>
          </w:p>
        </w:tc>
      </w:tr>
    </w:tbl>
    <w:p w:rsidR="00000000" w:rsidRDefault="005F13FD">
      <w:pPr>
        <w:pStyle w:val="a3"/>
        <w:spacing w:before="0" w:beforeAutospacing="0" w:after="0" w:afterAutospacing="0"/>
        <w:jc w:val="both"/>
        <w:rPr>
          <w:sz w:val="20"/>
          <w:szCs w:val="20"/>
        </w:rPr>
      </w:pPr>
      <w:r>
        <w:rPr>
          <w:sz w:val="20"/>
          <w:szCs w:val="20"/>
        </w:rPr>
        <w:t>The full extent to which the COVID-19 pandemic will negatively affect our results of operations, financial condition and cash flo</w:t>
      </w:r>
      <w:r>
        <w:rPr>
          <w:sz w:val="20"/>
          <w:szCs w:val="20"/>
        </w:rPr>
        <w:t>ws will depend on future developments that are highly uncertain and cannot be predicted, including the scope and duration of the pandemic and actions taken by federal, state and local government authorities and other third parties in response to COVID-19. </w:t>
      </w:r>
      <w:r>
        <w:rPr>
          <w:sz w:val="20"/>
          <w:szCs w:val="20"/>
        </w:rPr>
        <w:t> Any of the negative impacts of the COVID-19 pandemic, including those described above, alone or in combination with others, may have a material adverse effect on our results of operations, financial condition and cash flows.  Any of these negative effects</w:t>
      </w:r>
      <w:r>
        <w:rPr>
          <w:sz w:val="20"/>
          <w:szCs w:val="20"/>
        </w:rPr>
        <w:t xml:space="preserve">, alone or in combination with others, could exacerbate many of the risk factors discussed in Part I, “Item 1A. Risk Factors” in the 2019 Form 10-K. </w:t>
      </w:r>
    </w:p>
    <w:p w:rsidR="00000000" w:rsidRDefault="005F13FD">
      <w:pPr>
        <w:pStyle w:val="a3"/>
        <w:spacing w:before="0" w:beforeAutospacing="0" w:after="0" w:afterAutospacing="0"/>
        <w:jc w:val="both"/>
        <w:rPr>
          <w:sz w:val="20"/>
          <w:szCs w:val="20"/>
        </w:rPr>
      </w:pPr>
      <w:r>
        <w:rPr>
          <w:sz w:val="20"/>
          <w:szCs w:val="20"/>
        </w:rPr>
        <w:t> </w:t>
      </w:r>
    </w:p>
    <w:p w:rsidR="00000000" w:rsidRDefault="005F13FD">
      <w:pPr>
        <w:pStyle w:val="a3"/>
        <w:spacing w:before="0" w:beforeAutospacing="0" w:after="0" w:afterAutospacing="0"/>
        <w:jc w:val="both"/>
        <w:rPr>
          <w:b/>
          <w:bCs/>
          <w:i/>
          <w:iCs/>
          <w:sz w:val="20"/>
          <w:szCs w:val="20"/>
        </w:rPr>
      </w:pPr>
      <w:r>
        <w:rPr>
          <w:b/>
          <w:bCs/>
          <w:i/>
          <w:iCs/>
          <w:sz w:val="20"/>
          <w:szCs w:val="20"/>
        </w:rPr>
        <w:t>We may fail to realize the anticipated benefits of revoking our REIT election and becoming a taxable C C</w:t>
      </w:r>
      <w:r>
        <w:rPr>
          <w:b/>
          <w:bCs/>
          <w:i/>
          <w:iCs/>
          <w:sz w:val="20"/>
          <w:szCs w:val="20"/>
        </w:rPr>
        <w:t>orporation, effective January 1, 2021, or those benefits may take longer to realize than expected, if at all, or may not offset the costs of revoking our REIT election and becoming a taxable C Corporation.</w:t>
      </w:r>
    </w:p>
    <w:p w:rsidR="00000000" w:rsidRDefault="005F13FD">
      <w:pPr>
        <w:pStyle w:val="a3"/>
        <w:spacing w:before="0" w:beforeAutospacing="0" w:after="0" w:afterAutospacing="0"/>
        <w:jc w:val="both"/>
        <w:rPr>
          <w:b/>
          <w:bCs/>
          <w:sz w:val="20"/>
          <w:szCs w:val="20"/>
        </w:rPr>
      </w:pPr>
      <w:r>
        <w:rPr>
          <w:b/>
          <w:bCs/>
          <w:sz w:val="20"/>
          <w:szCs w:val="20"/>
        </w:rPr>
        <w:t> </w:t>
      </w:r>
    </w:p>
    <w:p w:rsidR="00000000" w:rsidRDefault="005F13FD">
      <w:pPr>
        <w:pStyle w:val="a3"/>
        <w:spacing w:before="0" w:beforeAutospacing="0" w:after="0" w:afterAutospacing="0"/>
        <w:jc w:val="both"/>
        <w:rPr>
          <w:sz w:val="20"/>
          <w:szCs w:val="20"/>
        </w:rPr>
      </w:pPr>
      <w:r>
        <w:rPr>
          <w:sz w:val="20"/>
          <w:szCs w:val="20"/>
        </w:rPr>
        <w:t>We believe that revoking our REIT election and b</w:t>
      </w:r>
      <w:r>
        <w:rPr>
          <w:sz w:val="20"/>
          <w:szCs w:val="20"/>
        </w:rPr>
        <w:t>ecoming a taxable C Corporation will, among other things, provide us with greater flexibility to use our free cash flows as we will no longer be required to operate under the REIT rules, including the requirement to distribute at least 90% of our taxable i</w:t>
      </w:r>
      <w:r>
        <w:rPr>
          <w:sz w:val="20"/>
          <w:szCs w:val="20"/>
        </w:rPr>
        <w:t xml:space="preserve">ncome to our stockholders.  However, the amount of our free cash flows may not meet our expectations, which may reduce, or eliminate, the anticipated benefits of the transition from a REIT to a taxable C Corporation.  For example, if our cash flows do not </w:t>
      </w:r>
      <w:r>
        <w:rPr>
          <w:sz w:val="20"/>
          <w:szCs w:val="20"/>
        </w:rPr>
        <w:t xml:space="preserve">meet our expectations, our ability to implement our new capital allocation strategy may be delayed, and we may not be able to reduce our debt as quickly as we desire. Moreover, there can be no assurance that the anticipated benefits of the transition from </w:t>
      </w:r>
      <w:r>
        <w:rPr>
          <w:sz w:val="20"/>
          <w:szCs w:val="20"/>
        </w:rPr>
        <w:t>a REIT to a taxable C Corporation will offset its costs, which could be greater than we expect.  Our failure to achieve the anticipated benefits of the transition from a REIT to a taxable C Corporation at all, or in a timely manner, or a failure of any ben</w:t>
      </w:r>
      <w:r>
        <w:rPr>
          <w:sz w:val="20"/>
          <w:szCs w:val="20"/>
        </w:rPr>
        <w:t>efits realized to offset its costs, could negatively affect our business, financial condition, results of operations or the market price of our common stock.</w:t>
      </w:r>
    </w:p>
    <w:p w:rsidR="00000000" w:rsidRDefault="005F13FD">
      <w:pPr>
        <w:pStyle w:val="a3"/>
        <w:spacing w:before="240" w:beforeAutospacing="0" w:after="0" w:afterAutospacing="0"/>
        <w:ind w:left="1071" w:hanging="1109"/>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140927090"/>
        </w:trPr>
        <w:tc>
          <w:tcPr>
            <w:tcW w:w="453" w:type="pct"/>
            <w:noWrap/>
            <w:hideMark/>
          </w:tcPr>
          <w:p w:rsidR="00000000" w:rsidRDefault="005F13FD">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5F13FD">
            <w:pPr>
              <w:pStyle w:val="a3"/>
              <w:spacing w:before="0" w:beforeAutospacing="0" w:after="0" w:afterAutospacing="0"/>
              <w:jc w:val="both"/>
              <w:rPr>
                <w:b/>
                <w:bCs/>
                <w:sz w:val="20"/>
                <w:szCs w:val="20"/>
              </w:rPr>
            </w:pPr>
            <w:r>
              <w:rPr>
                <w:b/>
                <w:bCs/>
                <w:sz w:val="20"/>
                <w:szCs w:val="20"/>
              </w:rPr>
              <w:t>UNREGISTERED SALES OF EQUITY SECURITIES AND USE OF PROCEEDS.</w:t>
            </w:r>
          </w:p>
        </w:tc>
      </w:tr>
    </w:tbl>
    <w:p w:rsidR="00000000" w:rsidRDefault="005F13FD">
      <w:pPr>
        <w:pStyle w:val="a3"/>
        <w:spacing w:before="0" w:beforeAutospacing="0" w:after="0" w:afterAutospacing="0"/>
        <w:jc w:val="both"/>
        <w:rPr>
          <w:sz w:val="12"/>
          <w:szCs w:val="12"/>
        </w:rPr>
      </w:pPr>
      <w:r>
        <w:rPr>
          <w:sz w:val="12"/>
          <w:szCs w:val="12"/>
        </w:rPr>
        <w:t> </w:t>
      </w:r>
    </w:p>
    <w:p w:rsidR="00000000" w:rsidRDefault="005F13FD">
      <w:pPr>
        <w:pStyle w:val="a3"/>
        <w:spacing w:before="0" w:beforeAutospacing="0" w:after="0" w:afterAutospacing="0"/>
        <w:jc w:val="both"/>
        <w:rPr>
          <w:sz w:val="20"/>
          <w:szCs w:val="20"/>
        </w:rPr>
      </w:pPr>
      <w:r>
        <w:rPr>
          <w:sz w:val="20"/>
          <w:szCs w:val="20"/>
        </w:rPr>
        <w:t>None.</w:t>
      </w:r>
    </w:p>
    <w:p w:rsidR="00000000" w:rsidRDefault="005F13FD">
      <w:pPr>
        <w:pStyle w:val="a3"/>
        <w:spacing w:before="16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983899219"/>
        </w:trPr>
        <w:tc>
          <w:tcPr>
            <w:tcW w:w="453" w:type="pct"/>
            <w:noWrap/>
            <w:hideMark/>
          </w:tcPr>
          <w:p w:rsidR="00000000" w:rsidRDefault="005F13FD">
            <w:pPr>
              <w:pStyle w:val="a3"/>
              <w:spacing w:before="0" w:beforeAutospacing="0" w:after="0" w:afterAutospacing="0"/>
              <w:jc w:val="both"/>
              <w:rPr>
                <w:b/>
                <w:bCs/>
                <w:sz w:val="20"/>
                <w:szCs w:val="20"/>
              </w:rPr>
            </w:pPr>
            <w:r>
              <w:rPr>
                <w:b/>
                <w:bCs/>
                <w:sz w:val="20"/>
                <w:szCs w:val="20"/>
              </w:rPr>
              <w:t>ITEM 3.</w:t>
            </w:r>
          </w:p>
        </w:tc>
        <w:tc>
          <w:tcPr>
            <w:tcW w:w="0" w:type="auto"/>
            <w:hideMark/>
          </w:tcPr>
          <w:p w:rsidR="00000000" w:rsidRDefault="005F13FD">
            <w:pPr>
              <w:pStyle w:val="a3"/>
              <w:spacing w:before="0" w:beforeAutospacing="0" w:after="0" w:afterAutospacing="0"/>
              <w:jc w:val="both"/>
              <w:rPr>
                <w:b/>
                <w:bCs/>
                <w:sz w:val="20"/>
                <w:szCs w:val="20"/>
              </w:rPr>
            </w:pPr>
            <w:r>
              <w:rPr>
                <w:b/>
                <w:bCs/>
                <w:sz w:val="20"/>
                <w:szCs w:val="20"/>
              </w:rPr>
              <w:t>DEFAULTS UPON SENIOR SECURITIES.</w:t>
            </w:r>
          </w:p>
        </w:tc>
      </w:tr>
    </w:tbl>
    <w:p w:rsidR="00000000" w:rsidRDefault="005F13FD">
      <w:pPr>
        <w:pStyle w:val="a3"/>
        <w:spacing w:before="0" w:beforeAutospacing="0" w:after="0" w:afterAutospacing="0"/>
        <w:jc w:val="both"/>
        <w:rPr>
          <w:sz w:val="12"/>
          <w:szCs w:val="12"/>
        </w:rPr>
      </w:pPr>
      <w:r>
        <w:rPr>
          <w:sz w:val="12"/>
          <w:szCs w:val="12"/>
        </w:rPr>
        <w:t> </w:t>
      </w:r>
    </w:p>
    <w:p w:rsidR="00000000" w:rsidRDefault="005F13FD">
      <w:pPr>
        <w:pStyle w:val="a3"/>
        <w:spacing w:before="0" w:beforeAutospacing="0" w:after="0" w:afterAutospacing="0"/>
        <w:jc w:val="both"/>
        <w:rPr>
          <w:sz w:val="20"/>
          <w:szCs w:val="20"/>
        </w:rPr>
      </w:pPr>
      <w:r>
        <w:rPr>
          <w:sz w:val="20"/>
          <w:szCs w:val="20"/>
        </w:rPr>
        <w:t>None.</w:t>
      </w:r>
    </w:p>
    <w:p w:rsidR="00000000" w:rsidRDefault="005F13FD">
      <w:pPr>
        <w:pStyle w:val="a3"/>
        <w:spacing w:before="160" w:beforeAutospacing="0" w:after="0" w:afterAutospacing="0"/>
        <w:ind w:left="1071" w:hanging="111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12211046"/>
        </w:trPr>
        <w:tc>
          <w:tcPr>
            <w:tcW w:w="453" w:type="pct"/>
            <w:noWrap/>
            <w:hideMark/>
          </w:tcPr>
          <w:p w:rsidR="00000000" w:rsidRDefault="005F13FD">
            <w:pPr>
              <w:pStyle w:val="a3"/>
              <w:spacing w:before="0" w:beforeAutospacing="0" w:after="0" w:afterAutospacing="0"/>
              <w:jc w:val="both"/>
              <w:rPr>
                <w:b/>
                <w:bCs/>
                <w:sz w:val="20"/>
                <w:szCs w:val="20"/>
              </w:rPr>
            </w:pPr>
            <w:r>
              <w:rPr>
                <w:b/>
                <w:bCs/>
                <w:sz w:val="20"/>
                <w:szCs w:val="20"/>
              </w:rPr>
              <w:t>ITEM 4.</w:t>
            </w:r>
          </w:p>
        </w:tc>
        <w:tc>
          <w:tcPr>
            <w:tcW w:w="0" w:type="auto"/>
            <w:hideMark/>
          </w:tcPr>
          <w:p w:rsidR="00000000" w:rsidRDefault="005F13FD">
            <w:pPr>
              <w:pStyle w:val="a3"/>
              <w:spacing w:before="0" w:beforeAutospacing="0" w:after="0" w:afterAutospacing="0"/>
              <w:jc w:val="both"/>
              <w:rPr>
                <w:b/>
                <w:bCs/>
                <w:sz w:val="20"/>
                <w:szCs w:val="20"/>
              </w:rPr>
            </w:pPr>
            <w:r>
              <w:rPr>
                <w:b/>
                <w:bCs/>
                <w:sz w:val="20"/>
                <w:szCs w:val="20"/>
              </w:rPr>
              <w:t>MINE SAFETY DISCLOSURES.</w:t>
            </w:r>
          </w:p>
        </w:tc>
      </w:tr>
    </w:tbl>
    <w:p w:rsidR="00000000" w:rsidRDefault="005F13FD">
      <w:pPr>
        <w:pStyle w:val="a3"/>
        <w:spacing w:before="0" w:beforeAutospacing="0" w:after="0" w:afterAutospacing="0"/>
        <w:ind w:left="1547" w:hanging="1632"/>
        <w:rPr>
          <w:b/>
          <w:bCs/>
          <w:sz w:val="12"/>
          <w:szCs w:val="12"/>
        </w:rPr>
      </w:pPr>
      <w:r>
        <w:rPr>
          <w:b/>
          <w:bCs/>
          <w:sz w:val="12"/>
          <w:szCs w:val="12"/>
        </w:rPr>
        <w:t> </w:t>
      </w:r>
    </w:p>
    <w:p w:rsidR="00000000" w:rsidRDefault="005F13FD">
      <w:pPr>
        <w:pStyle w:val="a3"/>
        <w:spacing w:before="0" w:beforeAutospacing="0" w:after="0" w:afterAutospacing="0"/>
        <w:ind w:left="1547" w:hanging="1632"/>
        <w:rPr>
          <w:sz w:val="20"/>
          <w:szCs w:val="20"/>
        </w:rPr>
      </w:pPr>
      <w:r>
        <w:rPr>
          <w:sz w:val="20"/>
          <w:szCs w:val="20"/>
        </w:rPr>
        <w:t>None.</w:t>
      </w:r>
    </w:p>
    <w:p w:rsidR="00000000" w:rsidRDefault="005F13FD">
      <w:pPr>
        <w:pStyle w:val="a3"/>
        <w:spacing w:before="160" w:beforeAutospacing="0" w:after="0" w:afterAutospacing="0"/>
        <w:ind w:left="1547" w:hanging="16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623149646"/>
        </w:trPr>
        <w:tc>
          <w:tcPr>
            <w:tcW w:w="453" w:type="pct"/>
            <w:noWrap/>
            <w:hideMark/>
          </w:tcPr>
          <w:p w:rsidR="00000000" w:rsidRDefault="005F13FD">
            <w:pPr>
              <w:pStyle w:val="a3"/>
              <w:spacing w:before="0" w:beforeAutospacing="0" w:after="0" w:afterAutospacing="0"/>
              <w:jc w:val="both"/>
              <w:rPr>
                <w:b/>
                <w:bCs/>
                <w:sz w:val="20"/>
                <w:szCs w:val="20"/>
              </w:rPr>
            </w:pPr>
            <w:r>
              <w:rPr>
                <w:b/>
                <w:bCs/>
                <w:sz w:val="20"/>
                <w:szCs w:val="20"/>
              </w:rPr>
              <w:t>ITEM 5.</w:t>
            </w:r>
          </w:p>
        </w:tc>
        <w:tc>
          <w:tcPr>
            <w:tcW w:w="0" w:type="auto"/>
            <w:hideMark/>
          </w:tcPr>
          <w:p w:rsidR="00000000" w:rsidRDefault="005F13FD">
            <w:pPr>
              <w:pStyle w:val="a3"/>
              <w:spacing w:before="0" w:beforeAutospacing="0" w:after="0" w:afterAutospacing="0"/>
              <w:jc w:val="both"/>
              <w:rPr>
                <w:b/>
                <w:bCs/>
                <w:sz w:val="20"/>
                <w:szCs w:val="20"/>
              </w:rPr>
            </w:pPr>
            <w:r>
              <w:rPr>
                <w:b/>
                <w:bCs/>
                <w:sz w:val="20"/>
                <w:szCs w:val="20"/>
              </w:rPr>
              <w:t>OTHER INFORMATION.</w:t>
            </w:r>
          </w:p>
        </w:tc>
      </w:tr>
    </w:tbl>
    <w:p w:rsidR="00000000" w:rsidRDefault="005F13FD">
      <w:pPr>
        <w:pStyle w:val="a3"/>
        <w:spacing w:before="0" w:beforeAutospacing="0" w:after="0" w:afterAutospacing="0"/>
        <w:ind w:left="1547" w:hanging="1632"/>
        <w:jc w:val="both"/>
        <w:rPr>
          <w:sz w:val="12"/>
          <w:szCs w:val="12"/>
        </w:rPr>
      </w:pPr>
      <w:r>
        <w:rPr>
          <w:sz w:val="12"/>
          <w:szCs w:val="12"/>
        </w:rPr>
        <w:t> </w:t>
      </w:r>
    </w:p>
    <w:p w:rsidR="00000000" w:rsidRDefault="005F13FD">
      <w:pPr>
        <w:pStyle w:val="a3"/>
        <w:spacing w:before="0" w:beforeAutospacing="0" w:after="0" w:afterAutospacing="0"/>
        <w:ind w:left="1547" w:hanging="1632"/>
        <w:jc w:val="both"/>
        <w:rPr>
          <w:sz w:val="20"/>
          <w:szCs w:val="20"/>
        </w:rPr>
      </w:pPr>
      <w:r>
        <w:rPr>
          <w:sz w:val="20"/>
          <w:szCs w:val="20"/>
        </w:rPr>
        <w:t>None.</w:t>
      </w:r>
    </w:p>
    <w:p w:rsidR="00000000" w:rsidRDefault="005F13FD">
      <w:pPr>
        <w:pStyle w:val="a3"/>
        <w:spacing w:before="160" w:beforeAutospacing="0" w:after="0" w:afterAutospacing="0"/>
        <w:jc w:val="both"/>
        <w:rPr>
          <w:b/>
          <w:bCs/>
          <w:sz w:val="20"/>
          <w:szCs w:val="20"/>
        </w:rPr>
      </w:pPr>
      <w:r>
        <w:rPr>
          <w:b/>
          <w:bCs/>
          <w:sz w:val="20"/>
          <w:szCs w:val="20"/>
        </w:rPr>
        <w:t> </w:t>
      </w:r>
    </w:p>
    <w:p w:rsidR="00000000" w:rsidRDefault="005F13FD">
      <w:pPr>
        <w:pStyle w:val="a3"/>
        <w:spacing w:before="240" w:beforeAutospacing="0" w:after="0" w:afterAutospacing="0"/>
        <w:jc w:val="center"/>
        <w:rPr>
          <w:sz w:val="20"/>
          <w:szCs w:val="20"/>
        </w:rPr>
      </w:pPr>
      <w:r>
        <w:rPr>
          <w:sz w:val="20"/>
          <w:szCs w:val="20"/>
        </w:rPr>
        <w:t>46</w:t>
      </w:r>
    </w:p>
    <w:p w:rsidR="00000000" w:rsidRDefault="005F13FD">
      <w:pPr>
        <w:rPr>
          <w:rFonts w:eastAsia="Times New Roman"/>
        </w:rPr>
      </w:pPr>
      <w:r>
        <w:rPr>
          <w:rFonts w:eastAsia="Times New Roman"/>
        </w:rPr>
        <w:pict>
          <v:rect id="_x0000_i1072"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266231037"/>
        </w:trPr>
        <w:tc>
          <w:tcPr>
            <w:tcW w:w="453" w:type="pct"/>
            <w:noWrap/>
            <w:hideMark/>
          </w:tcPr>
          <w:p w:rsidR="00000000" w:rsidRDefault="005F13FD">
            <w:pPr>
              <w:pStyle w:val="a3"/>
              <w:spacing w:before="0" w:beforeAutospacing="0" w:after="0" w:afterAutospacing="0"/>
              <w:jc w:val="both"/>
              <w:rPr>
                <w:b/>
                <w:bCs/>
                <w:sz w:val="20"/>
                <w:szCs w:val="20"/>
              </w:rPr>
            </w:pPr>
            <w:r>
              <w:rPr>
                <w:b/>
                <w:bCs/>
                <w:sz w:val="20"/>
                <w:szCs w:val="20"/>
              </w:rPr>
              <w:t>ITEM 6.</w:t>
            </w:r>
          </w:p>
        </w:tc>
        <w:tc>
          <w:tcPr>
            <w:tcW w:w="0" w:type="auto"/>
            <w:hideMark/>
          </w:tcPr>
          <w:p w:rsidR="00000000" w:rsidRDefault="005F13FD">
            <w:pPr>
              <w:pStyle w:val="a3"/>
              <w:spacing w:before="0" w:beforeAutospacing="0" w:after="0" w:afterAutospacing="0"/>
              <w:jc w:val="both"/>
              <w:rPr>
                <w:b/>
                <w:bCs/>
                <w:sz w:val="20"/>
                <w:szCs w:val="20"/>
              </w:rPr>
            </w:pPr>
            <w:r>
              <w:rPr>
                <w:b/>
                <w:bCs/>
                <w:sz w:val="20"/>
                <w:szCs w:val="20"/>
              </w:rPr>
              <w:t>EXHIBITS.</w:t>
            </w:r>
          </w:p>
        </w:tc>
      </w:tr>
    </w:tbl>
    <w:p w:rsidR="00000000" w:rsidRDefault="005F13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18"/>
        <w:gridCol w:w="179"/>
        <w:gridCol w:w="7309"/>
      </w:tblGrid>
      <w:tr w:rsidR="00000000">
        <w:trPr>
          <w:divId w:val="2115006907"/>
        </w:trPr>
        <w:tc>
          <w:tcPr>
            <w:tcW w:w="492" w:type="pct"/>
            <w:vAlign w:val="center"/>
            <w:hideMark/>
          </w:tcPr>
          <w:p w:rsidR="00000000" w:rsidRDefault="005F13FD">
            <w:pPr>
              <w:rPr>
                <w:sz w:val="20"/>
                <w:szCs w:val="20"/>
              </w:rPr>
            </w:pPr>
          </w:p>
        </w:tc>
        <w:tc>
          <w:tcPr>
            <w:tcW w:w="108" w:type="pct"/>
            <w:vAlign w:val="center"/>
            <w:hideMark/>
          </w:tcPr>
          <w:p w:rsidR="00000000" w:rsidRDefault="005F13FD">
            <w:pPr>
              <w:spacing w:before="100" w:beforeAutospacing="1" w:after="100" w:afterAutospacing="1"/>
              <w:rPr>
                <w:rFonts w:eastAsia="Times New Roman"/>
                <w:sz w:val="20"/>
                <w:szCs w:val="20"/>
              </w:rPr>
            </w:pPr>
          </w:p>
        </w:tc>
        <w:tc>
          <w:tcPr>
            <w:tcW w:w="4399" w:type="pct"/>
            <w:vAlign w:val="center"/>
            <w:hideMark/>
          </w:tcPr>
          <w:p w:rsidR="00000000" w:rsidRDefault="005F13FD">
            <w:pPr>
              <w:spacing w:before="100" w:beforeAutospacing="1" w:after="100" w:afterAutospacing="1"/>
              <w:rPr>
                <w:rFonts w:eastAsia="Times New Roman"/>
                <w:sz w:val="20"/>
                <w:szCs w:val="20"/>
              </w:rPr>
            </w:pPr>
          </w:p>
        </w:tc>
      </w:tr>
      <w:tr w:rsidR="00000000">
        <w:trPr>
          <w:divId w:val="2115006907"/>
        </w:trPr>
        <w:tc>
          <w:tcPr>
            <w:tcW w:w="0" w:type="auto"/>
            <w:vAlign w:val="bottom"/>
            <w:hideMark/>
          </w:tcPr>
          <w:p w:rsidR="00000000" w:rsidRDefault="005F13FD">
            <w:pPr>
              <w:pStyle w:val="a3"/>
              <w:spacing w:before="0" w:beforeAutospacing="0" w:after="0" w:afterAutospacing="0"/>
              <w:jc w:val="center"/>
              <w:rPr>
                <w:sz w:val="20"/>
                <w:szCs w:val="20"/>
              </w:rPr>
            </w:pPr>
            <w:r>
              <w:rPr>
                <w:sz w:val="20"/>
                <w:szCs w:val="20"/>
              </w:rPr>
              <w:t>Exhibit</w:t>
            </w:r>
          </w:p>
          <w:p w:rsidR="00000000" w:rsidRDefault="005F13FD">
            <w:pPr>
              <w:pStyle w:val="a3"/>
              <w:spacing w:before="0" w:beforeAutospacing="0" w:after="0" w:afterAutospacing="0"/>
              <w:jc w:val="center"/>
              <w:rPr>
                <w:sz w:val="20"/>
                <w:szCs w:val="20"/>
              </w:rPr>
            </w:pPr>
            <w:r>
              <w:rPr>
                <w:sz w:val="20"/>
                <w:szCs w:val="20"/>
                <w:u w:val="single"/>
              </w:rPr>
              <w:t>Number</w:t>
            </w:r>
          </w:p>
        </w:tc>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vAlign w:val="bottom"/>
            <w:hideMark/>
          </w:tcPr>
          <w:p w:rsidR="00000000" w:rsidRDefault="005F13FD">
            <w:pPr>
              <w:pStyle w:val="a3"/>
              <w:spacing w:before="0" w:beforeAutospacing="0" w:after="0" w:afterAutospacing="0"/>
              <w:jc w:val="center"/>
              <w:rPr>
                <w:sz w:val="20"/>
                <w:szCs w:val="20"/>
              </w:rPr>
            </w:pPr>
            <w:r>
              <w:rPr>
                <w:sz w:val="20"/>
                <w:szCs w:val="20"/>
                <w:u w:val="single"/>
              </w:rPr>
              <w:t>Description of Exhibits</w:t>
            </w:r>
          </w:p>
        </w:tc>
      </w:tr>
      <w:tr w:rsidR="00000000">
        <w:trPr>
          <w:divId w:val="2115006907"/>
        </w:trPr>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jc w:val="both"/>
              <w:rPr>
                <w:sz w:val="12"/>
                <w:szCs w:val="12"/>
              </w:rPr>
            </w:pPr>
            <w:r>
              <w:rPr>
                <w:sz w:val="12"/>
                <w:szCs w:val="12"/>
              </w:rPr>
              <w:t> </w:t>
            </w:r>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10.1</w:t>
            </w:r>
          </w:p>
        </w:tc>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hyperlink r:id="rId4" w:history="1">
              <w:r>
                <w:rPr>
                  <w:rStyle w:val="a4"/>
                  <w:sz w:val="20"/>
                  <w:szCs w:val="20"/>
                </w:rPr>
                <w:t>First Amendment to Term Loan Credit Agreement, dated August 4, 2020, to the Term Loan Credit Agreement, dated as of December 18, 2019</w:t>
              </w:r>
            </w:hyperlink>
            <w:r>
              <w:rPr>
                <w:sz w:val="20"/>
                <w:szCs w:val="20"/>
                <w:u w:val="single"/>
              </w:rPr>
              <w:t xml:space="preserve"> (previously filed as Exhibit 10.1 to the Company's Current Report on Form 8-K (Commission File no. 001-16109), filed with </w:t>
            </w:r>
            <w:r>
              <w:rPr>
                <w:sz w:val="20"/>
                <w:szCs w:val="20"/>
                <w:u w:val="single"/>
              </w:rPr>
              <w:t>the Commission on August 5, 2020 and incorporated herein by this reference).</w:t>
            </w:r>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r>
              <w:rPr>
                <w:sz w:val="20"/>
                <w:szCs w:val="20"/>
              </w:rPr>
              <w:t> </w:t>
            </w:r>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10.2</w:t>
            </w:r>
          </w:p>
        </w:tc>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hyperlink r:id="rId5" w:history="1">
              <w:r>
                <w:rPr>
                  <w:rStyle w:val="a4"/>
                  <w:sz w:val="20"/>
                  <w:szCs w:val="20"/>
                </w:rPr>
                <w:t>First Amendment to Second Amended and Restated Credit Agreement, dated August 4, 2020, to the Second Amended and Restated Credit Agreement, dated as of April</w:t>
              </w:r>
              <w:r>
                <w:rPr>
                  <w:rStyle w:val="a4"/>
                  <w:sz w:val="20"/>
                  <w:szCs w:val="20"/>
                </w:rPr>
                <w:t xml:space="preserve"> 17, 2018</w:t>
              </w:r>
            </w:hyperlink>
            <w:r>
              <w:rPr>
                <w:sz w:val="20"/>
                <w:szCs w:val="20"/>
                <w:u w:val="single"/>
              </w:rPr>
              <w:t xml:space="preserve"> (previously filed as Exhibit 10.2 to the Company's Current Report on Form 8-K (Commission File no. 001-16109), filed with the Commission on August 5, 2020 and incorporated herein by this reference).</w:t>
            </w:r>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r>
              <w:rPr>
                <w:sz w:val="20"/>
                <w:szCs w:val="20"/>
              </w:rPr>
              <w:t> </w:t>
            </w:r>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22.1*</w:t>
            </w:r>
          </w:p>
        </w:tc>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hyperlink r:id="rId6" w:history="1">
              <w:r>
                <w:rPr>
                  <w:rStyle w:val="a4"/>
                  <w:sz w:val="20"/>
                  <w:szCs w:val="20"/>
                </w:rPr>
                <w:t>List of Guarantor Subsidiaries.</w:t>
              </w:r>
            </w:hyperlink>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r>
              <w:rPr>
                <w:sz w:val="20"/>
                <w:szCs w:val="20"/>
              </w:rPr>
              <w:t> </w:t>
            </w:r>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31.1*</w:t>
            </w:r>
          </w:p>
        </w:tc>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hyperlink r:id="rId7" w:history="1">
              <w:r>
                <w:rPr>
                  <w:rStyle w:val="a4"/>
                  <w:sz w:val="20"/>
                  <w:szCs w:val="20"/>
                </w:rPr>
                <w:t>Certification of the Company's Chief Executive Officer pursuant to Securities and Exchange Act Rules 13a-14(a) and 15d-14(a), as adopted pursuant to Section 302 of the Sarbane</w:t>
              </w:r>
              <w:r>
                <w:rPr>
                  <w:rStyle w:val="a4"/>
                  <w:sz w:val="20"/>
                  <w:szCs w:val="20"/>
                </w:rPr>
                <w:t>s-Oxley Act of 2002.</w:t>
              </w:r>
            </w:hyperlink>
          </w:p>
        </w:tc>
      </w:tr>
      <w:tr w:rsidR="00000000">
        <w:trPr>
          <w:divId w:val="2115006907"/>
        </w:trPr>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rPr>
                <w:sz w:val="20"/>
                <w:szCs w:val="20"/>
              </w:rPr>
            </w:pPr>
            <w:r>
              <w:rPr>
                <w:sz w:val="20"/>
                <w:szCs w:val="20"/>
              </w:rPr>
              <w:t> </w:t>
            </w:r>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31.2*</w:t>
            </w:r>
          </w:p>
        </w:tc>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hyperlink r:id="rId8" w:history="1">
              <w:r>
                <w:rPr>
                  <w:rStyle w:val="a4"/>
                  <w:sz w:val="20"/>
                  <w:szCs w:val="20"/>
                </w:rPr>
                <w:t>Certification of the Company's Chief Financial Officer pursuant to Securities and Exchange Act Rules 13a-14(a) and 15d-14(a), as adopted pursuant to Section 302 of the Sarbanes-Oxley Act of 2002.</w:t>
              </w:r>
            </w:hyperlink>
          </w:p>
        </w:tc>
      </w:tr>
      <w:tr w:rsidR="00000000">
        <w:trPr>
          <w:divId w:val="2115006907"/>
        </w:trPr>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rPr>
                <w:sz w:val="20"/>
                <w:szCs w:val="20"/>
              </w:rPr>
            </w:pPr>
            <w:r>
              <w:rPr>
                <w:sz w:val="20"/>
                <w:szCs w:val="20"/>
              </w:rPr>
              <w:t> </w:t>
            </w:r>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32.1**</w:t>
            </w:r>
          </w:p>
        </w:tc>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hyperlink r:id="rId9" w:history="1">
              <w:r>
                <w:rPr>
                  <w:rStyle w:val="a4"/>
                  <w:sz w:val="20"/>
                  <w:szCs w:val="20"/>
                </w:rPr>
                <w:t>Certificati</w:t>
              </w:r>
              <w:r>
                <w:rPr>
                  <w:rStyle w:val="a4"/>
                  <w:sz w:val="20"/>
                  <w:szCs w:val="20"/>
                </w:rPr>
                <w:t>on of the Company's Chief Executive Officer pursuant to 18 U.S.C. Section 1350, as adopted pursuant to Section 906 of the Sarbanes-Oxley Act of 2002.</w:t>
              </w:r>
            </w:hyperlink>
          </w:p>
        </w:tc>
      </w:tr>
      <w:tr w:rsidR="00000000">
        <w:trPr>
          <w:divId w:val="2115006907"/>
        </w:trPr>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rPr>
                <w:sz w:val="20"/>
                <w:szCs w:val="20"/>
              </w:rPr>
            </w:pPr>
            <w:r>
              <w:rPr>
                <w:sz w:val="20"/>
                <w:szCs w:val="20"/>
              </w:rPr>
              <w:t> </w:t>
            </w:r>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32.2**</w:t>
            </w:r>
          </w:p>
        </w:tc>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hyperlink r:id="rId10" w:history="1">
              <w:r>
                <w:rPr>
                  <w:rStyle w:val="a4"/>
                  <w:sz w:val="20"/>
                  <w:szCs w:val="20"/>
                </w:rPr>
                <w:t>Certification of the Company's Chief Financial Officer pursuant to 18 U.S.C. Section 1350, as adopted pursuant to Section 906 of the Sarbanes-Oxley Act of 2002.</w:t>
              </w:r>
            </w:hyperlink>
          </w:p>
        </w:tc>
      </w:tr>
      <w:tr w:rsidR="00000000">
        <w:trPr>
          <w:divId w:val="2115006907"/>
        </w:trPr>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jc w:val="both"/>
              <w:rPr>
                <w:sz w:val="12"/>
                <w:szCs w:val="12"/>
              </w:rPr>
            </w:pPr>
            <w:r>
              <w:rPr>
                <w:sz w:val="12"/>
                <w:szCs w:val="12"/>
              </w:rPr>
              <w:t> </w:t>
            </w:r>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101*</w:t>
            </w:r>
          </w:p>
        </w:tc>
        <w:tc>
          <w:tcPr>
            <w:tcW w:w="0" w:type="auto"/>
            <w:hideMark/>
          </w:tcPr>
          <w:p w:rsidR="00000000" w:rsidRDefault="005F13FD">
            <w:pPr>
              <w:pStyle w:val="a3"/>
              <w:spacing w:before="0" w:beforeAutospacing="0" w:after="0" w:afterAutospacing="0"/>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r>
              <w:rPr>
                <w:sz w:val="20"/>
                <w:szCs w:val="20"/>
              </w:rPr>
              <w:t xml:space="preserve">The following financial information from the Company's Quarterly Report on Form </w:t>
            </w:r>
            <w:r>
              <w:rPr>
                <w:sz w:val="20"/>
                <w:szCs w:val="20"/>
              </w:rPr>
              <w:t>10-Q for the quarter ended September 30, 2020, formatted in Inline XBRL (Extensible Business Reporting Language) includes: (i) the Consolidated Balance Sheets, (ii) the Consolidated Statements of Operations, (iii) the Consolidated Statements of Cash Flows,</w:t>
            </w:r>
            <w:r>
              <w:rPr>
                <w:sz w:val="20"/>
                <w:szCs w:val="20"/>
              </w:rPr>
              <w:t xml:space="preserve"> (iv) the Consolidated Statements of Stockholders' Equity, and (v) the Notes to Consolidated Financial Statements. The instance document does not appear in the interactive data file because its XBRL tags are embedded within the Inline XBRL document.</w:t>
            </w:r>
          </w:p>
        </w:tc>
      </w:tr>
      <w:tr w:rsidR="00000000">
        <w:trPr>
          <w:divId w:val="2115006907"/>
          <w:trHeight w:val="180"/>
        </w:trPr>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jc w:val="both"/>
              <w:rPr>
                <w:sz w:val="12"/>
                <w:szCs w:val="12"/>
              </w:rPr>
            </w:pPr>
            <w:r>
              <w:rPr>
                <w:sz w:val="12"/>
                <w:szCs w:val="12"/>
              </w:rPr>
              <w:t> </w:t>
            </w:r>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104*</w:t>
            </w:r>
          </w:p>
        </w:tc>
        <w:tc>
          <w:tcPr>
            <w:tcW w:w="0" w:type="auto"/>
            <w:hideMark/>
          </w:tcPr>
          <w:p w:rsidR="00000000" w:rsidRDefault="005F13FD">
            <w:pPr>
              <w:pStyle w:val="a3"/>
              <w:spacing w:before="0" w:beforeAutospacing="0" w:after="0" w:afterAutospacing="0"/>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r>
              <w:rPr>
                <w:sz w:val="20"/>
                <w:szCs w:val="20"/>
              </w:rPr>
              <w:t>The cover page from the Company's Quarterly Report on Form 10-Q for the quarter ended September 30, 2020, formatted in Inline XBRL (included in Exhibit 101).</w:t>
            </w:r>
          </w:p>
        </w:tc>
      </w:tr>
      <w:tr w:rsidR="00000000">
        <w:trPr>
          <w:divId w:val="2115006907"/>
        </w:trPr>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jc w:val="both"/>
              <w:rPr>
                <w:sz w:val="12"/>
                <w:szCs w:val="12"/>
              </w:rPr>
            </w:pPr>
            <w:r>
              <w:rPr>
                <w:sz w:val="12"/>
                <w:szCs w:val="12"/>
              </w:rPr>
              <w:t> </w:t>
            </w:r>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r>
              <w:rPr>
                <w:sz w:val="20"/>
                <w:szCs w:val="20"/>
              </w:rPr>
              <w:t> </w:t>
            </w:r>
          </w:p>
        </w:tc>
        <w:tc>
          <w:tcPr>
            <w:tcW w:w="0" w:type="auto"/>
            <w:hideMark/>
          </w:tcPr>
          <w:p w:rsidR="00000000" w:rsidRDefault="005F13FD">
            <w:pPr>
              <w:pStyle w:val="a3"/>
              <w:spacing w:before="0" w:beforeAutospacing="0" w:after="0" w:afterAutospacing="0"/>
              <w:rPr>
                <w:sz w:val="20"/>
                <w:szCs w:val="20"/>
              </w:rPr>
            </w:pPr>
            <w:r>
              <w:rPr>
                <w:sz w:val="20"/>
                <w:szCs w:val="20"/>
              </w:rPr>
              <w:t> </w:t>
            </w:r>
          </w:p>
        </w:tc>
      </w:tr>
      <w:tr w:rsidR="00000000">
        <w:trPr>
          <w:divId w:val="2115006907"/>
        </w:trPr>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jc w:val="both"/>
              <w:rPr>
                <w:sz w:val="12"/>
                <w:szCs w:val="12"/>
              </w:rPr>
            </w:pPr>
            <w:r>
              <w:rPr>
                <w:sz w:val="12"/>
                <w:szCs w:val="12"/>
              </w:rPr>
              <w:t> </w:t>
            </w:r>
          </w:p>
        </w:tc>
        <w:tc>
          <w:tcPr>
            <w:tcW w:w="0" w:type="auto"/>
            <w:hideMark/>
          </w:tcPr>
          <w:p w:rsidR="00000000" w:rsidRDefault="005F13FD">
            <w:pPr>
              <w:pStyle w:val="a3"/>
              <w:spacing w:before="0" w:beforeAutospacing="0" w:after="0" w:afterAutospacing="0"/>
              <w:jc w:val="both"/>
              <w:rPr>
                <w:sz w:val="12"/>
                <w:szCs w:val="12"/>
              </w:rPr>
            </w:pPr>
            <w:r>
              <w:rPr>
                <w:sz w:val="12"/>
                <w:szCs w:val="12"/>
              </w:rPr>
              <w:t> </w:t>
            </w:r>
          </w:p>
        </w:tc>
      </w:tr>
      <w:tr w:rsidR="00000000">
        <w:trPr>
          <w:divId w:val="2115006907"/>
        </w:trPr>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jc w:val="both"/>
              <w:rPr>
                <w:sz w:val="20"/>
                <w:szCs w:val="20"/>
              </w:rPr>
            </w:pPr>
            <w:r>
              <w:rPr>
                <w:sz w:val="20"/>
                <w:szCs w:val="20"/>
              </w:rPr>
              <w:t> </w:t>
            </w:r>
          </w:p>
        </w:tc>
        <w:tc>
          <w:tcPr>
            <w:tcW w:w="0" w:type="auto"/>
            <w:hideMark/>
          </w:tcPr>
          <w:p w:rsidR="00000000" w:rsidRDefault="005F13FD">
            <w:pPr>
              <w:pStyle w:val="a3"/>
              <w:spacing w:before="0" w:beforeAutospacing="0" w:after="0" w:afterAutospacing="0"/>
              <w:jc w:val="both"/>
              <w:rPr>
                <w:sz w:val="20"/>
                <w:szCs w:val="20"/>
              </w:rPr>
            </w:pPr>
            <w:r>
              <w:rPr>
                <w:sz w:val="20"/>
                <w:szCs w:val="20"/>
              </w:rPr>
              <w:t> </w:t>
            </w:r>
          </w:p>
        </w:tc>
      </w:tr>
    </w:tbl>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51358485"/>
        </w:trPr>
        <w:tc>
          <w:tcPr>
            <w:tcW w:w="227" w:type="pct"/>
            <w:noWrap/>
            <w:hideMark/>
          </w:tcPr>
          <w:p w:rsidR="00000000" w:rsidRDefault="005F13FD">
            <w:pPr>
              <w:pStyle w:val="a3"/>
              <w:spacing w:before="0" w:beforeAutospacing="0" w:after="0" w:afterAutospacing="0"/>
              <w:rPr>
                <w:sz w:val="20"/>
                <w:szCs w:val="20"/>
              </w:rPr>
            </w:pPr>
            <w:r>
              <w:rPr>
                <w:sz w:val="20"/>
                <w:szCs w:val="20"/>
              </w:rPr>
              <w:t>*</w:t>
            </w:r>
          </w:p>
        </w:tc>
        <w:tc>
          <w:tcPr>
            <w:tcW w:w="0" w:type="auto"/>
            <w:hideMark/>
          </w:tcPr>
          <w:p w:rsidR="00000000" w:rsidRDefault="005F13FD">
            <w:pPr>
              <w:pStyle w:val="a3"/>
              <w:spacing w:before="0" w:beforeAutospacing="0" w:after="0" w:afterAutospacing="0"/>
              <w:rPr>
                <w:sz w:val="20"/>
                <w:szCs w:val="20"/>
              </w:rPr>
            </w:pPr>
            <w:r>
              <w:rPr>
                <w:sz w:val="20"/>
                <w:szCs w:val="20"/>
              </w:rPr>
              <w:t>Filed herewith.</w:t>
            </w:r>
          </w:p>
        </w:tc>
      </w:tr>
    </w:tbl>
    <w:p w:rsidR="00000000" w:rsidRDefault="005F13FD">
      <w:pPr>
        <w:pStyle w:val="a3"/>
        <w:spacing w:before="0" w:beforeAutospacing="0" w:after="0" w:afterAutospacing="0"/>
        <w:ind w:left="476"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02336756"/>
        </w:trPr>
        <w:tc>
          <w:tcPr>
            <w:tcW w:w="227" w:type="pct"/>
            <w:noWrap/>
            <w:hideMark/>
          </w:tcPr>
          <w:p w:rsidR="00000000" w:rsidRDefault="005F13FD">
            <w:pPr>
              <w:pStyle w:val="a3"/>
              <w:spacing w:before="0" w:beforeAutospacing="0" w:after="0" w:afterAutospacing="0"/>
              <w:jc w:val="both"/>
              <w:rPr>
                <w:sz w:val="20"/>
                <w:szCs w:val="20"/>
              </w:rPr>
            </w:pPr>
            <w:r>
              <w:rPr>
                <w:sz w:val="20"/>
                <w:szCs w:val="20"/>
              </w:rPr>
              <w:t>**</w:t>
            </w:r>
          </w:p>
        </w:tc>
        <w:tc>
          <w:tcPr>
            <w:tcW w:w="0" w:type="auto"/>
            <w:hideMark/>
          </w:tcPr>
          <w:p w:rsidR="00000000" w:rsidRDefault="005F13FD">
            <w:pPr>
              <w:pStyle w:val="a3"/>
              <w:spacing w:before="0" w:beforeAutospacing="0" w:after="0" w:afterAutospacing="0"/>
              <w:jc w:val="both"/>
              <w:rPr>
                <w:sz w:val="20"/>
                <w:szCs w:val="20"/>
              </w:rPr>
            </w:pPr>
            <w:r>
              <w:rPr>
                <w:sz w:val="20"/>
                <w:szCs w:val="20"/>
              </w:rPr>
              <w:t xml:space="preserve">Furnished herewith. </w:t>
            </w:r>
          </w:p>
        </w:tc>
      </w:tr>
    </w:tbl>
    <w:p w:rsidR="00000000" w:rsidRDefault="005F13FD">
      <w:pPr>
        <w:pStyle w:val="a3"/>
        <w:spacing w:before="240" w:beforeAutospacing="0" w:after="0" w:afterAutospacing="0"/>
        <w:jc w:val="center"/>
        <w:rPr>
          <w:sz w:val="20"/>
          <w:szCs w:val="20"/>
        </w:rPr>
      </w:pPr>
      <w:r>
        <w:rPr>
          <w:sz w:val="20"/>
          <w:szCs w:val="20"/>
        </w:rPr>
        <w:t>47</w:t>
      </w:r>
    </w:p>
    <w:p w:rsidR="00000000" w:rsidRDefault="005F13FD">
      <w:pPr>
        <w:rPr>
          <w:rFonts w:eastAsia="Times New Roman"/>
        </w:rPr>
      </w:pPr>
      <w:r>
        <w:rPr>
          <w:rFonts w:eastAsia="Times New Roman"/>
        </w:rPr>
        <w:pict>
          <v:rect id="_x0000_i1073" style="width:0;height:1.5pt" o:hralign="center" o:hrstd="t" o:hr="t" fillcolor="#a0a0a0" stroked="f"/>
        </w:pict>
      </w:r>
    </w:p>
    <w:p w:rsidR="00000000" w:rsidRDefault="005F13FD">
      <w:pPr>
        <w:pStyle w:val="a3"/>
        <w:spacing w:before="0" w:beforeAutospacing="0" w:after="0" w:afterAutospacing="0"/>
        <w:rPr>
          <w:sz w:val="20"/>
          <w:szCs w:val="20"/>
        </w:rPr>
      </w:pPr>
      <w:r>
        <w:rPr>
          <w:sz w:val="20"/>
          <w:szCs w:val="20"/>
        </w:rPr>
        <w:t> </w:t>
      </w:r>
    </w:p>
    <w:p w:rsidR="00000000" w:rsidRDefault="005F13FD">
      <w:pPr>
        <w:pStyle w:val="a3"/>
        <w:spacing w:before="0" w:beforeAutospacing="0" w:after="0" w:afterAutospacing="0"/>
        <w:jc w:val="center"/>
        <w:rPr>
          <w:b/>
          <w:bCs/>
          <w:sz w:val="20"/>
          <w:szCs w:val="20"/>
        </w:rPr>
      </w:pPr>
      <w:r>
        <w:rPr>
          <w:b/>
          <w:bCs/>
          <w:sz w:val="20"/>
          <w:szCs w:val="20"/>
        </w:rPr>
        <w:t>SIGNATURES</w:t>
      </w:r>
    </w:p>
    <w:p w:rsidR="00000000" w:rsidRDefault="005F13FD">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5F13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trPr>
          <w:divId w:val="300502461"/>
        </w:trPr>
        <w:tc>
          <w:tcPr>
            <w:tcW w:w="2500" w:type="pct"/>
            <w:hideMark/>
          </w:tcPr>
          <w:p w:rsidR="00000000" w:rsidRDefault="005F13FD">
            <w:pPr>
              <w:pStyle w:val="a3"/>
              <w:spacing w:before="0" w:beforeAutospacing="0" w:after="0" w:afterAutospacing="0"/>
              <w:rPr>
                <w:sz w:val="20"/>
                <w:szCs w:val="20"/>
              </w:rPr>
            </w:pPr>
            <w:r>
              <w:rPr>
                <w:sz w:val="20"/>
                <w:szCs w:val="20"/>
              </w:rPr>
              <w:t> </w:t>
            </w:r>
          </w:p>
        </w:tc>
        <w:tc>
          <w:tcPr>
            <w:tcW w:w="250" w:type="pct"/>
            <w:gridSpan w:val="2"/>
            <w:hideMark/>
          </w:tcPr>
          <w:p w:rsidR="00000000" w:rsidRDefault="005F13FD">
            <w:pPr>
              <w:pStyle w:val="a3"/>
              <w:spacing w:before="0" w:beforeAutospacing="0" w:after="0" w:afterAutospacing="0"/>
              <w:rPr>
                <w:b/>
                <w:bCs/>
                <w:sz w:val="20"/>
                <w:szCs w:val="20"/>
              </w:rPr>
            </w:pPr>
            <w:r>
              <w:rPr>
                <w:b/>
                <w:bCs/>
                <w:sz w:val="20"/>
                <w:szCs w:val="20"/>
              </w:rPr>
              <w:t>CORECIVIC, INC.</w:t>
            </w:r>
          </w:p>
        </w:tc>
      </w:tr>
      <w:tr w:rsidR="00000000">
        <w:trPr>
          <w:divId w:val="300502461"/>
        </w:trPr>
        <w:tc>
          <w:tcPr>
            <w:tcW w:w="2500" w:type="pct"/>
            <w:hideMark/>
          </w:tcPr>
          <w:p w:rsidR="00000000" w:rsidRDefault="005F13FD">
            <w:pPr>
              <w:pStyle w:val="a3"/>
              <w:spacing w:before="0" w:beforeAutospacing="0" w:after="0" w:afterAutospacing="0"/>
              <w:rPr>
                <w:sz w:val="20"/>
                <w:szCs w:val="20"/>
              </w:rPr>
            </w:pPr>
            <w:r>
              <w:rPr>
                <w:sz w:val="20"/>
                <w:szCs w:val="20"/>
              </w:rPr>
              <w:t> </w:t>
            </w:r>
          </w:p>
        </w:tc>
        <w:tc>
          <w:tcPr>
            <w:tcW w:w="250" w:type="pct"/>
            <w:hideMark/>
          </w:tcPr>
          <w:p w:rsidR="00000000" w:rsidRDefault="005F13FD">
            <w:pPr>
              <w:pStyle w:val="a3"/>
              <w:spacing w:before="0" w:beforeAutospacing="0" w:after="0" w:afterAutospacing="0"/>
              <w:rPr>
                <w:sz w:val="20"/>
                <w:szCs w:val="20"/>
              </w:rPr>
            </w:pPr>
            <w:r>
              <w:rPr>
                <w:sz w:val="20"/>
                <w:szCs w:val="20"/>
              </w:rPr>
              <w:t> </w:t>
            </w:r>
          </w:p>
        </w:tc>
        <w:tc>
          <w:tcPr>
            <w:tcW w:w="2250" w:type="pct"/>
            <w:hideMark/>
          </w:tcPr>
          <w:p w:rsidR="00000000" w:rsidRDefault="005F13FD">
            <w:pPr>
              <w:pStyle w:val="a3"/>
              <w:spacing w:before="0" w:beforeAutospacing="0" w:after="0" w:afterAutospacing="0"/>
              <w:rPr>
                <w:sz w:val="20"/>
                <w:szCs w:val="20"/>
              </w:rPr>
            </w:pPr>
            <w:r>
              <w:rPr>
                <w:sz w:val="20"/>
                <w:szCs w:val="20"/>
              </w:rPr>
              <w:t> </w:t>
            </w:r>
          </w:p>
        </w:tc>
      </w:tr>
      <w:tr w:rsidR="00000000">
        <w:trPr>
          <w:divId w:val="300502461"/>
        </w:trPr>
        <w:tc>
          <w:tcPr>
            <w:tcW w:w="2500" w:type="pct"/>
            <w:hideMark/>
          </w:tcPr>
          <w:p w:rsidR="00000000" w:rsidRDefault="005F13FD">
            <w:pPr>
              <w:pStyle w:val="a3"/>
              <w:spacing w:before="0" w:beforeAutospacing="0" w:after="0" w:afterAutospacing="0"/>
              <w:rPr>
                <w:sz w:val="20"/>
                <w:szCs w:val="20"/>
              </w:rPr>
            </w:pPr>
            <w:r>
              <w:rPr>
                <w:sz w:val="20"/>
                <w:szCs w:val="20"/>
              </w:rPr>
              <w:t>Date:  November 5, 2020</w:t>
            </w:r>
          </w:p>
        </w:tc>
        <w:tc>
          <w:tcPr>
            <w:tcW w:w="250" w:type="pct"/>
            <w:hideMark/>
          </w:tcPr>
          <w:p w:rsidR="00000000" w:rsidRDefault="005F13FD">
            <w:pPr>
              <w:pStyle w:val="a3"/>
              <w:spacing w:before="0" w:beforeAutospacing="0" w:after="0" w:afterAutospacing="0"/>
              <w:rPr>
                <w:sz w:val="20"/>
                <w:szCs w:val="20"/>
              </w:rPr>
            </w:pPr>
            <w:r>
              <w:rPr>
                <w:sz w:val="20"/>
                <w:szCs w:val="20"/>
              </w:rPr>
              <w:t> </w:t>
            </w:r>
          </w:p>
        </w:tc>
        <w:tc>
          <w:tcPr>
            <w:tcW w:w="2250" w:type="pct"/>
            <w:hideMark/>
          </w:tcPr>
          <w:p w:rsidR="00000000" w:rsidRDefault="005F13FD">
            <w:pPr>
              <w:pStyle w:val="a3"/>
              <w:spacing w:before="0" w:beforeAutospacing="0" w:after="0" w:afterAutospacing="0"/>
              <w:rPr>
                <w:sz w:val="20"/>
                <w:szCs w:val="20"/>
              </w:rPr>
            </w:pPr>
            <w:r>
              <w:rPr>
                <w:sz w:val="20"/>
                <w:szCs w:val="20"/>
              </w:rPr>
              <w:t> </w:t>
            </w:r>
          </w:p>
        </w:tc>
      </w:tr>
      <w:tr w:rsidR="00000000">
        <w:trPr>
          <w:divId w:val="300502461"/>
        </w:trPr>
        <w:tc>
          <w:tcPr>
            <w:tcW w:w="2500" w:type="pct"/>
            <w:hideMark/>
          </w:tcPr>
          <w:p w:rsidR="00000000" w:rsidRDefault="005F13FD">
            <w:pPr>
              <w:pStyle w:val="a3"/>
              <w:spacing w:before="0" w:beforeAutospacing="0" w:after="0" w:afterAutospacing="0"/>
              <w:rPr>
                <w:sz w:val="20"/>
                <w:szCs w:val="20"/>
              </w:rPr>
            </w:pPr>
            <w:r>
              <w:rPr>
                <w:sz w:val="20"/>
                <w:szCs w:val="20"/>
              </w:rPr>
              <w:t> </w:t>
            </w:r>
          </w:p>
        </w:tc>
        <w:tc>
          <w:tcPr>
            <w:tcW w:w="250" w:type="pct"/>
            <w:hideMark/>
          </w:tcPr>
          <w:p w:rsidR="00000000" w:rsidRDefault="005F13FD">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5F13FD">
            <w:pPr>
              <w:pStyle w:val="a3"/>
              <w:spacing w:before="0" w:beforeAutospacing="0" w:after="0" w:afterAutospacing="0"/>
              <w:rPr>
                <w:sz w:val="20"/>
                <w:szCs w:val="20"/>
              </w:rPr>
            </w:pPr>
            <w:r>
              <w:rPr>
                <w:sz w:val="20"/>
                <w:szCs w:val="20"/>
              </w:rPr>
              <w:t>/s/ Damon T. Hininger</w:t>
            </w:r>
          </w:p>
        </w:tc>
      </w:tr>
      <w:tr w:rsidR="00000000">
        <w:trPr>
          <w:divId w:val="300502461"/>
        </w:trPr>
        <w:tc>
          <w:tcPr>
            <w:tcW w:w="2500" w:type="pct"/>
            <w:hideMark/>
          </w:tcPr>
          <w:p w:rsidR="00000000" w:rsidRDefault="005F13FD">
            <w:pPr>
              <w:pStyle w:val="a3"/>
              <w:spacing w:before="0" w:beforeAutospacing="0" w:after="0" w:afterAutospacing="0"/>
              <w:rPr>
                <w:sz w:val="20"/>
                <w:szCs w:val="20"/>
              </w:rPr>
            </w:pPr>
            <w:r>
              <w:rPr>
                <w:sz w:val="20"/>
                <w:szCs w:val="20"/>
              </w:rPr>
              <w:t> </w:t>
            </w:r>
          </w:p>
        </w:tc>
        <w:tc>
          <w:tcPr>
            <w:tcW w:w="250" w:type="pct"/>
            <w:hideMark/>
          </w:tcPr>
          <w:p w:rsidR="00000000" w:rsidRDefault="005F13FD">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5F13FD">
            <w:pPr>
              <w:pStyle w:val="a3"/>
              <w:spacing w:before="0" w:beforeAutospacing="0" w:after="0" w:afterAutospacing="0"/>
              <w:rPr>
                <w:sz w:val="20"/>
                <w:szCs w:val="20"/>
              </w:rPr>
            </w:pPr>
            <w:r>
              <w:rPr>
                <w:sz w:val="20"/>
                <w:szCs w:val="20"/>
              </w:rPr>
              <w:t>Damon T. Hininger</w:t>
            </w:r>
          </w:p>
        </w:tc>
      </w:tr>
      <w:tr w:rsidR="00000000">
        <w:trPr>
          <w:divId w:val="300502461"/>
        </w:trPr>
        <w:tc>
          <w:tcPr>
            <w:tcW w:w="2500" w:type="pct"/>
            <w:hideMark/>
          </w:tcPr>
          <w:p w:rsidR="00000000" w:rsidRDefault="005F13FD">
            <w:pPr>
              <w:pStyle w:val="a3"/>
              <w:spacing w:before="0" w:beforeAutospacing="0" w:after="0" w:afterAutospacing="0"/>
              <w:rPr>
                <w:sz w:val="20"/>
                <w:szCs w:val="20"/>
              </w:rPr>
            </w:pPr>
            <w:r>
              <w:rPr>
                <w:sz w:val="20"/>
                <w:szCs w:val="20"/>
              </w:rPr>
              <w:t> </w:t>
            </w:r>
          </w:p>
        </w:tc>
        <w:tc>
          <w:tcPr>
            <w:tcW w:w="250" w:type="pct"/>
            <w:hideMark/>
          </w:tcPr>
          <w:p w:rsidR="00000000" w:rsidRDefault="005F13FD">
            <w:pPr>
              <w:pStyle w:val="a3"/>
              <w:spacing w:before="0" w:beforeAutospacing="0" w:after="0" w:afterAutospacing="0"/>
              <w:rPr>
                <w:sz w:val="20"/>
                <w:szCs w:val="20"/>
              </w:rPr>
            </w:pPr>
            <w:r>
              <w:rPr>
                <w:sz w:val="20"/>
                <w:szCs w:val="20"/>
              </w:rPr>
              <w:t> </w:t>
            </w:r>
          </w:p>
        </w:tc>
        <w:tc>
          <w:tcPr>
            <w:tcW w:w="2250" w:type="pct"/>
            <w:hideMark/>
          </w:tcPr>
          <w:p w:rsidR="00000000" w:rsidRDefault="005F13FD">
            <w:pPr>
              <w:pStyle w:val="a3"/>
              <w:spacing w:before="0" w:beforeAutospacing="0" w:after="0" w:afterAutospacing="0"/>
              <w:rPr>
                <w:sz w:val="20"/>
                <w:szCs w:val="20"/>
              </w:rPr>
            </w:pPr>
            <w:r>
              <w:rPr>
                <w:sz w:val="20"/>
                <w:szCs w:val="20"/>
              </w:rPr>
              <w:t>President and Chief Executive Officer</w:t>
            </w:r>
          </w:p>
        </w:tc>
      </w:tr>
      <w:tr w:rsidR="00000000">
        <w:trPr>
          <w:divId w:val="300502461"/>
        </w:trPr>
        <w:tc>
          <w:tcPr>
            <w:tcW w:w="2500" w:type="pct"/>
            <w:hideMark/>
          </w:tcPr>
          <w:p w:rsidR="00000000" w:rsidRDefault="005F13FD">
            <w:pPr>
              <w:pStyle w:val="a3"/>
              <w:spacing w:before="0" w:beforeAutospacing="0" w:after="0" w:afterAutospacing="0"/>
              <w:rPr>
                <w:sz w:val="20"/>
                <w:szCs w:val="20"/>
              </w:rPr>
            </w:pPr>
            <w:r>
              <w:rPr>
                <w:sz w:val="20"/>
                <w:szCs w:val="20"/>
              </w:rPr>
              <w:t> </w:t>
            </w:r>
          </w:p>
        </w:tc>
        <w:tc>
          <w:tcPr>
            <w:tcW w:w="250" w:type="pct"/>
            <w:hideMark/>
          </w:tcPr>
          <w:p w:rsidR="00000000" w:rsidRDefault="005F13FD">
            <w:pPr>
              <w:pStyle w:val="a3"/>
              <w:spacing w:before="0" w:beforeAutospacing="0" w:after="0" w:afterAutospacing="0"/>
              <w:rPr>
                <w:sz w:val="20"/>
                <w:szCs w:val="20"/>
              </w:rPr>
            </w:pPr>
            <w:r>
              <w:rPr>
                <w:sz w:val="20"/>
                <w:szCs w:val="20"/>
              </w:rPr>
              <w:t> </w:t>
            </w:r>
          </w:p>
        </w:tc>
        <w:tc>
          <w:tcPr>
            <w:tcW w:w="2250" w:type="pct"/>
            <w:hideMark/>
          </w:tcPr>
          <w:p w:rsidR="00000000" w:rsidRDefault="005F13FD">
            <w:pPr>
              <w:pStyle w:val="a3"/>
              <w:spacing w:before="0" w:beforeAutospacing="0" w:after="0" w:afterAutospacing="0"/>
              <w:rPr>
                <w:sz w:val="20"/>
                <w:szCs w:val="20"/>
              </w:rPr>
            </w:pPr>
            <w:r>
              <w:rPr>
                <w:sz w:val="20"/>
                <w:szCs w:val="20"/>
              </w:rPr>
              <w:t> </w:t>
            </w:r>
          </w:p>
        </w:tc>
      </w:tr>
      <w:tr w:rsidR="00000000">
        <w:trPr>
          <w:divId w:val="300502461"/>
        </w:trPr>
        <w:tc>
          <w:tcPr>
            <w:tcW w:w="2500" w:type="pct"/>
            <w:hideMark/>
          </w:tcPr>
          <w:p w:rsidR="00000000" w:rsidRDefault="005F13FD">
            <w:pPr>
              <w:pStyle w:val="a3"/>
              <w:spacing w:before="0" w:beforeAutospacing="0" w:after="0" w:afterAutospacing="0"/>
              <w:rPr>
                <w:sz w:val="20"/>
                <w:szCs w:val="20"/>
              </w:rPr>
            </w:pPr>
            <w:r>
              <w:rPr>
                <w:sz w:val="20"/>
                <w:szCs w:val="20"/>
              </w:rPr>
              <w:t> </w:t>
            </w:r>
          </w:p>
        </w:tc>
        <w:tc>
          <w:tcPr>
            <w:tcW w:w="250" w:type="pct"/>
            <w:hideMark/>
          </w:tcPr>
          <w:p w:rsidR="00000000" w:rsidRDefault="005F13FD">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5F13FD">
            <w:pPr>
              <w:pStyle w:val="a3"/>
              <w:spacing w:before="0" w:beforeAutospacing="0" w:after="0" w:afterAutospacing="0"/>
              <w:rPr>
                <w:sz w:val="20"/>
                <w:szCs w:val="20"/>
              </w:rPr>
            </w:pPr>
            <w:r>
              <w:rPr>
                <w:sz w:val="20"/>
                <w:szCs w:val="20"/>
              </w:rPr>
              <w:t>/s/ David M. Garfinkle</w:t>
            </w:r>
          </w:p>
        </w:tc>
      </w:tr>
      <w:tr w:rsidR="00000000">
        <w:trPr>
          <w:divId w:val="300502461"/>
        </w:trPr>
        <w:tc>
          <w:tcPr>
            <w:tcW w:w="2500" w:type="pct"/>
            <w:hideMark/>
          </w:tcPr>
          <w:p w:rsidR="00000000" w:rsidRDefault="005F13FD">
            <w:pPr>
              <w:pStyle w:val="a3"/>
              <w:spacing w:before="0" w:beforeAutospacing="0" w:after="0" w:afterAutospacing="0"/>
              <w:rPr>
                <w:sz w:val="20"/>
                <w:szCs w:val="20"/>
              </w:rPr>
            </w:pPr>
            <w:r>
              <w:rPr>
                <w:sz w:val="20"/>
                <w:szCs w:val="20"/>
              </w:rPr>
              <w:t> </w:t>
            </w:r>
          </w:p>
        </w:tc>
        <w:tc>
          <w:tcPr>
            <w:tcW w:w="250" w:type="pct"/>
            <w:hideMark/>
          </w:tcPr>
          <w:p w:rsidR="00000000" w:rsidRDefault="005F13FD">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5F13FD">
            <w:pPr>
              <w:pStyle w:val="a3"/>
              <w:spacing w:before="0" w:beforeAutospacing="0" w:after="0" w:afterAutospacing="0"/>
              <w:rPr>
                <w:sz w:val="20"/>
                <w:szCs w:val="20"/>
              </w:rPr>
            </w:pPr>
            <w:r>
              <w:rPr>
                <w:sz w:val="20"/>
                <w:szCs w:val="20"/>
              </w:rPr>
              <w:t>David M. Garfinkle</w:t>
            </w:r>
          </w:p>
        </w:tc>
      </w:tr>
      <w:tr w:rsidR="00000000">
        <w:trPr>
          <w:divId w:val="300502461"/>
        </w:trPr>
        <w:tc>
          <w:tcPr>
            <w:tcW w:w="2500" w:type="pct"/>
            <w:hideMark/>
          </w:tcPr>
          <w:p w:rsidR="00000000" w:rsidRDefault="005F13FD">
            <w:pPr>
              <w:pStyle w:val="a3"/>
              <w:spacing w:before="0" w:beforeAutospacing="0" w:after="0" w:afterAutospacing="0"/>
              <w:rPr>
                <w:sz w:val="20"/>
                <w:szCs w:val="20"/>
              </w:rPr>
            </w:pPr>
            <w:r>
              <w:rPr>
                <w:sz w:val="20"/>
                <w:szCs w:val="20"/>
              </w:rPr>
              <w:t> </w:t>
            </w:r>
          </w:p>
        </w:tc>
        <w:tc>
          <w:tcPr>
            <w:tcW w:w="250" w:type="pct"/>
            <w:hideMark/>
          </w:tcPr>
          <w:p w:rsidR="00000000" w:rsidRDefault="005F13FD">
            <w:pPr>
              <w:pStyle w:val="a3"/>
              <w:spacing w:before="0" w:beforeAutospacing="0" w:after="0" w:afterAutospacing="0"/>
              <w:rPr>
                <w:sz w:val="20"/>
                <w:szCs w:val="20"/>
              </w:rPr>
            </w:pPr>
            <w:r>
              <w:rPr>
                <w:sz w:val="20"/>
                <w:szCs w:val="20"/>
              </w:rPr>
              <w:t> </w:t>
            </w:r>
          </w:p>
        </w:tc>
        <w:tc>
          <w:tcPr>
            <w:tcW w:w="2250" w:type="pct"/>
            <w:hideMark/>
          </w:tcPr>
          <w:p w:rsidR="00000000" w:rsidRDefault="005F13FD">
            <w:pPr>
              <w:pStyle w:val="a3"/>
              <w:spacing w:before="0" w:beforeAutospacing="0" w:after="0" w:afterAutospacing="0"/>
              <w:rPr>
                <w:sz w:val="20"/>
                <w:szCs w:val="20"/>
              </w:rPr>
            </w:pPr>
            <w:r>
              <w:rPr>
                <w:sz w:val="20"/>
                <w:szCs w:val="20"/>
              </w:rPr>
              <w:t>Executive Vice President, Chief Financial Officer, and Principal Accounting Officer</w:t>
            </w:r>
          </w:p>
        </w:tc>
      </w:tr>
    </w:tbl>
    <w:p w:rsidR="00000000" w:rsidRDefault="005F13FD">
      <w:pPr>
        <w:pStyle w:val="a3"/>
        <w:spacing w:before="0" w:beforeAutospacing="0" w:after="0" w:afterAutospacing="0"/>
        <w:rPr>
          <w:sz w:val="23"/>
          <w:szCs w:val="23"/>
        </w:rPr>
      </w:pPr>
      <w:r>
        <w:rPr>
          <w:sz w:val="23"/>
          <w:szCs w:val="23"/>
        </w:rPr>
        <w:t> </w:t>
      </w:r>
    </w:p>
    <w:p w:rsidR="005F13FD" w:rsidRDefault="005F13FD">
      <w:pPr>
        <w:pStyle w:val="a3"/>
        <w:spacing w:before="240" w:beforeAutospacing="0" w:after="0" w:afterAutospacing="0"/>
        <w:jc w:val="center"/>
        <w:rPr>
          <w:sz w:val="20"/>
          <w:szCs w:val="20"/>
        </w:rPr>
      </w:pPr>
      <w:r>
        <w:rPr>
          <w:sz w:val="20"/>
          <w:szCs w:val="20"/>
        </w:rPr>
        <w:t>48</w:t>
      </w:r>
    </w:p>
    <w:sectPr w:rsidR="005F13F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F13FD"/>
    <w:rsid w:val="005F13FD"/>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cca.com/20200930"/>
  <w:attachedSchema w:val="http://fasb.org/us-types/2020-01-31"/>
  <w:attachedSchema w:val="http://fasb.org/us-gaap/2020-01-31"/>
  <w:attachedSchema w:val="http://xbrl.sec.gov/stpr/2018-01-31"/>
  <w:attachedSchema w:val="http://fasb.org/srt-types/2020-01-31"/>
  <w:attachedSchema w:val="http://fasb.org/srt/2020-01-31"/>
  <w:attachedSchema w:val="http://xbrl.sec.gov/sic/2020-01-31"/>
  <w:attachedSchema w:val="http://xbrl.sec.gov/naics/2017-01-31"/>
  <w:attachedSchema w:val="http://xbrl.sec.gov/exch/2020-01-31"/>
  <w:attachedSchema w:val="http://www.xbrl.org/dtr/type/numeric"/>
  <w:attachedSchema w:val="http://www.xbrl.org/dtr/type/non-numeric"/>
  <w:attachedSchema w:val="http://xbrl.sec.gov/dei-std/2019-01-31"/>
  <w:attachedSchema w:val="http://xbrl.sec.gov/dei-ent-std/2019-01-31"/>
  <w:attachedSchema w:val="http://xbrl.sec.gov/dei/2019-01-31"/>
  <w:attachedSchema w:val="http://xbrl.sec.gov/currency/2020-01-31"/>
  <w:attachedSchema w:val="http://xbrl.sec.gov/country/2020-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479">
      <w:marLeft w:val="0"/>
      <w:marRight w:val="0"/>
      <w:marTop w:val="0"/>
      <w:marBottom w:val="0"/>
      <w:divBdr>
        <w:top w:val="none" w:sz="0" w:space="0" w:color="auto"/>
        <w:left w:val="none" w:sz="0" w:space="0" w:color="auto"/>
        <w:bottom w:val="none" w:sz="0" w:space="0" w:color="auto"/>
        <w:right w:val="none" w:sz="0" w:space="0" w:color="auto"/>
      </w:divBdr>
    </w:div>
    <w:div w:id="50545763">
      <w:marLeft w:val="0"/>
      <w:marRight w:val="0"/>
      <w:marTop w:val="0"/>
      <w:marBottom w:val="0"/>
      <w:divBdr>
        <w:top w:val="none" w:sz="0" w:space="0" w:color="auto"/>
        <w:left w:val="none" w:sz="0" w:space="0" w:color="auto"/>
        <w:bottom w:val="none" w:sz="0" w:space="0" w:color="auto"/>
        <w:right w:val="none" w:sz="0" w:space="0" w:color="auto"/>
      </w:divBdr>
    </w:div>
    <w:div w:id="92022152">
      <w:marLeft w:val="0"/>
      <w:marRight w:val="0"/>
      <w:marTop w:val="0"/>
      <w:marBottom w:val="0"/>
      <w:divBdr>
        <w:top w:val="none" w:sz="0" w:space="0" w:color="auto"/>
        <w:left w:val="none" w:sz="0" w:space="0" w:color="auto"/>
        <w:bottom w:val="none" w:sz="0" w:space="0" w:color="auto"/>
        <w:right w:val="none" w:sz="0" w:space="0" w:color="auto"/>
      </w:divBdr>
    </w:div>
    <w:div w:id="112211046">
      <w:marLeft w:val="0"/>
      <w:marRight w:val="0"/>
      <w:marTop w:val="0"/>
      <w:marBottom w:val="0"/>
      <w:divBdr>
        <w:top w:val="none" w:sz="0" w:space="0" w:color="auto"/>
        <w:left w:val="none" w:sz="0" w:space="0" w:color="auto"/>
        <w:bottom w:val="none" w:sz="0" w:space="0" w:color="auto"/>
        <w:right w:val="none" w:sz="0" w:space="0" w:color="auto"/>
      </w:divBdr>
    </w:div>
    <w:div w:id="124202426">
      <w:marLeft w:val="0"/>
      <w:marRight w:val="0"/>
      <w:marTop w:val="0"/>
      <w:marBottom w:val="0"/>
      <w:divBdr>
        <w:top w:val="none" w:sz="0" w:space="0" w:color="auto"/>
        <w:left w:val="none" w:sz="0" w:space="0" w:color="auto"/>
        <w:bottom w:val="none" w:sz="0" w:space="0" w:color="auto"/>
        <w:right w:val="none" w:sz="0" w:space="0" w:color="auto"/>
      </w:divBdr>
    </w:div>
    <w:div w:id="160703695">
      <w:marLeft w:val="0"/>
      <w:marRight w:val="0"/>
      <w:marTop w:val="0"/>
      <w:marBottom w:val="0"/>
      <w:divBdr>
        <w:top w:val="none" w:sz="0" w:space="0" w:color="auto"/>
        <w:left w:val="none" w:sz="0" w:space="0" w:color="auto"/>
        <w:bottom w:val="none" w:sz="0" w:space="0" w:color="auto"/>
        <w:right w:val="none" w:sz="0" w:space="0" w:color="auto"/>
      </w:divBdr>
    </w:div>
    <w:div w:id="184485708">
      <w:marLeft w:val="0"/>
      <w:marRight w:val="0"/>
      <w:marTop w:val="0"/>
      <w:marBottom w:val="0"/>
      <w:divBdr>
        <w:top w:val="none" w:sz="0" w:space="0" w:color="auto"/>
        <w:left w:val="none" w:sz="0" w:space="0" w:color="auto"/>
        <w:bottom w:val="none" w:sz="0" w:space="0" w:color="auto"/>
        <w:right w:val="none" w:sz="0" w:space="0" w:color="auto"/>
      </w:divBdr>
    </w:div>
    <w:div w:id="188880734">
      <w:marLeft w:val="0"/>
      <w:marRight w:val="0"/>
      <w:marTop w:val="0"/>
      <w:marBottom w:val="0"/>
      <w:divBdr>
        <w:top w:val="none" w:sz="0" w:space="0" w:color="auto"/>
        <w:left w:val="none" w:sz="0" w:space="0" w:color="auto"/>
        <w:bottom w:val="none" w:sz="0" w:space="0" w:color="auto"/>
        <w:right w:val="none" w:sz="0" w:space="0" w:color="auto"/>
      </w:divBdr>
    </w:div>
    <w:div w:id="220020593">
      <w:marLeft w:val="0"/>
      <w:marRight w:val="0"/>
      <w:marTop w:val="0"/>
      <w:marBottom w:val="0"/>
      <w:divBdr>
        <w:top w:val="none" w:sz="0" w:space="0" w:color="auto"/>
        <w:left w:val="none" w:sz="0" w:space="0" w:color="auto"/>
        <w:bottom w:val="none" w:sz="0" w:space="0" w:color="auto"/>
        <w:right w:val="none" w:sz="0" w:space="0" w:color="auto"/>
      </w:divBdr>
    </w:div>
    <w:div w:id="251479151">
      <w:marLeft w:val="0"/>
      <w:marRight w:val="0"/>
      <w:marTop w:val="0"/>
      <w:marBottom w:val="0"/>
      <w:divBdr>
        <w:top w:val="none" w:sz="0" w:space="0" w:color="auto"/>
        <w:left w:val="none" w:sz="0" w:space="0" w:color="auto"/>
        <w:bottom w:val="none" w:sz="0" w:space="0" w:color="auto"/>
        <w:right w:val="none" w:sz="0" w:space="0" w:color="auto"/>
      </w:divBdr>
    </w:div>
    <w:div w:id="266231037">
      <w:marLeft w:val="0"/>
      <w:marRight w:val="0"/>
      <w:marTop w:val="0"/>
      <w:marBottom w:val="0"/>
      <w:divBdr>
        <w:top w:val="none" w:sz="0" w:space="0" w:color="auto"/>
        <w:left w:val="none" w:sz="0" w:space="0" w:color="auto"/>
        <w:bottom w:val="none" w:sz="0" w:space="0" w:color="auto"/>
        <w:right w:val="none" w:sz="0" w:space="0" w:color="auto"/>
      </w:divBdr>
    </w:div>
    <w:div w:id="285090105">
      <w:marLeft w:val="0"/>
      <w:marRight w:val="0"/>
      <w:marTop w:val="0"/>
      <w:marBottom w:val="0"/>
      <w:divBdr>
        <w:top w:val="none" w:sz="0" w:space="0" w:color="auto"/>
        <w:left w:val="none" w:sz="0" w:space="0" w:color="auto"/>
        <w:bottom w:val="none" w:sz="0" w:space="0" w:color="auto"/>
        <w:right w:val="none" w:sz="0" w:space="0" w:color="auto"/>
      </w:divBdr>
    </w:div>
    <w:div w:id="293104215">
      <w:marLeft w:val="0"/>
      <w:marRight w:val="0"/>
      <w:marTop w:val="0"/>
      <w:marBottom w:val="0"/>
      <w:divBdr>
        <w:top w:val="none" w:sz="0" w:space="0" w:color="auto"/>
        <w:left w:val="none" w:sz="0" w:space="0" w:color="auto"/>
        <w:bottom w:val="none" w:sz="0" w:space="0" w:color="auto"/>
        <w:right w:val="none" w:sz="0" w:space="0" w:color="auto"/>
      </w:divBdr>
    </w:div>
    <w:div w:id="300502461">
      <w:marLeft w:val="0"/>
      <w:marRight w:val="0"/>
      <w:marTop w:val="0"/>
      <w:marBottom w:val="0"/>
      <w:divBdr>
        <w:top w:val="none" w:sz="0" w:space="0" w:color="auto"/>
        <w:left w:val="none" w:sz="0" w:space="0" w:color="auto"/>
        <w:bottom w:val="none" w:sz="0" w:space="0" w:color="auto"/>
        <w:right w:val="none" w:sz="0" w:space="0" w:color="auto"/>
      </w:divBdr>
    </w:div>
    <w:div w:id="330910874">
      <w:marLeft w:val="0"/>
      <w:marRight w:val="0"/>
      <w:marTop w:val="0"/>
      <w:marBottom w:val="0"/>
      <w:divBdr>
        <w:top w:val="none" w:sz="0" w:space="0" w:color="auto"/>
        <w:left w:val="none" w:sz="0" w:space="0" w:color="auto"/>
        <w:bottom w:val="none" w:sz="0" w:space="0" w:color="auto"/>
        <w:right w:val="none" w:sz="0" w:space="0" w:color="auto"/>
      </w:divBdr>
    </w:div>
    <w:div w:id="339550986">
      <w:marLeft w:val="0"/>
      <w:marRight w:val="0"/>
      <w:marTop w:val="0"/>
      <w:marBottom w:val="0"/>
      <w:divBdr>
        <w:top w:val="none" w:sz="0" w:space="0" w:color="auto"/>
        <w:left w:val="none" w:sz="0" w:space="0" w:color="auto"/>
        <w:bottom w:val="none" w:sz="0" w:space="0" w:color="auto"/>
        <w:right w:val="none" w:sz="0" w:space="0" w:color="auto"/>
      </w:divBdr>
    </w:div>
    <w:div w:id="447704456">
      <w:marLeft w:val="0"/>
      <w:marRight w:val="0"/>
      <w:marTop w:val="0"/>
      <w:marBottom w:val="0"/>
      <w:divBdr>
        <w:top w:val="none" w:sz="0" w:space="0" w:color="auto"/>
        <w:left w:val="none" w:sz="0" w:space="0" w:color="auto"/>
        <w:bottom w:val="none" w:sz="0" w:space="0" w:color="auto"/>
        <w:right w:val="none" w:sz="0" w:space="0" w:color="auto"/>
      </w:divBdr>
    </w:div>
    <w:div w:id="481966667">
      <w:marLeft w:val="0"/>
      <w:marRight w:val="0"/>
      <w:marTop w:val="0"/>
      <w:marBottom w:val="0"/>
      <w:divBdr>
        <w:top w:val="none" w:sz="0" w:space="0" w:color="auto"/>
        <w:left w:val="none" w:sz="0" w:space="0" w:color="auto"/>
        <w:bottom w:val="none" w:sz="0" w:space="0" w:color="auto"/>
        <w:right w:val="none" w:sz="0" w:space="0" w:color="auto"/>
      </w:divBdr>
    </w:div>
    <w:div w:id="506602032">
      <w:marLeft w:val="0"/>
      <w:marRight w:val="0"/>
      <w:marTop w:val="0"/>
      <w:marBottom w:val="0"/>
      <w:divBdr>
        <w:top w:val="none" w:sz="0" w:space="0" w:color="auto"/>
        <w:left w:val="none" w:sz="0" w:space="0" w:color="auto"/>
        <w:bottom w:val="none" w:sz="0" w:space="0" w:color="auto"/>
        <w:right w:val="none" w:sz="0" w:space="0" w:color="auto"/>
      </w:divBdr>
    </w:div>
    <w:div w:id="546527894">
      <w:marLeft w:val="0"/>
      <w:marRight w:val="0"/>
      <w:marTop w:val="0"/>
      <w:marBottom w:val="0"/>
      <w:divBdr>
        <w:top w:val="none" w:sz="0" w:space="0" w:color="auto"/>
        <w:left w:val="none" w:sz="0" w:space="0" w:color="auto"/>
        <w:bottom w:val="none" w:sz="0" w:space="0" w:color="auto"/>
        <w:right w:val="none" w:sz="0" w:space="0" w:color="auto"/>
      </w:divBdr>
    </w:div>
    <w:div w:id="551382911">
      <w:marLeft w:val="0"/>
      <w:marRight w:val="0"/>
      <w:marTop w:val="0"/>
      <w:marBottom w:val="0"/>
      <w:divBdr>
        <w:top w:val="none" w:sz="0" w:space="0" w:color="auto"/>
        <w:left w:val="none" w:sz="0" w:space="0" w:color="auto"/>
        <w:bottom w:val="none" w:sz="0" w:space="0" w:color="auto"/>
        <w:right w:val="none" w:sz="0" w:space="0" w:color="auto"/>
      </w:divBdr>
    </w:div>
    <w:div w:id="584152532">
      <w:marLeft w:val="0"/>
      <w:marRight w:val="0"/>
      <w:marTop w:val="0"/>
      <w:marBottom w:val="0"/>
      <w:divBdr>
        <w:top w:val="none" w:sz="0" w:space="0" w:color="auto"/>
        <w:left w:val="none" w:sz="0" w:space="0" w:color="auto"/>
        <w:bottom w:val="none" w:sz="0" w:space="0" w:color="auto"/>
        <w:right w:val="none" w:sz="0" w:space="0" w:color="auto"/>
      </w:divBdr>
    </w:div>
    <w:div w:id="638846711">
      <w:marLeft w:val="0"/>
      <w:marRight w:val="0"/>
      <w:marTop w:val="0"/>
      <w:marBottom w:val="0"/>
      <w:divBdr>
        <w:top w:val="none" w:sz="0" w:space="0" w:color="auto"/>
        <w:left w:val="none" w:sz="0" w:space="0" w:color="auto"/>
        <w:bottom w:val="none" w:sz="0" w:space="0" w:color="auto"/>
        <w:right w:val="none" w:sz="0" w:space="0" w:color="auto"/>
      </w:divBdr>
    </w:div>
    <w:div w:id="645086618">
      <w:marLeft w:val="0"/>
      <w:marRight w:val="0"/>
      <w:marTop w:val="0"/>
      <w:marBottom w:val="0"/>
      <w:divBdr>
        <w:top w:val="none" w:sz="0" w:space="0" w:color="auto"/>
        <w:left w:val="none" w:sz="0" w:space="0" w:color="auto"/>
        <w:bottom w:val="none" w:sz="0" w:space="0" w:color="auto"/>
        <w:right w:val="none" w:sz="0" w:space="0" w:color="auto"/>
      </w:divBdr>
    </w:div>
    <w:div w:id="645162290">
      <w:marLeft w:val="0"/>
      <w:marRight w:val="0"/>
      <w:marTop w:val="0"/>
      <w:marBottom w:val="0"/>
      <w:divBdr>
        <w:top w:val="none" w:sz="0" w:space="0" w:color="auto"/>
        <w:left w:val="none" w:sz="0" w:space="0" w:color="auto"/>
        <w:bottom w:val="none" w:sz="0" w:space="0" w:color="auto"/>
        <w:right w:val="none" w:sz="0" w:space="0" w:color="auto"/>
      </w:divBdr>
    </w:div>
    <w:div w:id="654645357">
      <w:marLeft w:val="0"/>
      <w:marRight w:val="0"/>
      <w:marTop w:val="0"/>
      <w:marBottom w:val="0"/>
      <w:divBdr>
        <w:top w:val="none" w:sz="0" w:space="0" w:color="auto"/>
        <w:left w:val="none" w:sz="0" w:space="0" w:color="auto"/>
        <w:bottom w:val="none" w:sz="0" w:space="0" w:color="auto"/>
        <w:right w:val="none" w:sz="0" w:space="0" w:color="auto"/>
      </w:divBdr>
    </w:div>
    <w:div w:id="685208730">
      <w:marLeft w:val="0"/>
      <w:marRight w:val="0"/>
      <w:marTop w:val="0"/>
      <w:marBottom w:val="0"/>
      <w:divBdr>
        <w:top w:val="none" w:sz="0" w:space="0" w:color="auto"/>
        <w:left w:val="none" w:sz="0" w:space="0" w:color="auto"/>
        <w:bottom w:val="none" w:sz="0" w:space="0" w:color="auto"/>
        <w:right w:val="none" w:sz="0" w:space="0" w:color="auto"/>
      </w:divBdr>
    </w:div>
    <w:div w:id="699359761">
      <w:marLeft w:val="0"/>
      <w:marRight w:val="0"/>
      <w:marTop w:val="0"/>
      <w:marBottom w:val="0"/>
      <w:divBdr>
        <w:top w:val="none" w:sz="0" w:space="0" w:color="auto"/>
        <w:left w:val="none" w:sz="0" w:space="0" w:color="auto"/>
        <w:bottom w:val="none" w:sz="0" w:space="0" w:color="auto"/>
        <w:right w:val="none" w:sz="0" w:space="0" w:color="auto"/>
      </w:divBdr>
    </w:div>
    <w:div w:id="727456181">
      <w:marLeft w:val="0"/>
      <w:marRight w:val="0"/>
      <w:marTop w:val="0"/>
      <w:marBottom w:val="0"/>
      <w:divBdr>
        <w:top w:val="none" w:sz="0" w:space="0" w:color="auto"/>
        <w:left w:val="none" w:sz="0" w:space="0" w:color="auto"/>
        <w:bottom w:val="none" w:sz="0" w:space="0" w:color="auto"/>
        <w:right w:val="none" w:sz="0" w:space="0" w:color="auto"/>
      </w:divBdr>
    </w:div>
    <w:div w:id="760611332">
      <w:marLeft w:val="0"/>
      <w:marRight w:val="0"/>
      <w:marTop w:val="0"/>
      <w:marBottom w:val="0"/>
      <w:divBdr>
        <w:top w:val="none" w:sz="0" w:space="0" w:color="auto"/>
        <w:left w:val="none" w:sz="0" w:space="0" w:color="auto"/>
        <w:bottom w:val="none" w:sz="0" w:space="0" w:color="auto"/>
        <w:right w:val="none" w:sz="0" w:space="0" w:color="auto"/>
      </w:divBdr>
    </w:div>
    <w:div w:id="762527512">
      <w:marLeft w:val="0"/>
      <w:marRight w:val="0"/>
      <w:marTop w:val="0"/>
      <w:marBottom w:val="0"/>
      <w:divBdr>
        <w:top w:val="none" w:sz="0" w:space="0" w:color="auto"/>
        <w:left w:val="none" w:sz="0" w:space="0" w:color="auto"/>
        <w:bottom w:val="none" w:sz="0" w:space="0" w:color="auto"/>
        <w:right w:val="none" w:sz="0" w:space="0" w:color="auto"/>
      </w:divBdr>
    </w:div>
    <w:div w:id="762533726">
      <w:marLeft w:val="0"/>
      <w:marRight w:val="0"/>
      <w:marTop w:val="0"/>
      <w:marBottom w:val="0"/>
      <w:divBdr>
        <w:top w:val="none" w:sz="0" w:space="0" w:color="auto"/>
        <w:left w:val="none" w:sz="0" w:space="0" w:color="auto"/>
        <w:bottom w:val="none" w:sz="0" w:space="0" w:color="auto"/>
        <w:right w:val="none" w:sz="0" w:space="0" w:color="auto"/>
      </w:divBdr>
    </w:div>
    <w:div w:id="854883473">
      <w:marLeft w:val="0"/>
      <w:marRight w:val="0"/>
      <w:marTop w:val="0"/>
      <w:marBottom w:val="0"/>
      <w:divBdr>
        <w:top w:val="none" w:sz="0" w:space="0" w:color="auto"/>
        <w:left w:val="none" w:sz="0" w:space="0" w:color="auto"/>
        <w:bottom w:val="none" w:sz="0" w:space="0" w:color="auto"/>
        <w:right w:val="none" w:sz="0" w:space="0" w:color="auto"/>
      </w:divBdr>
    </w:div>
    <w:div w:id="914121288">
      <w:marLeft w:val="0"/>
      <w:marRight w:val="0"/>
      <w:marTop w:val="0"/>
      <w:marBottom w:val="0"/>
      <w:divBdr>
        <w:top w:val="none" w:sz="0" w:space="0" w:color="auto"/>
        <w:left w:val="none" w:sz="0" w:space="0" w:color="auto"/>
        <w:bottom w:val="none" w:sz="0" w:space="0" w:color="auto"/>
        <w:right w:val="none" w:sz="0" w:space="0" w:color="auto"/>
      </w:divBdr>
    </w:div>
    <w:div w:id="928150992">
      <w:marLeft w:val="0"/>
      <w:marRight w:val="0"/>
      <w:marTop w:val="0"/>
      <w:marBottom w:val="0"/>
      <w:divBdr>
        <w:top w:val="none" w:sz="0" w:space="0" w:color="auto"/>
        <w:left w:val="none" w:sz="0" w:space="0" w:color="auto"/>
        <w:bottom w:val="none" w:sz="0" w:space="0" w:color="auto"/>
        <w:right w:val="none" w:sz="0" w:space="0" w:color="auto"/>
      </w:divBdr>
    </w:div>
    <w:div w:id="933393948">
      <w:marLeft w:val="0"/>
      <w:marRight w:val="0"/>
      <w:marTop w:val="0"/>
      <w:marBottom w:val="0"/>
      <w:divBdr>
        <w:top w:val="none" w:sz="0" w:space="0" w:color="auto"/>
        <w:left w:val="none" w:sz="0" w:space="0" w:color="auto"/>
        <w:bottom w:val="none" w:sz="0" w:space="0" w:color="auto"/>
        <w:right w:val="none" w:sz="0" w:space="0" w:color="auto"/>
      </w:divBdr>
    </w:div>
    <w:div w:id="954948483">
      <w:marLeft w:val="0"/>
      <w:marRight w:val="0"/>
      <w:marTop w:val="0"/>
      <w:marBottom w:val="0"/>
      <w:divBdr>
        <w:top w:val="none" w:sz="0" w:space="0" w:color="auto"/>
        <w:left w:val="none" w:sz="0" w:space="0" w:color="auto"/>
        <w:bottom w:val="none" w:sz="0" w:space="0" w:color="auto"/>
        <w:right w:val="none" w:sz="0" w:space="0" w:color="auto"/>
      </w:divBdr>
    </w:div>
    <w:div w:id="983899219">
      <w:marLeft w:val="0"/>
      <w:marRight w:val="0"/>
      <w:marTop w:val="0"/>
      <w:marBottom w:val="0"/>
      <w:divBdr>
        <w:top w:val="none" w:sz="0" w:space="0" w:color="auto"/>
        <w:left w:val="none" w:sz="0" w:space="0" w:color="auto"/>
        <w:bottom w:val="none" w:sz="0" w:space="0" w:color="auto"/>
        <w:right w:val="none" w:sz="0" w:space="0" w:color="auto"/>
      </w:divBdr>
    </w:div>
    <w:div w:id="986010318">
      <w:marLeft w:val="0"/>
      <w:marRight w:val="0"/>
      <w:marTop w:val="0"/>
      <w:marBottom w:val="0"/>
      <w:divBdr>
        <w:top w:val="none" w:sz="0" w:space="0" w:color="auto"/>
        <w:left w:val="none" w:sz="0" w:space="0" w:color="auto"/>
        <w:bottom w:val="none" w:sz="0" w:space="0" w:color="auto"/>
        <w:right w:val="none" w:sz="0" w:space="0" w:color="auto"/>
      </w:divBdr>
    </w:div>
    <w:div w:id="1087310324">
      <w:marLeft w:val="0"/>
      <w:marRight w:val="0"/>
      <w:marTop w:val="0"/>
      <w:marBottom w:val="0"/>
      <w:divBdr>
        <w:top w:val="none" w:sz="0" w:space="0" w:color="auto"/>
        <w:left w:val="none" w:sz="0" w:space="0" w:color="auto"/>
        <w:bottom w:val="none" w:sz="0" w:space="0" w:color="auto"/>
        <w:right w:val="none" w:sz="0" w:space="0" w:color="auto"/>
      </w:divBdr>
    </w:div>
    <w:div w:id="1102336756">
      <w:marLeft w:val="0"/>
      <w:marRight w:val="0"/>
      <w:marTop w:val="0"/>
      <w:marBottom w:val="0"/>
      <w:divBdr>
        <w:top w:val="none" w:sz="0" w:space="0" w:color="auto"/>
        <w:left w:val="none" w:sz="0" w:space="0" w:color="auto"/>
        <w:bottom w:val="none" w:sz="0" w:space="0" w:color="auto"/>
        <w:right w:val="none" w:sz="0" w:space="0" w:color="auto"/>
      </w:divBdr>
    </w:div>
    <w:div w:id="1140927090">
      <w:marLeft w:val="0"/>
      <w:marRight w:val="0"/>
      <w:marTop w:val="0"/>
      <w:marBottom w:val="0"/>
      <w:divBdr>
        <w:top w:val="none" w:sz="0" w:space="0" w:color="auto"/>
        <w:left w:val="none" w:sz="0" w:space="0" w:color="auto"/>
        <w:bottom w:val="none" w:sz="0" w:space="0" w:color="auto"/>
        <w:right w:val="none" w:sz="0" w:space="0" w:color="auto"/>
      </w:divBdr>
    </w:div>
    <w:div w:id="1160543792">
      <w:marLeft w:val="0"/>
      <w:marRight w:val="0"/>
      <w:marTop w:val="0"/>
      <w:marBottom w:val="0"/>
      <w:divBdr>
        <w:top w:val="none" w:sz="0" w:space="0" w:color="auto"/>
        <w:left w:val="none" w:sz="0" w:space="0" w:color="auto"/>
        <w:bottom w:val="none" w:sz="0" w:space="0" w:color="auto"/>
        <w:right w:val="none" w:sz="0" w:space="0" w:color="auto"/>
      </w:divBdr>
    </w:div>
    <w:div w:id="1173570355">
      <w:marLeft w:val="0"/>
      <w:marRight w:val="0"/>
      <w:marTop w:val="0"/>
      <w:marBottom w:val="0"/>
      <w:divBdr>
        <w:top w:val="none" w:sz="0" w:space="0" w:color="auto"/>
        <w:left w:val="none" w:sz="0" w:space="0" w:color="auto"/>
        <w:bottom w:val="none" w:sz="0" w:space="0" w:color="auto"/>
        <w:right w:val="none" w:sz="0" w:space="0" w:color="auto"/>
      </w:divBdr>
    </w:div>
    <w:div w:id="1180508772">
      <w:marLeft w:val="0"/>
      <w:marRight w:val="0"/>
      <w:marTop w:val="0"/>
      <w:marBottom w:val="0"/>
      <w:divBdr>
        <w:top w:val="none" w:sz="0" w:space="0" w:color="auto"/>
        <w:left w:val="none" w:sz="0" w:space="0" w:color="auto"/>
        <w:bottom w:val="none" w:sz="0" w:space="0" w:color="auto"/>
        <w:right w:val="none" w:sz="0" w:space="0" w:color="auto"/>
      </w:divBdr>
    </w:div>
    <w:div w:id="1259019264">
      <w:marLeft w:val="0"/>
      <w:marRight w:val="0"/>
      <w:marTop w:val="0"/>
      <w:marBottom w:val="0"/>
      <w:divBdr>
        <w:top w:val="none" w:sz="0" w:space="0" w:color="auto"/>
        <w:left w:val="none" w:sz="0" w:space="0" w:color="auto"/>
        <w:bottom w:val="none" w:sz="0" w:space="0" w:color="auto"/>
        <w:right w:val="none" w:sz="0" w:space="0" w:color="auto"/>
      </w:divBdr>
    </w:div>
    <w:div w:id="1271661575">
      <w:marLeft w:val="0"/>
      <w:marRight w:val="0"/>
      <w:marTop w:val="0"/>
      <w:marBottom w:val="0"/>
      <w:divBdr>
        <w:top w:val="none" w:sz="0" w:space="0" w:color="auto"/>
        <w:left w:val="none" w:sz="0" w:space="0" w:color="auto"/>
        <w:bottom w:val="none" w:sz="0" w:space="0" w:color="auto"/>
        <w:right w:val="none" w:sz="0" w:space="0" w:color="auto"/>
      </w:divBdr>
    </w:div>
    <w:div w:id="1280212904">
      <w:marLeft w:val="0"/>
      <w:marRight w:val="0"/>
      <w:marTop w:val="0"/>
      <w:marBottom w:val="0"/>
      <w:divBdr>
        <w:top w:val="none" w:sz="0" w:space="0" w:color="auto"/>
        <w:left w:val="none" w:sz="0" w:space="0" w:color="auto"/>
        <w:bottom w:val="none" w:sz="0" w:space="0" w:color="auto"/>
        <w:right w:val="none" w:sz="0" w:space="0" w:color="auto"/>
      </w:divBdr>
    </w:div>
    <w:div w:id="1292899407">
      <w:marLeft w:val="0"/>
      <w:marRight w:val="0"/>
      <w:marTop w:val="0"/>
      <w:marBottom w:val="0"/>
      <w:divBdr>
        <w:top w:val="none" w:sz="0" w:space="0" w:color="auto"/>
        <w:left w:val="none" w:sz="0" w:space="0" w:color="auto"/>
        <w:bottom w:val="none" w:sz="0" w:space="0" w:color="auto"/>
        <w:right w:val="none" w:sz="0" w:space="0" w:color="auto"/>
      </w:divBdr>
    </w:div>
    <w:div w:id="1314799221">
      <w:marLeft w:val="0"/>
      <w:marRight w:val="0"/>
      <w:marTop w:val="0"/>
      <w:marBottom w:val="0"/>
      <w:divBdr>
        <w:top w:val="none" w:sz="0" w:space="0" w:color="auto"/>
        <w:left w:val="none" w:sz="0" w:space="0" w:color="auto"/>
        <w:bottom w:val="none" w:sz="0" w:space="0" w:color="auto"/>
        <w:right w:val="none" w:sz="0" w:space="0" w:color="auto"/>
      </w:divBdr>
    </w:div>
    <w:div w:id="1327321142">
      <w:marLeft w:val="0"/>
      <w:marRight w:val="0"/>
      <w:marTop w:val="0"/>
      <w:marBottom w:val="0"/>
      <w:divBdr>
        <w:top w:val="none" w:sz="0" w:space="0" w:color="auto"/>
        <w:left w:val="none" w:sz="0" w:space="0" w:color="auto"/>
        <w:bottom w:val="none" w:sz="0" w:space="0" w:color="auto"/>
        <w:right w:val="none" w:sz="0" w:space="0" w:color="auto"/>
      </w:divBdr>
    </w:div>
    <w:div w:id="1414279962">
      <w:marLeft w:val="0"/>
      <w:marRight w:val="0"/>
      <w:marTop w:val="0"/>
      <w:marBottom w:val="0"/>
      <w:divBdr>
        <w:top w:val="none" w:sz="0" w:space="0" w:color="auto"/>
        <w:left w:val="none" w:sz="0" w:space="0" w:color="auto"/>
        <w:bottom w:val="none" w:sz="0" w:space="0" w:color="auto"/>
        <w:right w:val="none" w:sz="0" w:space="0" w:color="auto"/>
      </w:divBdr>
    </w:div>
    <w:div w:id="1422675622">
      <w:marLeft w:val="0"/>
      <w:marRight w:val="0"/>
      <w:marTop w:val="0"/>
      <w:marBottom w:val="0"/>
      <w:divBdr>
        <w:top w:val="none" w:sz="0" w:space="0" w:color="auto"/>
        <w:left w:val="none" w:sz="0" w:space="0" w:color="auto"/>
        <w:bottom w:val="none" w:sz="0" w:space="0" w:color="auto"/>
        <w:right w:val="none" w:sz="0" w:space="0" w:color="auto"/>
      </w:divBdr>
    </w:div>
    <w:div w:id="1446461591">
      <w:marLeft w:val="0"/>
      <w:marRight w:val="0"/>
      <w:marTop w:val="0"/>
      <w:marBottom w:val="0"/>
      <w:divBdr>
        <w:top w:val="none" w:sz="0" w:space="0" w:color="auto"/>
        <w:left w:val="none" w:sz="0" w:space="0" w:color="auto"/>
        <w:bottom w:val="none" w:sz="0" w:space="0" w:color="auto"/>
        <w:right w:val="none" w:sz="0" w:space="0" w:color="auto"/>
      </w:divBdr>
    </w:div>
    <w:div w:id="1522622423">
      <w:marLeft w:val="0"/>
      <w:marRight w:val="0"/>
      <w:marTop w:val="0"/>
      <w:marBottom w:val="0"/>
      <w:divBdr>
        <w:top w:val="none" w:sz="0" w:space="0" w:color="auto"/>
        <w:left w:val="none" w:sz="0" w:space="0" w:color="auto"/>
        <w:bottom w:val="none" w:sz="0" w:space="0" w:color="auto"/>
        <w:right w:val="none" w:sz="0" w:space="0" w:color="auto"/>
      </w:divBdr>
    </w:div>
    <w:div w:id="1541547663">
      <w:marLeft w:val="0"/>
      <w:marRight w:val="0"/>
      <w:marTop w:val="0"/>
      <w:marBottom w:val="0"/>
      <w:divBdr>
        <w:top w:val="none" w:sz="0" w:space="0" w:color="auto"/>
        <w:left w:val="none" w:sz="0" w:space="0" w:color="auto"/>
        <w:bottom w:val="none" w:sz="0" w:space="0" w:color="auto"/>
        <w:right w:val="none" w:sz="0" w:space="0" w:color="auto"/>
      </w:divBdr>
    </w:div>
    <w:div w:id="1623149646">
      <w:marLeft w:val="0"/>
      <w:marRight w:val="0"/>
      <w:marTop w:val="0"/>
      <w:marBottom w:val="0"/>
      <w:divBdr>
        <w:top w:val="none" w:sz="0" w:space="0" w:color="auto"/>
        <w:left w:val="none" w:sz="0" w:space="0" w:color="auto"/>
        <w:bottom w:val="none" w:sz="0" w:space="0" w:color="auto"/>
        <w:right w:val="none" w:sz="0" w:space="0" w:color="auto"/>
      </w:divBdr>
    </w:div>
    <w:div w:id="1655792869">
      <w:marLeft w:val="0"/>
      <w:marRight w:val="0"/>
      <w:marTop w:val="0"/>
      <w:marBottom w:val="0"/>
      <w:divBdr>
        <w:top w:val="none" w:sz="0" w:space="0" w:color="auto"/>
        <w:left w:val="none" w:sz="0" w:space="0" w:color="auto"/>
        <w:bottom w:val="none" w:sz="0" w:space="0" w:color="auto"/>
        <w:right w:val="none" w:sz="0" w:space="0" w:color="auto"/>
      </w:divBdr>
    </w:div>
    <w:div w:id="1670138503">
      <w:marLeft w:val="0"/>
      <w:marRight w:val="0"/>
      <w:marTop w:val="0"/>
      <w:marBottom w:val="0"/>
      <w:divBdr>
        <w:top w:val="none" w:sz="0" w:space="0" w:color="auto"/>
        <w:left w:val="none" w:sz="0" w:space="0" w:color="auto"/>
        <w:bottom w:val="none" w:sz="0" w:space="0" w:color="auto"/>
        <w:right w:val="none" w:sz="0" w:space="0" w:color="auto"/>
      </w:divBdr>
    </w:div>
    <w:div w:id="1732580367">
      <w:marLeft w:val="0"/>
      <w:marRight w:val="0"/>
      <w:marTop w:val="0"/>
      <w:marBottom w:val="0"/>
      <w:divBdr>
        <w:top w:val="none" w:sz="0" w:space="0" w:color="auto"/>
        <w:left w:val="none" w:sz="0" w:space="0" w:color="auto"/>
        <w:bottom w:val="none" w:sz="0" w:space="0" w:color="auto"/>
        <w:right w:val="none" w:sz="0" w:space="0" w:color="auto"/>
      </w:divBdr>
    </w:div>
    <w:div w:id="1779058487">
      <w:marLeft w:val="0"/>
      <w:marRight w:val="0"/>
      <w:marTop w:val="0"/>
      <w:marBottom w:val="0"/>
      <w:divBdr>
        <w:top w:val="none" w:sz="0" w:space="0" w:color="auto"/>
        <w:left w:val="none" w:sz="0" w:space="0" w:color="auto"/>
        <w:bottom w:val="none" w:sz="0" w:space="0" w:color="auto"/>
        <w:right w:val="none" w:sz="0" w:space="0" w:color="auto"/>
      </w:divBdr>
    </w:div>
    <w:div w:id="1887520709">
      <w:marLeft w:val="0"/>
      <w:marRight w:val="0"/>
      <w:marTop w:val="0"/>
      <w:marBottom w:val="0"/>
      <w:divBdr>
        <w:top w:val="none" w:sz="0" w:space="0" w:color="auto"/>
        <w:left w:val="none" w:sz="0" w:space="0" w:color="auto"/>
        <w:bottom w:val="none" w:sz="0" w:space="0" w:color="auto"/>
        <w:right w:val="none" w:sz="0" w:space="0" w:color="auto"/>
      </w:divBdr>
    </w:div>
    <w:div w:id="1947300979">
      <w:marLeft w:val="0"/>
      <w:marRight w:val="0"/>
      <w:marTop w:val="0"/>
      <w:marBottom w:val="0"/>
      <w:divBdr>
        <w:top w:val="none" w:sz="0" w:space="0" w:color="auto"/>
        <w:left w:val="none" w:sz="0" w:space="0" w:color="auto"/>
        <w:bottom w:val="none" w:sz="0" w:space="0" w:color="auto"/>
        <w:right w:val="none" w:sz="0" w:space="0" w:color="auto"/>
      </w:divBdr>
    </w:div>
    <w:div w:id="1951358485">
      <w:marLeft w:val="0"/>
      <w:marRight w:val="0"/>
      <w:marTop w:val="0"/>
      <w:marBottom w:val="0"/>
      <w:divBdr>
        <w:top w:val="none" w:sz="0" w:space="0" w:color="auto"/>
        <w:left w:val="none" w:sz="0" w:space="0" w:color="auto"/>
        <w:bottom w:val="none" w:sz="0" w:space="0" w:color="auto"/>
        <w:right w:val="none" w:sz="0" w:space="0" w:color="auto"/>
      </w:divBdr>
    </w:div>
    <w:div w:id="1954751683">
      <w:marLeft w:val="0"/>
      <w:marRight w:val="0"/>
      <w:marTop w:val="0"/>
      <w:marBottom w:val="0"/>
      <w:divBdr>
        <w:top w:val="none" w:sz="0" w:space="0" w:color="auto"/>
        <w:left w:val="none" w:sz="0" w:space="0" w:color="auto"/>
        <w:bottom w:val="none" w:sz="0" w:space="0" w:color="auto"/>
        <w:right w:val="none" w:sz="0" w:space="0" w:color="auto"/>
      </w:divBdr>
    </w:div>
    <w:div w:id="1980302283">
      <w:marLeft w:val="0"/>
      <w:marRight w:val="0"/>
      <w:marTop w:val="0"/>
      <w:marBottom w:val="0"/>
      <w:divBdr>
        <w:top w:val="none" w:sz="0" w:space="0" w:color="auto"/>
        <w:left w:val="none" w:sz="0" w:space="0" w:color="auto"/>
        <w:bottom w:val="none" w:sz="0" w:space="0" w:color="auto"/>
        <w:right w:val="none" w:sz="0" w:space="0" w:color="auto"/>
      </w:divBdr>
    </w:div>
    <w:div w:id="1983195388">
      <w:marLeft w:val="0"/>
      <w:marRight w:val="0"/>
      <w:marTop w:val="0"/>
      <w:marBottom w:val="0"/>
      <w:divBdr>
        <w:top w:val="none" w:sz="0" w:space="0" w:color="auto"/>
        <w:left w:val="none" w:sz="0" w:space="0" w:color="auto"/>
        <w:bottom w:val="none" w:sz="0" w:space="0" w:color="auto"/>
        <w:right w:val="none" w:sz="0" w:space="0" w:color="auto"/>
      </w:divBdr>
    </w:div>
    <w:div w:id="1984039399">
      <w:marLeft w:val="0"/>
      <w:marRight w:val="0"/>
      <w:marTop w:val="0"/>
      <w:marBottom w:val="0"/>
      <w:divBdr>
        <w:top w:val="none" w:sz="0" w:space="0" w:color="auto"/>
        <w:left w:val="none" w:sz="0" w:space="0" w:color="auto"/>
        <w:bottom w:val="none" w:sz="0" w:space="0" w:color="auto"/>
        <w:right w:val="none" w:sz="0" w:space="0" w:color="auto"/>
      </w:divBdr>
    </w:div>
    <w:div w:id="2054571019">
      <w:marLeft w:val="0"/>
      <w:marRight w:val="0"/>
      <w:marTop w:val="0"/>
      <w:marBottom w:val="0"/>
      <w:divBdr>
        <w:top w:val="none" w:sz="0" w:space="0" w:color="auto"/>
        <w:left w:val="none" w:sz="0" w:space="0" w:color="auto"/>
        <w:bottom w:val="none" w:sz="0" w:space="0" w:color="auto"/>
        <w:right w:val="none" w:sz="0" w:space="0" w:color="auto"/>
      </w:divBdr>
    </w:div>
    <w:div w:id="2058311550">
      <w:marLeft w:val="0"/>
      <w:marRight w:val="0"/>
      <w:marTop w:val="0"/>
      <w:marBottom w:val="0"/>
      <w:divBdr>
        <w:top w:val="none" w:sz="0" w:space="0" w:color="auto"/>
        <w:left w:val="none" w:sz="0" w:space="0" w:color="auto"/>
        <w:bottom w:val="none" w:sz="0" w:space="0" w:color="auto"/>
        <w:right w:val="none" w:sz="0" w:space="0" w:color="auto"/>
      </w:divBdr>
    </w:div>
    <w:div w:id="2115006907">
      <w:marLeft w:val="0"/>
      <w:marRight w:val="0"/>
      <w:marTop w:val="0"/>
      <w:marBottom w:val="0"/>
      <w:divBdr>
        <w:top w:val="none" w:sz="0" w:space="0" w:color="auto"/>
        <w:left w:val="none" w:sz="0" w:space="0" w:color="auto"/>
        <w:bottom w:val="none" w:sz="0" w:space="0" w:color="auto"/>
        <w:right w:val="none" w:sz="0" w:space="0" w:color="auto"/>
      </w:divBdr>
    </w:div>
    <w:div w:id="213818378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xw-ex312_13.htm" TargetMode="External"/><Relationship Id="rId3" Type="http://schemas.openxmlformats.org/officeDocument/2006/relationships/webSettings" Target="webSettings.xml"/><Relationship Id="rId7" Type="http://schemas.openxmlformats.org/officeDocument/2006/relationships/hyperlink" Target="cxw-ex311_6.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xw-ex221_9.htm" TargetMode="External"/><Relationship Id="rId11" Type="http://schemas.openxmlformats.org/officeDocument/2006/relationships/fontTable" Target="fontTable.xml"/><Relationship Id="rId5" Type="http://schemas.openxmlformats.org/officeDocument/2006/relationships/hyperlink" Target="http://www.sec.gov/Archives/edgar/data/1070985/000119312520210766/d64606dex102.htm" TargetMode="External"/><Relationship Id="rId10" Type="http://schemas.openxmlformats.org/officeDocument/2006/relationships/hyperlink" Target="cxw-ex322_11.htm" TargetMode="External"/><Relationship Id="rId4" Type="http://schemas.openxmlformats.org/officeDocument/2006/relationships/hyperlink" Target="http://www.sec.gov/Archives/edgar/data/1070985/000119312520210766/d64606dex101.htm" TargetMode="External"/><Relationship Id="rId9" Type="http://schemas.openxmlformats.org/officeDocument/2006/relationships/hyperlink" Target="cxw-ex321_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37156</Words>
  <Characters>211794</Characters>
  <Application>Microsoft Office Word</Application>
  <DocSecurity>0</DocSecurity>
  <Lines>1764</Lines>
  <Paragraphs>496</Paragraphs>
  <ScaleCrop>false</ScaleCrop>
  <Company/>
  <LinksUpToDate>false</LinksUpToDate>
  <CharactersWithSpaces>248454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cxw-10q_20200930.htm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