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325ED">
      <w:pPr>
        <w:divId w:val="1271936356"/>
        <w:rPr>
          <w:rFonts w:eastAsia="Times New Roman"/>
          <w:vanish/>
        </w:rPr>
      </w:pPr>
      <w:r>
        <w:rPr>
          <w:rFonts w:eastAsia="Times New Roman"/>
          <w:vanish/>
        </w:rPr>
        <w:t xml:space="preserve">false Q2 0001070985 --12-31 TN MD 1 Interest payable periodically at variable interest rates. Interest payable periodically at variable interest rates. </w:t>
      </w:r>
      <w:r>
        <w:rPr>
          <w:rFonts w:eastAsia="Times New Roman"/>
          <w:vanish/>
        </w:rPr>
        <w:t>Interest payable periodically at variable interest rates. 2040-01-31 0.3333 P3Y 1600000 P2Y 1 2023-04-30 2023-04-30 2024-12-31 2023-05-31 2021-04-30 2027-10-31 2026-04-30 2040-01-31 2023-04-30 2023-04-30 P5Y 2024-12-31 2034-02-28 P3Y 0.3333 P20Y 0001070985</w:t>
      </w:r>
      <w:r>
        <w:rPr>
          <w:rFonts w:eastAsia="Times New Roman"/>
          <w:vanish/>
        </w:rPr>
        <w:t xml:space="preserve"> 2021-01-01 2021-06-30 xbrli:shares 0001070985 2021-08-03 iso4217:USD 0001070985 2021-06-30 0001070985 2020-12-31 iso4217:USD xbrli:shares 0001070985 2021-04-01 2021-06-30 0001070985 2020-04-01 2020-06-30 0001070985 2020-01-01 2020-06-30 0001070985 2019-12</w:t>
      </w:r>
      <w:r>
        <w:rPr>
          <w:rFonts w:eastAsia="Times New Roman"/>
          <w:vanish/>
        </w:rPr>
        <w:t>-31 0001070985 2020-06-30 0001070985 us-gaap:CommonStockMember 2020-12-31 0001070985 us-gaap:AdditionalPaidInCapitalMember 2020-12-31 0001070985 us-gaap:RetainedEarningsMember 2020-12-31 0001070985 us-gaap:ParentMember 2020-12-31 0001070985 us-gaap:Noncont</w:t>
      </w:r>
      <w:r>
        <w:rPr>
          <w:rFonts w:eastAsia="Times New Roman"/>
          <w:vanish/>
        </w:rPr>
        <w:t>rollingInterestMember 2020-12-31 0001070985 us-gaap:RetainedEarningsMember 2021-01-01 2021-03-31 0001070985 us-gaap:ParentMember 2021-01-01 2021-03-31 0001070985 2021-01-01 2021-03-31 0001070985 us-gaap:CommonStockMember 2021-01-01 2021-03-31 0001070985 us</w:t>
      </w:r>
      <w:r>
        <w:rPr>
          <w:rFonts w:eastAsia="Times New Roman"/>
          <w:vanish/>
        </w:rPr>
        <w:t>-gaap:AdditionalPaidInCapitalMember 2021-01-01 2021-03-31 0001070985 us-gaap:CommonStockMember 2021-03-31 0001070985 us-gaap:AdditionalPaidInCapitalMember 2021-03-31 0001070985 us-gaap:RetainedEarningsMember 2021-03-31 0001070985 us-gaap:ParentMember 2021-</w:t>
      </w:r>
      <w:r>
        <w:rPr>
          <w:rFonts w:eastAsia="Times New Roman"/>
          <w:vanish/>
        </w:rPr>
        <w:t>03-31 0001070985 us-gaap:NoncontrollingInterestMember 2021-03-31 0001070985 2021-03-31 0001070985 us-gaap:RetainedEarningsMember 2021-04-01 2021-06-30 0001070985 us-gaap:ParentMember 2021-04-01 2021-06-30 0001070985 us-gaap:AdditionalPaidInCapitalMember 20</w:t>
      </w:r>
      <w:r>
        <w:rPr>
          <w:rFonts w:eastAsia="Times New Roman"/>
          <w:vanish/>
        </w:rPr>
        <w:t>21-04-01 2021-06-30 0001070985 us-gaap:CommonStockMember 2021-04-01 2021-06-30 0001070985 us-gaap:CommonStockMember 2021-06-30 0001070985 us-gaap:AdditionalPaidInCapitalMember 2021-06-30 0001070985 us-gaap:RetainedEarningsMember 2021-06-30 0001070985 us-ga</w:t>
      </w:r>
      <w:r>
        <w:rPr>
          <w:rFonts w:eastAsia="Times New Roman"/>
          <w:vanish/>
        </w:rPr>
        <w:t>ap:ParentMember 2021-06-30 0001070985 us-gaap:NoncontrollingInterestMember 2021-06-30 0001070985 us-gaap:CommonStockMember 2019-12-31 0001070985 us-gaap:AdditionalPaidInCapitalMember 2019-12-31 0001070985 us-gaap:RetainedEarningsMember 2019-12-31 000107098</w:t>
      </w:r>
      <w:r>
        <w:rPr>
          <w:rFonts w:eastAsia="Times New Roman"/>
          <w:vanish/>
        </w:rPr>
        <w:t>5 us-gaap:ParentMember 2019-12-31 0001070985 us-gaap:RetainedEarningsMember 2020-01-01 2020-03-31 0001070985 us-gaap:ParentMember 2020-01-01 2020-03-31 0001070985 us-gaap:NoncontrollingInterestMember 2020-01-01 2020-03-31 0001070985 2020-01-01 2020-03-31 0</w:t>
      </w:r>
      <w:r>
        <w:rPr>
          <w:rFonts w:eastAsia="Times New Roman"/>
          <w:vanish/>
        </w:rPr>
        <w:t>001070985 us-gaap:CommonStockMember 2020-01-01 2020-03-31 0001070985 us-gaap:AdditionalPaidInCapitalMember 2020-01-01 2020-03-31 0001070985 us-gaap:RetainedEarningsMember srt:CumulativeEffectPeriodOfAdoptionAdjustmentMember 2020-03-31 0001070985 us-gaap:Pa</w:t>
      </w:r>
      <w:r>
        <w:rPr>
          <w:rFonts w:eastAsia="Times New Roman"/>
          <w:vanish/>
        </w:rPr>
        <w:t>rentMember srt:CumulativeEffectPeriodOfAdoptionAdjustmentMember 2020-03-31 0001070985 srt:CumulativeEffectPeriodOfAdoptionAdjustmentMember 2020-03-31 0001070985 us-gaap:CommonStockMember 2020-03-31 0001070985 us-gaap:AdditionalPaidInCapitalMember 2020-03-3</w:t>
      </w:r>
      <w:r>
        <w:rPr>
          <w:rFonts w:eastAsia="Times New Roman"/>
          <w:vanish/>
        </w:rPr>
        <w:t>1 0001070985 us-gaap:RetainedEarningsMember 2020-03-31 0001070985 us-gaap:ParentMember 2020-03-31 0001070985 us-gaap:NoncontrollingInterestMember 2020-03-31 0001070985 2020-03-31 0001070985 us-gaap:RetainedEarningsMember 2020-04-01 2020-06-30 0001070985 us</w:t>
      </w:r>
      <w:r>
        <w:rPr>
          <w:rFonts w:eastAsia="Times New Roman"/>
          <w:vanish/>
        </w:rPr>
        <w:t>-gaap:ParentMember 2020-04-01 2020-06-30 0001070985 us-gaap:AdditionalPaidInCapitalMember 2020-04-01 2020-06-30 0001070985 us-gaap:CommonStockMember 2020-04-01 2020-06-30 0001070985 us-gaap:CommonStockMember 2020-06-30 0001070985 us-gaap:AdditionalPaidInCa</w:t>
      </w:r>
      <w:r>
        <w:rPr>
          <w:rFonts w:eastAsia="Times New Roman"/>
          <w:vanish/>
        </w:rPr>
        <w:t>pitalMember 2020-06-30 0001070985 us-gaap:RetainedEarningsMember 2020-06-30 0001070985 us-gaap:ParentMember 2020-06-30 0001070985 us-gaap:NoncontrollingInterestMember 2020-06-30 cxw:Segment cxw:Facility 0001070985 cxw:SafetySegmentMember 2021-06-30 cxw:Bed</w:t>
      </w:r>
      <w:r>
        <w:rPr>
          <w:rFonts w:eastAsia="Times New Roman"/>
          <w:vanish/>
        </w:rPr>
        <w:t xml:space="preserve"> 0001070985 cxw:CommunitySegmentMember 2021-06-30 cxw:Property 0001070985 cxw:PropertiesSegmentMember 2021-06-30 utr:sqft xbrli:pure 0001070985 cxw:SafetySegmentMember 2020-12-31 0001070985 cxw:MarionCountyJailIndianapolisMember srt:ScenarioForecastMember </w:t>
      </w:r>
      <w:r>
        <w:rPr>
          <w:rFonts w:eastAsia="Times New Roman"/>
          <w:vanish/>
        </w:rPr>
        <w:t>2021-12-31 0001070985 cxw:MarionCountyJailIndianapolisMember 2021-04-01 2021-06-30 0001070985 2020-01-02 0001070985 cxw:GovernmentRealEstateSolutionsLLCMember 2020-01-02 0001070985 2020-01-02 2020-01-02 0001070985 2020-12-23 2020-12-23 0001070985 2020-12-2</w:t>
      </w:r>
      <w:r>
        <w:rPr>
          <w:rFonts w:eastAsia="Times New Roman"/>
          <w:vanish/>
        </w:rPr>
        <w:t>3 0001070985 cxw:GovernmentRealEstateSolutionsLLCMember 2020-01-02 2020-01-02 0001070985 cxw:GovernmentRealEstateSolutionsLLCMember 2021-06-30 0001070985 cxw:GovernmentRealEstateSolutionsLLCMember 2021-01-01 2021-06-30 0001070985 srt:MinimumMember cxw:Gove</w:t>
      </w:r>
      <w:r>
        <w:rPr>
          <w:rFonts w:eastAsia="Times New Roman"/>
          <w:vanish/>
        </w:rPr>
        <w:t>rnmentRealEstateSolutionsLLCMember 2021-01-01 2021-06-30 0001070985 srt:MaximumMember cxw:GovernmentRealEstateSolutionsLLCMember 2021-01-01 2021-06-30 0001070985 2021-05-28 2021-05-28 0001070985 2021-06-29 2021-06-29 0001070985 cxw:IdlePropertiesMember 202</w:t>
      </w:r>
      <w:r>
        <w:rPr>
          <w:rFonts w:eastAsia="Times New Roman"/>
          <w:vanish/>
        </w:rPr>
        <w:t>1-04-01 2021-06-30 0001070985 cxw:IdledCorrectionalFacilitiesMember 2021-01-01 2021-06-30 0001070985 cxw:PrairieCorrectionalFacilityMember 2021-06-30 0001070985 cxw:HuerfanoCountyCorrectionalCenterMember 2021-06-30 0001070985 cxw:DiamondbackCorrectionalFac</w:t>
      </w:r>
      <w:r>
        <w:rPr>
          <w:rFonts w:eastAsia="Times New Roman"/>
          <w:vanish/>
        </w:rPr>
        <w:t xml:space="preserve">ilityMember 2021-06-30 0001070985 cxw:MarionAdjustmentCenterMember 2021-06-30 0001070985 cxw:KitCarsonCorrectionalCenterMember 2021-06-30 0001070985 cxw:IdleFacilitiesMember 2021-06-30 0001070985 cxw:PrairieCorrectionalFacilityMember 2020-12-31 0001070985 </w:t>
      </w:r>
      <w:r>
        <w:rPr>
          <w:rFonts w:eastAsia="Times New Roman"/>
          <w:vanish/>
        </w:rPr>
        <w:t>cxw:HuerfanoCountyCorrectionalCenterMember 2020-12-31 0001070985 cxw:DiamondbackCorrectionalFacilityMember 2020-12-31 0001070985 cxw:MarionAdjustmentCenterMember 2020-12-31 0001070985 cxw:KitCarsonCorrectionalCenterMember 2020-12-31 0001070985 cxw:IdleFaci</w:t>
      </w:r>
      <w:r>
        <w:rPr>
          <w:rFonts w:eastAsia="Times New Roman"/>
          <w:vanish/>
        </w:rPr>
        <w:t xml:space="preserve">litiesMember 2020-12-31 0001070985 cxw:IdledNonCoreFacilitiesMember cxw:SafetySegmentMember 2021-01-01 2021-06-30 0001070985 cxw:IdledNonCoreFacilitiesMember cxw:SafetySegmentMember 2021-06-30 0001070985 cxw:IdleFacilitiesMember cxw:CommunitySegmentMember </w:t>
      </w:r>
      <w:r>
        <w:rPr>
          <w:rFonts w:eastAsia="Times New Roman"/>
          <w:vanish/>
        </w:rPr>
        <w:t>2020-09-29 2020-09-30 0001070985 cxw:IdleFacilitiesMember cxw:CommunitySegmentMember 2021-06-30 0001070985 cxw:IdledResidentialReentryFacilityMember cxw:PropertiesSegmentMember 2021-01-01 2021-06-30 0001070985 cxw:IdledResidentialReentryFacilityMember cxw:</w:t>
      </w:r>
      <w:r>
        <w:rPr>
          <w:rFonts w:eastAsia="Times New Roman"/>
          <w:vanish/>
        </w:rPr>
        <w:t xml:space="preserve">PropertiesSegmentMember 2021-06-30 0001070985 cxw:IdleFacilitiesMember 2021-04-01 2021-06-30 0001070985 cxw:IdleFacilitiesMember 2020-04-01 2020-06-30 0001070985 cxw:IdleFacilitiesMember 2021-01-01 2021-06-30 0001070985 cxw:IdleFacilitiesMember 2020-01-01 </w:t>
      </w:r>
      <w:r>
        <w:rPr>
          <w:rFonts w:eastAsia="Times New Roman"/>
          <w:vanish/>
        </w:rPr>
        <w:t>2020-06-30 0001070985 cxw:TulsaTransitionalCenterOklahomaMember cxw:COVID19Member 2020-09-30 0001070985 cxw:OklahomaCityTransitionalCenterMember cxw:COVID19Member 2020-06-30 0001070985 cxw:TurleyResidentialCenterOklahomaMember 2019-12-31 0001070985 cxw:Idl</w:t>
      </w:r>
      <w:r>
        <w:rPr>
          <w:rFonts w:eastAsia="Times New Roman"/>
          <w:vanish/>
        </w:rPr>
        <w:t>eFacilitiesMember 2021-04-30 0001070985 cxw:IdleFacilitiesMember 2020-06-30 0001070985 cxw:IdledNonCoreFacilitiesMember 2021-05-24 2021-05-24 0001070985 cxw:IdledNonCoreFacilitiesMember 2021-05-24 0001070985 cxw:IdledNonCoreFacilitiesMember 2021-06-25 2021</w:t>
      </w:r>
      <w:r>
        <w:rPr>
          <w:rFonts w:eastAsia="Times New Roman"/>
          <w:vanish/>
        </w:rPr>
        <w:t>-06-25 0001070985 cxw:IdledNonCoreFacilitiesMember 2021-06-25 0001070985 cxw:IdledNonCoreFacilitiesMember 2021-03-31 0001070985 cxw:IdledNonCoreFacilitiesMember 2021-01-01 2021-03-31 0001070985 us-gaap:RevolvingCreditFacilityMember cxw:RevolvingCreditFacil</w:t>
      </w:r>
      <w:r>
        <w:rPr>
          <w:rFonts w:eastAsia="Times New Roman"/>
          <w:vanish/>
        </w:rPr>
        <w:t>ityDueInAprilTwentyTwentyThreeMember 2021-06-30 0001070985 us-gaap:RevolvingCreditFacilityMember cxw:RevolvingCreditFacilityDueInAprilTwentyTwentyThreeMember 2020-12-31 0001070985 cxw:TermLoanADueInAprilTwentyTwentyThreeMember 2021-06-30 0001070985 cxw:Ter</w:t>
      </w:r>
      <w:r>
        <w:rPr>
          <w:rFonts w:eastAsia="Times New Roman"/>
          <w:vanish/>
        </w:rPr>
        <w:t>mLoanADueInAprilTwentyTwentyThreeMember 2020-12-31 0001070985 cxw:TermLoanBDueInDecemberTwentyTwentyFourMember 2021-06-30 0001070985 cxw:TermLoanBDueInDecemberTwentyTwentyFourMember 2020-12-31 0001070985 cxw:SeniorNotesFourPointSixTwentyFivePercentDueTwent</w:t>
      </w:r>
      <w:r>
        <w:rPr>
          <w:rFonts w:eastAsia="Times New Roman"/>
          <w:vanish/>
        </w:rPr>
        <w:t>yTwentyThreeMember 2021-06-30 0001070985 cxw:SeniorNotesFourPointSixTwentyFivePercentDueTwentyTwentyThreeMember 2020-12-31 0001070985 cxw:SeniorNotesFivePointZeroPercentRedeemedAprilTwentyTwentyOneMember 2020-12-31 0001070985 cxw:SeniorNotesFourPointSevent</w:t>
      </w:r>
      <w:r>
        <w:rPr>
          <w:rFonts w:eastAsia="Times New Roman"/>
          <w:vanish/>
        </w:rPr>
        <w:t>yFivePercentDueTwentyTwentySevenMember 2021-06-30 0001070985 cxw:SeniorNotesFourPointSeventyFivePercentDueTwentyTwentySevenMember 2020-12-31 0001070985 cxw:SeniorNotesEightPointTwoFivePercentDueTwentyTwentySixMember 2021-06-30 0001070985 cxw:FourPointFiveP</w:t>
      </w:r>
      <w:r>
        <w:rPr>
          <w:rFonts w:eastAsia="Times New Roman"/>
          <w:vanish/>
        </w:rPr>
        <w:t>ercentageCapitalCommerceCenterNonRecourseMortgageNoteMember 2020-12-31 0001070985 cxw:LansingCorrectionalCenterNonRecourseMortgageNoteFourPointFourThreePercentDueTwentyFortyMember 2021-06-30 0001070985 cxw:LansingCorrectionalCenterNonRecourseMortgageNoteFo</w:t>
      </w:r>
      <w:r>
        <w:rPr>
          <w:rFonts w:eastAsia="Times New Roman"/>
          <w:vanish/>
        </w:rPr>
        <w:t xml:space="preserve">urPointFourThreePercentDueTwentyFortyMember 2020-12-31 0001070985 cxw:FourPointFivePercentageSSABaltimoreNonRecourseMortgageNoteMember 2020-12-31 0001070985 us-gaap:RevolvingCreditFacilityMember cxw:RevolvingCreditFacilityDueInAprilTwentyTwentyThreeMember </w:t>
      </w:r>
      <w:r>
        <w:rPr>
          <w:rFonts w:eastAsia="Times New Roman"/>
          <w:vanish/>
        </w:rPr>
        <w:t>2021-01-01 2021-06-30 0001070985 cxw:TermLoanADueInAprilTwentyTwentyThreeMember 2021-01-01 2021-06-30 0001070985 cxw:TermLoanBDueInDecemberTwentyTwentyFourMember 2021-01-01 2021-06-30 0001070985 cxw:SeniorNotesFourPointSixTwentyFivePercentDueTwentyTwentyTh</w:t>
      </w:r>
      <w:r>
        <w:rPr>
          <w:rFonts w:eastAsia="Times New Roman"/>
          <w:vanish/>
        </w:rPr>
        <w:t>reeMember 2021-01-01 2021-06-30 0001070985 cxw:SeniorNotesFivePointZeroPercentRedeemedAprilTwentyTwentyOneMember 2021-06-30 0001070985 cxw:SeniorNotesFivePointZeroPercentRedeemedAprilTwentyTwentyOneMember 2021-01-01 2021-06-30 0001070985 cxw:SeniorNotesFou</w:t>
      </w:r>
      <w:r>
        <w:rPr>
          <w:rFonts w:eastAsia="Times New Roman"/>
          <w:vanish/>
        </w:rPr>
        <w:t>rPointSeventyFivePercentDueTwentyTwentySevenMember 2021-01-01 2021-06-30 0001070985 cxw:SeniorNotesEightPointTwoFivePercentDueTwentyTwentySixMember 2021-01-01 2021-06-30 0001070985 cxw:FourPointFivePercentageCapitalCommerceCenterNonRecourseMortgageNoteMemb</w:t>
      </w:r>
      <w:r>
        <w:rPr>
          <w:rFonts w:eastAsia="Times New Roman"/>
          <w:vanish/>
        </w:rPr>
        <w:t>er 2021-06-30 0001070985 cxw:LansingCorrectionalCenterNonRecourseMortgageNoteFourPointFourThreePercentDueTwentyFortyMember 2021-01-01 2021-06-30 0001070985 cxw:FourPointFivePercentageSSABaltimoreNonRecourseMortgageNoteMember 2021-06-30 0001070985 us-gaap:R</w:t>
      </w:r>
      <w:r>
        <w:rPr>
          <w:rFonts w:eastAsia="Times New Roman"/>
          <w:vanish/>
        </w:rPr>
        <w:t>evolvingCreditFacilityMember srt:MinimumMember us-gaap:BaseRateMember 2018-04-16 2018-04-17 0001070985 us-gaap:RevolvingCreditFacilityMember srt:MaximumMember us-gaap:BaseRateMember 2018-04-16 2018-04-17 0001070985 us-gaap:RevolvingCreditFacilityMember srt</w:t>
      </w:r>
      <w:r>
        <w:rPr>
          <w:rFonts w:eastAsia="Times New Roman"/>
          <w:vanish/>
        </w:rPr>
        <w:t>:MinimumMember us-gaap:LondonInterbankOfferedRateLIBORMember 2018-04-16 2018-04-17 0001070985 us-gaap:RevolvingCreditFacilityMember srt:MaximumMember us-gaap:LondonInterbankOfferedRateLIBORMember 2018-04-16 2018-04-17 0001070985 cxw:CreditAgreementMember 2</w:t>
      </w:r>
      <w:r>
        <w:rPr>
          <w:rFonts w:eastAsia="Times New Roman"/>
          <w:vanish/>
        </w:rPr>
        <w:t>018-04-17 0001070985 cxw:CreditAgreementMember cxw:TermLoanADueInAprilTwentyTwentyThreeMember 2018-04-17 0001070985 us-gaap:RevolvingCreditFacilityMember cxw:CreditAgreementMember 2018-04-17 0001070985 cxw:CreditAgreementMember 2018-04-16 2018-04-17 000107</w:t>
      </w:r>
      <w:r>
        <w:rPr>
          <w:rFonts w:eastAsia="Times New Roman"/>
          <w:vanish/>
        </w:rPr>
        <w:t>0985 us-gaap:RevolvingCreditFacilityMember 2018-04-17 0001070985 us-gaap:RevolvingCreditFacilityMember 2021-01-01 2021-06-30 0001070985 us-gaap:RevolvingCreditFacilityMember 2021-06-30 0001070985 us-gaap:RevolvingCreditFacilityMember us-gaap:BaseRateMember</w:t>
      </w:r>
      <w:r>
        <w:rPr>
          <w:rFonts w:eastAsia="Times New Roman"/>
          <w:vanish/>
        </w:rPr>
        <w:t xml:space="preserve"> 2021-01-01 2021-06-30 0001070985 us-gaap:RevolvingCreditFacilityMember us-gaap:LondonInterbankOfferedRateLIBORMember 2021-01-01 2021-06-30 0001070985 cxw:TermLoanADueInAprilTwentyTwentyThreeMember 2018-04-16 2018-04-17 0001070985 cxw:TermLoanBDueInDecembe</w:t>
      </w:r>
      <w:r>
        <w:rPr>
          <w:rFonts w:eastAsia="Times New Roman"/>
          <w:vanish/>
        </w:rPr>
        <w:t>rTwentyTwentyFourMember 2019-12-18 0001070985 us-gaap:LondonInterbankOfferedRateLIBORMember cxw:TermLoanBDueInDecemberTwentyTwentyFourMember 2019-12-18 2019-12-18 0001070985 us-gaap:LondonInterbankOfferedRateLIBORMember cxw:TermLoanBDueInDecemberTwentyTwen</w:t>
      </w:r>
      <w:r>
        <w:rPr>
          <w:rFonts w:eastAsia="Times New Roman"/>
          <w:vanish/>
        </w:rPr>
        <w:t>tyFourMember 2019-12-18 0001070985 us-gaap:BaseRateMember cxw:TermLoanBDueInDecemberTwentyTwentyFourMember 2019-12-18 2019-12-18 0001070985 cxw:TermLoanBDueInDecemberTwentyTwentyFourMember 2019-12-18 2019-12-18 0001070985 cxw:SeniorNotesFourPointOneTwentyF</w:t>
      </w:r>
      <w:r>
        <w:rPr>
          <w:rFonts w:eastAsia="Times New Roman"/>
          <w:vanish/>
        </w:rPr>
        <w:t>ivePercentDueTwentyTwentyMember 2019-12-18 0001070985 cxw:SeniorNotesFourPointSixTwentyFivePercentDueTwentyTwentyThreeMember 2013-04-01 2013-04-30 0001070985 cxw:SeniorNotesFourPointSixTwentyFivePercentDueTwentyTwentyThreeMember 2013-04-30 0001070985 cxw:S</w:t>
      </w:r>
      <w:r>
        <w:rPr>
          <w:rFonts w:eastAsia="Times New Roman"/>
          <w:vanish/>
        </w:rPr>
        <w:t xml:space="preserve">eniorNotesFourPointSeventyFivePercentDueTwentyTwentySevenMember 2017-10-31 0001070985 cxw:SeniorNotesFourPointSeventyFivePercentDueTwentyTwentySevenMember 2017-10-01 2017-10-31 0001070985 cxw:SeniorNotesEightPointTwoFivePercentMember 2021-04-14 0001070985 </w:t>
      </w:r>
      <w:r>
        <w:rPr>
          <w:rFonts w:eastAsia="Times New Roman"/>
          <w:vanish/>
        </w:rPr>
        <w:t>cxw:SeniorNotesEightPointTwoFivePercentMember 2021-06-30 0001070985 cxw:SeniorNotesEightPointTwoFivePercentMember 2021-04-14 2021-04-14 0001070985 cxw:SeniorNotesFivePointZeroPercentMember 2021-04-14 0001070985 cxw:SeniorNotesFivePointZeroPercentMember 202</w:t>
      </w:r>
      <w:r>
        <w:rPr>
          <w:rFonts w:eastAsia="Times New Roman"/>
          <w:vanish/>
        </w:rPr>
        <w:t>1-01-01 2021-06-30 0001070985 cxw:SeniorNotesFourPointSixTwoFivePercentageMember 2021-04-14 0001070985 cxw:SeniorNotesFourPointSixTwoFivePercentageMember 2021-06-30 0001070985 cxw:SeniorNotesFourPointSixTwoFivePercentageMember 2021-04-14 2021-04-14 0001070</w:t>
      </w:r>
      <w:r>
        <w:rPr>
          <w:rFonts w:eastAsia="Times New Roman"/>
          <w:vanish/>
        </w:rPr>
        <w:t>985 cxw:SeniorNotesFourPointSixTwoFivePercentageMember 2021-06-21 0001070985 cxw:SeniorNotesFivePointZeroPercentMember 2021-04-14 2021-04-14 0001070985 cxw:FivePointZeroPercentageAndFourPointSixTwoFivePercentageSeniorNotesMember 2021-04-01 2021-06-30 00010</w:t>
      </w:r>
      <w:r>
        <w:rPr>
          <w:rFonts w:eastAsia="Times New Roman"/>
          <w:vanish/>
        </w:rPr>
        <w:t>70985 cxw:SeniorNotesEightPointTwoFivePercentMember us-gaap:DebtInstrumentRedemptionPeriodOneMember 2021-04-14 2021-04-14 0001070985 cxw:SeniorNotesEightPointTwoFivePercentMember us-gaap:DebtInstrumentRedemptionPeriodTwoMember 2021-04-14 2021-04-14 0001070</w:t>
      </w:r>
      <w:r>
        <w:rPr>
          <w:rFonts w:eastAsia="Times New Roman"/>
          <w:vanish/>
        </w:rPr>
        <w:t xml:space="preserve">985 cxw:CapitalCommerceCenterMember 2018-01-17 2018-01-19 0001070985 cxw:NonRecourseMortgageNoteMember cxw:CapitalCommerceCenterMember 2018-01-19 0001070985 cxw:NonRecourseMortgageNoteMember cxw:CapitalCommerceCenterMember 2018-01-17 2018-01-19 0001070985 </w:t>
      </w:r>
      <w:r>
        <w:rPr>
          <w:rFonts w:eastAsia="Times New Roman"/>
          <w:vanish/>
        </w:rPr>
        <w:t>cxw:NonRecourseMortgageNoteMember cxw:CapitalCommerceCenterAndWarehousePropertyMember 2021-05-28 2021-05-28 0001070985 cxw:NonRecourseMortgageNoteMember cxw:CapitalCommerceCenterMember 2021-05-28 2021-05-28 0001070985 us-gaap:PrivatePlacementMember cxw:Non</w:t>
      </w:r>
      <w:r>
        <w:rPr>
          <w:rFonts w:eastAsia="Times New Roman"/>
          <w:vanish/>
        </w:rPr>
        <w:t>RecourseSeniorSecuredNotesMember 2018-04-20 0001070985 us-gaap:PrivatePlacementMember cxw:NonRecourseSeniorSecuredNotesMember 2018-04-19 2018-04-20 0001070985 us-gaap:PrivatePlacementMember cxw:NonRecourseSeniorSecuredNotesMember 2021-06-30 0001070985 cxw:</w:t>
      </w:r>
      <w:r>
        <w:rPr>
          <w:rFonts w:eastAsia="Times New Roman"/>
          <w:vanish/>
        </w:rPr>
        <w:t>NonRecourseMortgageNoteMember cxw:SSABaltimoreMember 2018-08-22 2018-08-23 0001070985 cxw:NonRecourseMortgageNoteMember cxw:SSABaltimoreMember 2018-08-23 0001070985 cxw:NonRecourseMortgageNoteMember cxw:SSABaltimoreMember 2021-06-29 2021-06-29 0001070985 2</w:t>
      </w:r>
      <w:r>
        <w:rPr>
          <w:rFonts w:eastAsia="Times New Roman"/>
          <w:vanish/>
        </w:rPr>
        <w:t>020-02-20 2020-02-20 0001070985 cxw:EmployeesAndNonEmployeeDirectorsMember us-gaap:RestrictedStockMember 2021-01-01 2021-06-30 0001070985 us-gaap:RestrictedStockMember 2021-01-01 2021-06-30 0001070985 cxw:EmployeesAndNonEmployeeDirectorsMember us-gaap:Gene</w:t>
      </w:r>
      <w:r>
        <w:rPr>
          <w:rFonts w:eastAsia="Times New Roman"/>
          <w:vanish/>
        </w:rPr>
        <w:t>ralAndAdministrativeExpenseMember us-gaap:RestrictedStockMember 2021-01-01 2021-06-30 0001070985 cxw:EmployeeMember us-gaap:OperatingExpenseMember us-gaap:RestrictedStockMember 2021-01-01 2021-06-30 0001070985 cxw:EmployeesAndNonEmployeeDirectorsMember us-</w:t>
      </w:r>
      <w:r>
        <w:rPr>
          <w:rFonts w:eastAsia="Times New Roman"/>
          <w:vanish/>
        </w:rPr>
        <w:t>gaap:RestrictedStockMember 2020-01-01 2020-12-31 0001070985 us-gaap:RestrictedStockMember 2020-01-01 2020-12-31 0001070985 cxw:EmployeesAndNonEmployeeDirectorsMember us-gaap:GeneralAndAdministrativeExpenseMember us-gaap:RestrictedStockMember 2020-01-01 202</w:t>
      </w:r>
      <w:r>
        <w:rPr>
          <w:rFonts w:eastAsia="Times New Roman"/>
          <w:vanish/>
        </w:rPr>
        <w:t>0-12-31 0001070985 cxw:EmployeeMember us-gaap:OperatingExpenseMember us-gaap:RestrictedStockMember 2020-01-01 2020-12-31 0001070985 us-gaap:RestrictedStockMember cxw:OfficersAndExecutiveOfficersMember 2021-01-01 2021-06-30 0001070985 us-gaap:RestrictedStoc</w:t>
      </w:r>
      <w:r>
        <w:rPr>
          <w:rFonts w:eastAsia="Times New Roman"/>
          <w:vanish/>
        </w:rPr>
        <w:t>kMember srt:MinimumMember 2021-01-01 2021-06-30 0001070985 us-gaap:RestrictedStockMember srt:MaximumMember 2021-01-01 2021-06-30 0001070985 us-gaap:RestrictedStockMember cxw:OtherEmployeesMember 2021-01-01 2021-06-30 0001070985 us-gaap:RestrictedStockMembe</w:t>
      </w:r>
      <w:r>
        <w:rPr>
          <w:rFonts w:eastAsia="Times New Roman"/>
          <w:vanish/>
        </w:rPr>
        <w:t>r cxw:NonEmployeeDirectorsMember 2021-01-01 2021-06-30 0001070985 us-gaap:RestrictedStockMember 2021-04-01 2021-06-30 0001070985 us-gaap:RestrictedStockMember 2020-04-01 2020-06-30 0001070985 us-gaap:OperatingExpenseMember us-gaap:RestrictedStockMember 202</w:t>
      </w:r>
      <w:r>
        <w:rPr>
          <w:rFonts w:eastAsia="Times New Roman"/>
          <w:vanish/>
        </w:rPr>
        <w:t>1-04-01 2021-06-30 0001070985 us-gaap:OperatingExpenseMember us-gaap:RestrictedStockMember 2020-04-01 2020-06-30 0001070985 us-gaap:GeneralAndAdministrativeExpenseMember us-gaap:RestrictedStockMember 2021-04-01 2021-06-30 0001070985 us-gaap:GeneralAndAdmin</w:t>
      </w:r>
      <w:r>
        <w:rPr>
          <w:rFonts w:eastAsia="Times New Roman"/>
          <w:vanish/>
        </w:rPr>
        <w:t>istrativeExpenseMember us-gaap:RestrictedStockMember 2020-04-01 2020-06-30 0001070985 us-gaap:RestrictedStockMember 2020-01-01 2020-06-30 0001070985 us-gaap:OperatingExpenseMember us-gaap:RestrictedStockMember 2021-01-01 2021-06-30 0001070985 us-gaap:Opera</w:t>
      </w:r>
      <w:r>
        <w:rPr>
          <w:rFonts w:eastAsia="Times New Roman"/>
          <w:vanish/>
        </w:rPr>
        <w:t>tingExpenseMember us-gaap:RestrictedStockMember 2020-01-01 2020-06-30 0001070985 us-gaap:GeneralAndAdministrativeExpenseMember us-gaap:RestrictedStockMember 2021-01-01 2021-06-30 0001070985 us-gaap:GeneralAndAdministrativeExpenseMember us-gaap:RestrictedSt</w:t>
      </w:r>
      <w:r>
        <w:rPr>
          <w:rFonts w:eastAsia="Times New Roman"/>
          <w:vanish/>
        </w:rPr>
        <w:t>ockMember 2020-01-01 2020-06-30 0001070985 us-gaap:RestrictedStockMember 2021-06-30 0001070985 cxw:OperatingPartnershipUnitsMember 2021-04-01 2021-06-30 0001070985 cxw:OperatingPartnershipUnitsMember 2020-04-01 2020-06-30 0001070985 cxw:OperatingPartnershi</w:t>
      </w:r>
      <w:r>
        <w:rPr>
          <w:rFonts w:eastAsia="Times New Roman"/>
          <w:vanish/>
        </w:rPr>
        <w:t>pUnitsMember 2021-01-01 2021-06-30 0001070985 cxw:OperatingPartnershipUnitsMember 2020-01-01 2020-06-30 0001070985 2021-04-16 2021-04-16 0001070985 cxw:ResultingFromRevaluationOfDeferredTaxLiabilitiesMember 2021-01-01 2021-06-30 0001070985 cxw:LansingCorre</w:t>
      </w:r>
      <w:r>
        <w:rPr>
          <w:rFonts w:eastAsia="Times New Roman"/>
          <w:vanish/>
        </w:rPr>
        <w:t>ctionalFacilityMember 2020-01-01 2020-06-30 0001070985 cxw:LansingCorrectionalFacilityMember 2020-06-30 0001070985 us-gaap:OperatingSegmentsMember cxw:SafetySegmentMember 2021-04-01 2021-06-30 0001070985 us-gaap:OperatingSegmentsMember cxw:SafetySegmentMem</w:t>
      </w:r>
      <w:r>
        <w:rPr>
          <w:rFonts w:eastAsia="Times New Roman"/>
          <w:vanish/>
        </w:rPr>
        <w:t>ber 2020-04-01 2020-06-30 0001070985 us-gaap:OperatingSegmentsMember cxw:SafetySegmentMember 2021-01-01 2021-06-30 0001070985 us-gaap:OperatingSegmentsMember cxw:SafetySegmentMember 2020-01-01 2020-06-30 0001070985 us-gaap:OperatingSegmentsMember cxw:Commu</w:t>
      </w:r>
      <w:r>
        <w:rPr>
          <w:rFonts w:eastAsia="Times New Roman"/>
          <w:vanish/>
        </w:rPr>
        <w:t>nitySegmentMember 2021-04-01 2021-06-30 0001070985 us-gaap:OperatingSegmentsMember cxw:CommunitySegmentMember 2020-04-01 2020-06-30 0001070985 us-gaap:OperatingSegmentsMember cxw:CommunitySegmentMember 2021-01-01 2021-06-30 0001070985 us-gaap:OperatingSegm</w:t>
      </w:r>
      <w:r>
        <w:rPr>
          <w:rFonts w:eastAsia="Times New Roman"/>
          <w:vanish/>
        </w:rPr>
        <w:t>entsMember cxw:CommunitySegmentMember 2020-01-01 2020-06-30 0001070985 us-gaap:OperatingSegmentsMember cxw:PropertiesSegmentMember 2021-04-01 2021-06-30 0001070985 us-gaap:OperatingSegmentsMember cxw:PropertiesSegmentMember 2020-04-01 2020-06-30 0001070985</w:t>
      </w:r>
      <w:r>
        <w:rPr>
          <w:rFonts w:eastAsia="Times New Roman"/>
          <w:vanish/>
        </w:rPr>
        <w:t xml:space="preserve"> us-gaap:OperatingSegmentsMember cxw:PropertiesSegmentMember 2021-01-01 2021-06-30 0001070985 us-gaap:OperatingSegmentsMember cxw:PropertiesSegmentMember 2020-01-01 2020-06-30 0001070985 us-gaap:OperatingSegmentsMember 2021-04-01 2021-06-30 0001070985 us-g</w:t>
      </w:r>
      <w:r>
        <w:rPr>
          <w:rFonts w:eastAsia="Times New Roman"/>
          <w:vanish/>
        </w:rPr>
        <w:t xml:space="preserve">aap:OperatingSegmentsMember 2020-04-01 2020-06-30 0001070985 us-gaap:OperatingSegmentsMember 2021-01-01 2021-06-30 0001070985 us-gaap:OperatingSegmentsMember 2020-01-01 2020-06-30 0001070985 us-gaap:MaterialReconcilingItemsMember us-gaap:OtherIncomeMember </w:t>
      </w:r>
      <w:r>
        <w:rPr>
          <w:rFonts w:eastAsia="Times New Roman"/>
          <w:vanish/>
        </w:rPr>
        <w:t>2021-04-01 2021-06-30 0001070985 us-gaap:MaterialReconcilingItemsMember us-gaap:OtherIncomeMember 2020-04-01 2020-06-30 0001070985 us-gaap:MaterialReconcilingItemsMember us-gaap:OtherIncomeMember 2021-01-01 2021-06-30 0001070985 us-gaap:MaterialReconciling</w:t>
      </w:r>
      <w:r>
        <w:rPr>
          <w:rFonts w:eastAsia="Times New Roman"/>
          <w:vanish/>
        </w:rPr>
        <w:t>ItemsMember us-gaap:OtherIncomeMember 2020-01-01 2020-06-30 0001070985 us-gaap:MaterialReconcilingItemsMember 2021-04-01 2021-06-30 0001070985 us-gaap:MaterialReconcilingItemsMember 2020-04-01 2020-06-30 0001070985 us-gaap:MaterialReconcilingItemsMember 20</w:t>
      </w:r>
      <w:r>
        <w:rPr>
          <w:rFonts w:eastAsia="Times New Roman"/>
          <w:vanish/>
        </w:rPr>
        <w:t>21-01-01 2021-06-30 0001070985 us-gaap:MaterialReconcilingItemsMember 2020-01-01 2020-06-30 0001070985 cxw:SafetySegmentMember 2021-04-01 2021-06-30 0001070985 cxw:SafetySegmentMember 2020-04-01 2020-06-30 0001070985 cxw:SafetySegmentMember 2021-01-01 2021</w:t>
      </w:r>
      <w:r>
        <w:rPr>
          <w:rFonts w:eastAsia="Times New Roman"/>
          <w:vanish/>
        </w:rPr>
        <w:t>-06-30 0001070985 cxw:SafetySegmentMember 2020-01-01 2020-06-30 0001070985 cxw:CommunitySegmentMember 2021-04-01 2021-06-30 0001070985 cxw:CommunitySegmentMember 2020-04-01 2020-06-30 0001070985 cxw:CommunitySegmentMember 2021-01-01 2021-06-30 0001070985 c</w:t>
      </w:r>
      <w:r>
        <w:rPr>
          <w:rFonts w:eastAsia="Times New Roman"/>
          <w:vanish/>
        </w:rPr>
        <w:t>xw:CommunitySegmentMember 2020-01-01 2020-06-30 0001070985 cxw:PropertiesSegmentMember 2021-04-01 2021-06-30 0001070985 cxw:PropertiesSegmentMember 2020-04-01 2020-06-30 0001070985 cxw:PropertiesSegmentMember 2021-01-01 2021-06-30 0001070985 cxw:Properties</w:t>
      </w:r>
      <w:r>
        <w:rPr>
          <w:rFonts w:eastAsia="Times New Roman"/>
          <w:vanish/>
        </w:rPr>
        <w:t>SegmentMember 2020-01-01 2020-06-30 0001070985 us-gaap:CorporateAndOtherMember 2021-04-01 2021-06-30 0001070985 us-gaap:CorporateAndOtherMember 2020-04-01 2020-06-30 0001070985 us-gaap:CorporateAndOtherMember 2021-01-01 2021-06-30 0001070985 us-gaap:Corpor</w:t>
      </w:r>
      <w:r>
        <w:rPr>
          <w:rFonts w:eastAsia="Times New Roman"/>
          <w:vanish/>
        </w:rPr>
        <w:t xml:space="preserve">ateAndOtherMember 2020-01-01 2020-06-30 0001070985 cxw:CommunitySegmentMember 2020-12-31 0001070985 cxw:PropertiesSegmentMember 2020-12-31 0001070985 us-gaap:CorporateAndOtherMember 2021-06-30 0001070985 us-gaap:CorporateAndOtherMember 2020-12-31 </w:t>
      </w:r>
    </w:p>
    <w:p w:rsidR="00000000" w:rsidRDefault="008325ED">
      <w:pPr>
        <w:pStyle w:val="a3"/>
        <w:pBdr>
          <w:bottom w:val="double" w:sz="6" w:space="1" w:color="auto"/>
        </w:pBdr>
        <w:spacing w:before="0" w:beforeAutospacing="0" w:after="0" w:afterAutospacing="0"/>
        <w:rPr>
          <w:b/>
          <w:bCs/>
          <w:sz w:val="8"/>
          <w:szCs w:val="8"/>
        </w:rPr>
      </w:pPr>
      <w:r>
        <w:rPr>
          <w:b/>
          <w:bCs/>
          <w:sz w:val="8"/>
          <w:szCs w:val="8"/>
        </w:rPr>
        <w:t> </w:t>
      </w:r>
    </w:p>
    <w:p w:rsidR="00000000" w:rsidRDefault="008325ED">
      <w:pPr>
        <w:pStyle w:val="a3"/>
        <w:spacing w:before="80" w:beforeAutospacing="0" w:after="0" w:afterAutospacing="0"/>
        <w:jc w:val="center"/>
        <w:rPr>
          <w:b/>
          <w:bCs/>
          <w:sz w:val="36"/>
          <w:szCs w:val="36"/>
        </w:rPr>
      </w:pPr>
      <w:r>
        <w:rPr>
          <w:b/>
          <w:bCs/>
          <w:sz w:val="36"/>
          <w:szCs w:val="36"/>
        </w:rPr>
        <w:t>UNITED</w:t>
      </w:r>
      <w:r>
        <w:rPr>
          <w:b/>
          <w:bCs/>
          <w:sz w:val="36"/>
          <w:szCs w:val="36"/>
        </w:rPr>
        <w:t xml:space="preserve"> STATES</w:t>
      </w:r>
    </w:p>
    <w:p w:rsidR="00000000" w:rsidRDefault="008325ED">
      <w:pPr>
        <w:pStyle w:val="a3"/>
        <w:spacing w:before="0" w:beforeAutospacing="0" w:after="0" w:afterAutospacing="0"/>
        <w:jc w:val="center"/>
        <w:rPr>
          <w:b/>
          <w:bCs/>
          <w:sz w:val="36"/>
          <w:szCs w:val="36"/>
        </w:rPr>
      </w:pPr>
      <w:r>
        <w:rPr>
          <w:b/>
          <w:bCs/>
          <w:sz w:val="36"/>
          <w:szCs w:val="36"/>
        </w:rPr>
        <w:t>SECURITIES AND EXCHANGE COMMISSION</w:t>
      </w:r>
    </w:p>
    <w:p w:rsidR="00000000" w:rsidRDefault="008325ED">
      <w:pPr>
        <w:pStyle w:val="a3"/>
        <w:spacing w:before="0" w:beforeAutospacing="0" w:after="0" w:afterAutospacing="0"/>
        <w:jc w:val="center"/>
        <w:rPr>
          <w:b/>
          <w:bCs/>
        </w:rPr>
      </w:pPr>
      <w:r>
        <w:rPr>
          <w:b/>
          <w:bCs/>
        </w:rPr>
        <w:t>WASHINGTON, D.C.  20549</w:t>
      </w:r>
    </w:p>
    <w:p w:rsidR="00000000" w:rsidRDefault="008325E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8325ED">
      <w:pPr>
        <w:pStyle w:val="a3"/>
        <w:spacing w:before="0" w:beforeAutospacing="0" w:after="0" w:afterAutospacing="0"/>
        <w:jc w:val="center"/>
        <w:rPr>
          <w:b/>
          <w:bCs/>
          <w:sz w:val="36"/>
          <w:szCs w:val="36"/>
        </w:rPr>
      </w:pPr>
      <w:r>
        <w:rPr>
          <w:b/>
          <w:bCs/>
          <w:sz w:val="36"/>
          <w:szCs w:val="36"/>
        </w:rPr>
        <w:t>FORM 10-Q</w:t>
      </w:r>
    </w:p>
    <w:p w:rsidR="00000000" w:rsidRDefault="008325E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77628012"/>
        </w:trPr>
        <w:tc>
          <w:tcPr>
            <w:tcW w:w="227" w:type="pct"/>
            <w:noWrap/>
            <w:hideMark/>
          </w:tcPr>
          <w:p w:rsidR="00000000" w:rsidRDefault="008325E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8325ED">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EXCHANGE ACT OF 1934</w:t>
            </w:r>
          </w:p>
        </w:tc>
      </w:tr>
    </w:tbl>
    <w:p w:rsidR="00000000" w:rsidRDefault="008325ED">
      <w:pPr>
        <w:pStyle w:val="a3"/>
        <w:spacing w:before="40" w:beforeAutospacing="0" w:after="0" w:afterAutospacing="0"/>
        <w:jc w:val="center"/>
        <w:rPr>
          <w:b/>
          <w:bCs/>
          <w:sz w:val="20"/>
          <w:szCs w:val="20"/>
        </w:rPr>
      </w:pPr>
      <w:r>
        <w:rPr>
          <w:b/>
          <w:bCs/>
          <w:sz w:val="20"/>
          <w:szCs w:val="20"/>
        </w:rPr>
        <w:t>FOR THE QUARTERLY PERIOD ENDED:  JUNE 30, 2021</w:t>
      </w:r>
    </w:p>
    <w:p w:rsidR="00000000" w:rsidRDefault="008325ED">
      <w:pPr>
        <w:pStyle w:val="a3"/>
        <w:spacing w:before="20"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02003256"/>
        </w:trPr>
        <w:tc>
          <w:tcPr>
            <w:tcW w:w="227" w:type="pct"/>
            <w:noWrap/>
            <w:hideMark/>
          </w:tcPr>
          <w:p w:rsidR="00000000" w:rsidRDefault="008325ED">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8325ED">
            <w:pPr>
              <w:pStyle w:val="a3"/>
              <w:spacing w:before="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8325ED">
      <w:pPr>
        <w:pStyle w:val="a3"/>
        <w:spacing w:before="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8325ED">
      <w:pPr>
        <w:pStyle w:val="a3"/>
        <w:spacing w:before="0" w:beforeAutospacing="0" w:after="0" w:afterAutospacing="0"/>
        <w:jc w:val="center"/>
        <w:rPr>
          <w:b/>
          <w:bCs/>
          <w:sz w:val="20"/>
          <w:szCs w:val="20"/>
        </w:rPr>
      </w:pPr>
      <w:r>
        <w:rPr>
          <w:b/>
          <w:bCs/>
          <w:sz w:val="20"/>
          <w:szCs w:val="20"/>
        </w:rPr>
        <w:t>COMMISSION FILE NUMBER: 001-16109</w:t>
      </w:r>
    </w:p>
    <w:p w:rsidR="00000000" w:rsidRDefault="008325ED">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8325ED">
      <w:pPr>
        <w:pStyle w:val="a3"/>
        <w:spacing w:before="0" w:beforeAutospacing="0" w:after="0" w:afterAutospacing="0"/>
        <w:jc w:val="center"/>
        <w:rPr>
          <w:b/>
          <w:bCs/>
          <w:sz w:val="48"/>
          <w:szCs w:val="48"/>
        </w:rPr>
      </w:pPr>
      <w:r>
        <w:rPr>
          <w:b/>
          <w:bCs/>
          <w:sz w:val="48"/>
          <w:szCs w:val="48"/>
        </w:rPr>
        <w:t>CORECIVIC, INC.</w:t>
      </w:r>
    </w:p>
    <w:p w:rsidR="00000000" w:rsidRDefault="008325ED">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8325ED">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8325E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374620679"/>
        </w:trPr>
        <w:tc>
          <w:tcPr>
            <w:tcW w:w="2500" w:type="pct"/>
            <w:shd w:val="clear" w:color="auto" w:fill="FFFFFF"/>
            <w:hideMark/>
          </w:tcPr>
          <w:p w:rsidR="00000000" w:rsidRDefault="008325ED">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8325ED">
            <w:pPr>
              <w:pStyle w:val="a3"/>
              <w:spacing w:before="0" w:beforeAutospacing="0" w:after="0" w:afterAutospacing="0"/>
              <w:jc w:val="center"/>
              <w:rPr>
                <w:b/>
                <w:bCs/>
                <w:sz w:val="20"/>
                <w:szCs w:val="20"/>
              </w:rPr>
            </w:pPr>
            <w:r>
              <w:rPr>
                <w:b/>
                <w:bCs/>
                <w:sz w:val="20"/>
                <w:szCs w:val="20"/>
              </w:rPr>
              <w:t>62-1763875</w:t>
            </w:r>
          </w:p>
        </w:tc>
      </w:tr>
      <w:tr w:rsidR="00000000">
        <w:trPr>
          <w:divId w:val="1374620679"/>
        </w:trPr>
        <w:tc>
          <w:tcPr>
            <w:tcW w:w="2500" w:type="pct"/>
            <w:shd w:val="clear" w:color="auto" w:fill="FFFFFF"/>
            <w:hideMark/>
          </w:tcPr>
          <w:p w:rsidR="00000000" w:rsidRDefault="008325ED">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8325ED">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8325ED">
            <w:pPr>
              <w:pStyle w:val="a3"/>
              <w:spacing w:before="0" w:beforeAutospacing="0" w:after="0" w:afterAutospacing="0"/>
              <w:jc w:val="center"/>
              <w:rPr>
                <w:b/>
                <w:bCs/>
                <w:sz w:val="16"/>
                <w:szCs w:val="16"/>
              </w:rPr>
            </w:pPr>
            <w:r>
              <w:rPr>
                <w:b/>
                <w:bCs/>
                <w:sz w:val="16"/>
                <w:szCs w:val="16"/>
              </w:rPr>
              <w:t xml:space="preserve">(I.R.S. Employer </w:t>
            </w:r>
          </w:p>
          <w:p w:rsidR="00000000" w:rsidRDefault="008325ED">
            <w:pPr>
              <w:pStyle w:val="a3"/>
              <w:spacing w:before="0" w:beforeAutospacing="0" w:after="0" w:afterAutospacing="0"/>
              <w:jc w:val="center"/>
              <w:rPr>
                <w:b/>
                <w:bCs/>
                <w:sz w:val="16"/>
                <w:szCs w:val="16"/>
              </w:rPr>
            </w:pPr>
            <w:r>
              <w:rPr>
                <w:b/>
                <w:bCs/>
                <w:sz w:val="16"/>
                <w:szCs w:val="16"/>
              </w:rPr>
              <w:t>Identification Number)</w:t>
            </w:r>
          </w:p>
        </w:tc>
      </w:tr>
      <w:tr w:rsidR="00000000">
        <w:trPr>
          <w:divId w:val="1374620679"/>
        </w:trPr>
        <w:tc>
          <w:tcPr>
            <w:tcW w:w="2500" w:type="pct"/>
            <w:shd w:val="clear" w:color="auto" w:fill="FFFFFF"/>
            <w:hideMark/>
          </w:tcPr>
          <w:p w:rsidR="00000000" w:rsidRDefault="008325ED">
            <w:pPr>
              <w:pStyle w:val="a3"/>
              <w:spacing w:before="0" w:beforeAutospacing="0" w:after="0" w:afterAutospacing="0"/>
              <w:jc w:val="center"/>
              <w:rPr>
                <w:b/>
                <w:bCs/>
                <w:sz w:val="16"/>
                <w:szCs w:val="16"/>
              </w:rPr>
            </w:pPr>
            <w:r>
              <w:rPr>
                <w:b/>
                <w:bCs/>
                <w:sz w:val="16"/>
                <w:szCs w:val="16"/>
              </w:rPr>
              <w:t> </w:t>
            </w:r>
          </w:p>
        </w:tc>
        <w:tc>
          <w:tcPr>
            <w:tcW w:w="2500" w:type="pct"/>
            <w:shd w:val="clear" w:color="auto" w:fill="FFFFFF"/>
            <w:hideMark/>
          </w:tcPr>
          <w:p w:rsidR="00000000" w:rsidRDefault="008325ED">
            <w:pPr>
              <w:pStyle w:val="a3"/>
              <w:spacing w:before="0" w:beforeAutospacing="0" w:after="0" w:afterAutospacing="0"/>
              <w:jc w:val="center"/>
              <w:rPr>
                <w:b/>
                <w:bCs/>
                <w:sz w:val="16"/>
                <w:szCs w:val="16"/>
              </w:rPr>
            </w:pPr>
            <w:r>
              <w:rPr>
                <w:b/>
                <w:bCs/>
                <w:sz w:val="16"/>
                <w:szCs w:val="16"/>
              </w:rPr>
              <w:t> </w:t>
            </w:r>
          </w:p>
        </w:tc>
      </w:tr>
      <w:tr w:rsidR="00000000">
        <w:trPr>
          <w:divId w:val="1374620679"/>
        </w:trPr>
        <w:tc>
          <w:tcPr>
            <w:tcW w:w="2500" w:type="pct"/>
            <w:shd w:val="clear" w:color="auto" w:fill="FFFFFF"/>
            <w:hideMark/>
          </w:tcPr>
          <w:p w:rsidR="00000000" w:rsidRDefault="008325ED">
            <w:pPr>
              <w:pStyle w:val="a3"/>
              <w:spacing w:before="0" w:beforeAutospacing="0" w:after="0" w:afterAutospacing="0"/>
              <w:jc w:val="center"/>
              <w:rPr>
                <w:b/>
                <w:bCs/>
                <w:sz w:val="20"/>
                <w:szCs w:val="20"/>
              </w:rPr>
            </w:pPr>
            <w:r>
              <w:rPr>
                <w:b/>
                <w:bCs/>
                <w:sz w:val="20"/>
                <w:szCs w:val="20"/>
              </w:rPr>
              <w:t>5501 VIRGINIA WAY</w:t>
            </w:r>
          </w:p>
          <w:p w:rsidR="00000000" w:rsidRDefault="008325ED">
            <w:pPr>
              <w:pStyle w:val="a3"/>
              <w:spacing w:before="0" w:beforeAutospacing="0" w:after="0" w:afterAutospacing="0"/>
              <w:jc w:val="center"/>
              <w:rPr>
                <w:b/>
                <w:bCs/>
                <w:sz w:val="20"/>
                <w:szCs w:val="20"/>
              </w:rPr>
            </w:pPr>
            <w:r>
              <w:rPr>
                <w:b/>
                <w:bCs/>
                <w:sz w:val="20"/>
                <w:szCs w:val="20"/>
              </w:rPr>
              <w:t>BRENTWOOD, TENNESSEE  </w:t>
            </w:r>
          </w:p>
        </w:tc>
        <w:tc>
          <w:tcPr>
            <w:tcW w:w="2500" w:type="pct"/>
            <w:shd w:val="clear" w:color="auto" w:fill="FFFFFF"/>
            <w:hideMark/>
          </w:tcPr>
          <w:p w:rsidR="00000000" w:rsidRDefault="008325ED">
            <w:pPr>
              <w:pStyle w:val="a3"/>
              <w:spacing w:before="0" w:beforeAutospacing="0" w:after="0" w:afterAutospacing="0"/>
              <w:jc w:val="center"/>
              <w:rPr>
                <w:b/>
                <w:bCs/>
                <w:sz w:val="20"/>
                <w:szCs w:val="20"/>
              </w:rPr>
            </w:pPr>
            <w:r>
              <w:rPr>
                <w:b/>
                <w:bCs/>
                <w:sz w:val="20"/>
                <w:szCs w:val="20"/>
              </w:rPr>
              <w:t xml:space="preserve">37027 </w:t>
            </w:r>
          </w:p>
          <w:p w:rsidR="00000000" w:rsidRDefault="008325ED">
            <w:pPr>
              <w:pStyle w:val="a3"/>
              <w:spacing w:before="0" w:beforeAutospacing="0" w:after="0" w:afterAutospacing="0"/>
              <w:jc w:val="center"/>
              <w:rPr>
                <w:b/>
                <w:bCs/>
                <w:sz w:val="16"/>
                <w:szCs w:val="16"/>
              </w:rPr>
            </w:pPr>
            <w:r>
              <w:rPr>
                <w:b/>
                <w:bCs/>
                <w:sz w:val="16"/>
                <w:szCs w:val="16"/>
              </w:rPr>
              <w:t>(Zip Code)</w:t>
            </w:r>
          </w:p>
        </w:tc>
      </w:tr>
      <w:tr w:rsidR="00000000">
        <w:trPr>
          <w:divId w:val="1374620679"/>
        </w:trPr>
        <w:tc>
          <w:tcPr>
            <w:tcW w:w="2500" w:type="pct"/>
            <w:shd w:val="clear" w:color="auto" w:fill="FFFFFF"/>
            <w:hideMark/>
          </w:tcPr>
          <w:p w:rsidR="00000000" w:rsidRDefault="008325ED">
            <w:pPr>
              <w:pStyle w:val="a3"/>
              <w:spacing w:before="0" w:beforeAutospacing="0" w:after="0" w:afterAutospacing="0"/>
              <w:jc w:val="center"/>
              <w:rPr>
                <w:b/>
                <w:bCs/>
                <w:sz w:val="16"/>
                <w:szCs w:val="16"/>
              </w:rPr>
            </w:pPr>
            <w:r>
              <w:rPr>
                <w:b/>
                <w:bCs/>
                <w:sz w:val="16"/>
                <w:szCs w:val="16"/>
              </w:rPr>
              <w:t>(Address of principal executive offices)</w:t>
            </w:r>
          </w:p>
        </w:tc>
        <w:tc>
          <w:tcPr>
            <w:tcW w:w="2500" w:type="pct"/>
            <w:shd w:val="clear" w:color="auto" w:fill="FFFFFF"/>
            <w:hideMark/>
          </w:tcPr>
          <w:p w:rsidR="00000000" w:rsidRDefault="008325ED">
            <w:pPr>
              <w:pStyle w:val="a3"/>
              <w:spacing w:before="0" w:beforeAutospacing="0" w:after="0" w:afterAutospacing="0"/>
              <w:jc w:val="center"/>
              <w:rPr>
                <w:b/>
                <w:bCs/>
                <w:sz w:val="20"/>
                <w:szCs w:val="20"/>
              </w:rPr>
            </w:pPr>
            <w:r>
              <w:rPr>
                <w:b/>
                <w:bCs/>
                <w:sz w:val="20"/>
                <w:szCs w:val="20"/>
              </w:rPr>
              <w:t> </w:t>
            </w:r>
          </w:p>
        </w:tc>
      </w:tr>
    </w:tbl>
    <w:p w:rsidR="00000000" w:rsidRDefault="008325ED">
      <w:pPr>
        <w:pStyle w:val="a3"/>
        <w:spacing w:before="0" w:beforeAutospacing="0" w:after="0" w:afterAutospacing="0"/>
        <w:rPr>
          <w:sz w:val="10"/>
          <w:szCs w:val="10"/>
        </w:rPr>
      </w:pPr>
      <w:r>
        <w:rPr>
          <w:sz w:val="10"/>
          <w:szCs w:val="10"/>
        </w:rPr>
        <w:t> </w:t>
      </w:r>
    </w:p>
    <w:p w:rsidR="00000000" w:rsidRDefault="008325ED">
      <w:pPr>
        <w:pStyle w:val="a3"/>
        <w:spacing w:before="0" w:beforeAutospacing="0" w:after="0" w:afterAutospacing="0"/>
        <w:jc w:val="center"/>
        <w:rPr>
          <w:b/>
          <w:bCs/>
          <w:sz w:val="20"/>
          <w:szCs w:val="20"/>
        </w:rPr>
      </w:pPr>
      <w:r>
        <w:rPr>
          <w:b/>
          <w:bCs/>
          <w:sz w:val="20"/>
          <w:szCs w:val="20"/>
        </w:rPr>
        <w:t>(615) 263-3000</w:t>
      </w:r>
    </w:p>
    <w:p w:rsidR="00000000" w:rsidRDefault="008325ED">
      <w:pPr>
        <w:pStyle w:val="a3"/>
        <w:spacing w:before="0" w:beforeAutospacing="0" w:after="0" w:afterAutospacing="0"/>
        <w:ind w:firstLine="816"/>
        <w:jc w:val="center"/>
        <w:rPr>
          <w:b/>
          <w:bCs/>
          <w:sz w:val="16"/>
          <w:szCs w:val="16"/>
        </w:rPr>
      </w:pPr>
      <w:r>
        <w:rPr>
          <w:b/>
          <w:bCs/>
          <w:sz w:val="16"/>
          <w:szCs w:val="16"/>
        </w:rPr>
        <w:t>(Registrant's telephone number, including area code)</w:t>
      </w:r>
      <w:r>
        <w:rPr>
          <w:b/>
          <w:bCs/>
          <w:sz w:val="20"/>
          <w:szCs w:val="20"/>
        </w:rPr>
        <w:t xml:space="preserve"> </w:t>
      </w:r>
    </w:p>
    <w:p w:rsidR="00000000" w:rsidRDefault="008325ED">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8325ED">
      <w:pPr>
        <w:pStyle w:val="a3"/>
        <w:spacing w:before="0" w:beforeAutospacing="0" w:afterAutospacing="0"/>
        <w:jc w:val="center"/>
        <w:rPr>
          <w:sz w:val="20"/>
          <w:szCs w:val="20"/>
        </w:rPr>
      </w:pPr>
      <w:r>
        <w:rPr>
          <w:sz w:val="20"/>
          <w:szCs w:val="20"/>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111"/>
        <w:gridCol w:w="2075"/>
        <w:gridCol w:w="3112"/>
      </w:tblGrid>
      <w:tr w:rsidR="00000000">
        <w:trPr>
          <w:divId w:val="1924870424"/>
        </w:trPr>
        <w:tc>
          <w:tcPr>
            <w:tcW w:w="1873" w:type="pct"/>
            <w:vAlign w:val="center"/>
            <w:hideMark/>
          </w:tcPr>
          <w:p w:rsidR="00000000" w:rsidRDefault="008325ED">
            <w:pPr>
              <w:rPr>
                <w:sz w:val="20"/>
                <w:szCs w:val="20"/>
              </w:rPr>
            </w:pPr>
          </w:p>
        </w:tc>
        <w:tc>
          <w:tcPr>
            <w:tcW w:w="1249" w:type="pct"/>
            <w:vAlign w:val="center"/>
            <w:hideMark/>
          </w:tcPr>
          <w:p w:rsidR="00000000" w:rsidRDefault="008325ED">
            <w:pPr>
              <w:spacing w:before="100" w:beforeAutospacing="1" w:after="100" w:afterAutospacing="1"/>
              <w:rPr>
                <w:rFonts w:eastAsia="Times New Roman"/>
                <w:sz w:val="20"/>
                <w:szCs w:val="20"/>
              </w:rPr>
            </w:pPr>
          </w:p>
        </w:tc>
        <w:tc>
          <w:tcPr>
            <w:tcW w:w="1873" w:type="pct"/>
            <w:vAlign w:val="center"/>
            <w:hideMark/>
          </w:tcPr>
          <w:p w:rsidR="00000000" w:rsidRDefault="008325ED">
            <w:pPr>
              <w:spacing w:before="100" w:beforeAutospacing="1" w:after="100" w:afterAutospacing="1"/>
              <w:rPr>
                <w:rFonts w:eastAsia="Times New Roman"/>
                <w:sz w:val="20"/>
                <w:szCs w:val="20"/>
              </w:rPr>
            </w:pPr>
          </w:p>
        </w:tc>
      </w:tr>
      <w:tr w:rsidR="00000000">
        <w:trPr>
          <w:divId w:val="1924870424"/>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Name of each exchange on which registered</w:t>
            </w:r>
          </w:p>
        </w:tc>
      </w:tr>
      <w:tr w:rsidR="00000000">
        <w:trPr>
          <w:divId w:val="1924870424"/>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New York Stock Exchange</w:t>
            </w:r>
          </w:p>
        </w:tc>
      </w:tr>
    </w:tbl>
    <w:p w:rsidR="00000000" w:rsidRDefault="008325ED">
      <w:pPr>
        <w:pStyle w:val="a3"/>
        <w:spacing w:before="80"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p>
    <w:p w:rsidR="00000000" w:rsidRDefault="008325E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8325ED">
      <w:pPr>
        <w:pStyle w:val="a3"/>
        <w:spacing w:before="2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w:t>
      </w:r>
      <w:r>
        <w:rPr>
          <w:sz w:val="20"/>
          <w:szCs w:val="20"/>
        </w:rPr>
        <w:t>f Regulation S-T during the preceding 12 months (or for such shorter period that the registrant was required to submit such files).</w:t>
      </w:r>
    </w:p>
    <w:p w:rsidR="00000000" w:rsidRDefault="008325ED">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8325ED">
      <w:pPr>
        <w:pStyle w:val="a3"/>
        <w:spacing w:before="20" w:beforeAutospacing="0" w:after="0" w:afterAutospacing="0"/>
        <w:jc w:val="both"/>
        <w:rPr>
          <w:sz w:val="20"/>
          <w:szCs w:val="20"/>
        </w:rPr>
      </w:pPr>
      <w:r>
        <w:rPr>
          <w:sz w:val="20"/>
          <w:szCs w:val="20"/>
        </w:rPr>
        <w:t>Indicate by check mark whether the registrant is a large accelerated filer, an accelerated filer, a non-acce</w:t>
      </w:r>
      <w:r>
        <w:rPr>
          <w:sz w:val="20"/>
          <w:szCs w:val="20"/>
        </w:rPr>
        <w:t xml:space="preserve">lerated filer, a smaller reporting company, or an emerging growth company. See definitions of "large accelerated filer", "accelerated filer", "smaller reporting company", and "emerging growth company" in Rule 12b-2 of the Exchange Act. </w:t>
      </w:r>
    </w:p>
    <w:p w:rsidR="00000000" w:rsidRDefault="008325ED">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514"/>
        <w:gridCol w:w="637"/>
      </w:tblGrid>
      <w:tr w:rsidR="00000000">
        <w:trPr>
          <w:divId w:val="137110984"/>
        </w:trPr>
        <w:tc>
          <w:tcPr>
            <w:tcW w:w="1957" w:type="pct"/>
            <w:shd w:val="clear" w:color="auto" w:fill="FFFFFF"/>
            <w:vAlign w:val="bottom"/>
            <w:hideMark/>
          </w:tcPr>
          <w:p w:rsidR="00000000" w:rsidRDefault="008325ED">
            <w:pPr>
              <w:pStyle w:val="a3"/>
              <w:spacing w:before="0" w:beforeAutospacing="0" w:after="0" w:afterAutospacing="0"/>
              <w:rPr>
                <w:color w:val="000000"/>
                <w:sz w:val="20"/>
                <w:szCs w:val="20"/>
              </w:rPr>
            </w:pPr>
            <w:r>
              <w:rPr>
                <w:color w:val="000000"/>
                <w:sz w:val="20"/>
                <w:szCs w:val="20"/>
              </w:rPr>
              <w:t>Large accelerated</w:t>
            </w:r>
            <w:r>
              <w:rPr>
                <w:color w:val="000000"/>
                <w:sz w:val="20"/>
                <w:szCs w:val="20"/>
              </w:rPr>
              <w:t xml:space="preserve"> filer</w:t>
            </w:r>
          </w:p>
        </w:tc>
        <w:tc>
          <w:tcPr>
            <w:tcW w:w="209" w:type="pct"/>
            <w:shd w:val="clear" w:color="auto" w:fill="FFFFFF"/>
            <w:vAlign w:val="bottom"/>
            <w:hideMark/>
          </w:tcPr>
          <w:p w:rsidR="00000000" w:rsidRDefault="008325E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 w:type="dxa"/>
            <w:shd w:val="clear" w:color="auto" w:fill="FFFFFF"/>
            <w:vAlign w:val="bottom"/>
            <w:hideMark/>
          </w:tcPr>
          <w:p w:rsidR="00000000" w:rsidRDefault="008325ED">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8325E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37110984"/>
        </w:trPr>
        <w:tc>
          <w:tcPr>
            <w:tcW w:w="1957" w:type="pct"/>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8325E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325ED">
            <w:pPr>
              <w:pStyle w:val="a3"/>
              <w:spacing w:before="0" w:beforeAutospacing="0" w:after="0" w:afterAutospacing="0"/>
              <w:jc w:val="center"/>
              <w:rPr>
                <w:sz w:val="4"/>
                <w:szCs w:val="4"/>
              </w:rPr>
            </w:pPr>
            <w:r>
              <w:rPr>
                <w:sz w:val="4"/>
                <w:szCs w:val="4"/>
              </w:rPr>
              <w:t> </w:t>
            </w:r>
          </w:p>
        </w:tc>
      </w:tr>
      <w:tr w:rsidR="00000000">
        <w:trPr>
          <w:divId w:val="137110984"/>
        </w:trPr>
        <w:tc>
          <w:tcPr>
            <w:tcW w:w="1957" w:type="pct"/>
            <w:shd w:val="clear" w:color="auto" w:fill="FFFFFF"/>
            <w:vAlign w:val="bottom"/>
            <w:hideMark/>
          </w:tcPr>
          <w:p w:rsidR="00000000" w:rsidRDefault="008325ED">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8325E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325E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325ED">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8325E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r>
      <w:tr w:rsidR="00000000">
        <w:trPr>
          <w:divId w:val="137110984"/>
        </w:trPr>
        <w:tc>
          <w:tcPr>
            <w:tcW w:w="1957" w:type="pct"/>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209" w:type="pct"/>
            <w:shd w:val="clear" w:color="auto" w:fill="FFFFFF"/>
            <w:vAlign w:val="bottom"/>
            <w:hideMark/>
          </w:tcPr>
          <w:p w:rsidR="00000000" w:rsidRDefault="008325ED">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325ED">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8325ED">
            <w:pPr>
              <w:pStyle w:val="a3"/>
              <w:spacing w:before="0" w:beforeAutospacing="0" w:after="0" w:afterAutospacing="0"/>
              <w:jc w:val="center"/>
              <w:rPr>
                <w:sz w:val="4"/>
                <w:szCs w:val="4"/>
              </w:rPr>
            </w:pPr>
            <w:r>
              <w:rPr>
                <w:sz w:val="4"/>
                <w:szCs w:val="4"/>
              </w:rPr>
              <w:t> </w:t>
            </w:r>
          </w:p>
        </w:tc>
      </w:tr>
      <w:tr w:rsidR="00000000">
        <w:trPr>
          <w:divId w:val="137110984"/>
        </w:trPr>
        <w:tc>
          <w:tcPr>
            <w:tcW w:w="1957" w:type="pct"/>
            <w:shd w:val="clear" w:color="auto" w:fill="FFFFFF"/>
            <w:vAlign w:val="bottom"/>
            <w:hideMark/>
          </w:tcPr>
          <w:p w:rsidR="00000000" w:rsidRDefault="008325ED">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8325ED">
            <w:pPr>
              <w:pStyle w:val="a3"/>
              <w:spacing w:before="0" w:beforeAutospacing="0" w:after="0" w:afterAutospacing="0"/>
              <w:jc w:val="center"/>
              <w:rPr>
                <w:rFonts w:ascii="Segoe UI Symbol" w:hAnsi="Segoe UI Symbol"/>
                <w:color w:val="000000"/>
                <w:sz w:val="20"/>
                <w:szCs w:val="20"/>
              </w:rPr>
            </w:pPr>
            <w:r>
              <w:rPr>
                <w:rFonts w:ascii="Segoe UI Symbol" w:hAnsi="Segoe UI Symbol"/>
                <w:color w:val="000000"/>
                <w:sz w:val="20"/>
                <w:szCs w:val="20"/>
              </w:rPr>
              <w:t>☐</w:t>
            </w:r>
          </w:p>
        </w:tc>
        <w:tc>
          <w:tcPr>
            <w:tcW w:w="335" w:type="pct"/>
            <w:shd w:val="clear" w:color="auto" w:fill="FFFFFF"/>
            <w:vAlign w:val="bottom"/>
            <w:hideMark/>
          </w:tcPr>
          <w:p w:rsidR="00000000" w:rsidRDefault="008325E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325ED">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8325ED">
            <w:pPr>
              <w:pStyle w:val="a3"/>
              <w:spacing w:before="0" w:beforeAutospacing="0" w:after="0" w:afterAutospacing="0"/>
              <w:jc w:val="center"/>
              <w:rPr>
                <w:sz w:val="20"/>
                <w:szCs w:val="20"/>
              </w:rPr>
            </w:pPr>
            <w:r>
              <w:rPr>
                <w:sz w:val="20"/>
                <w:szCs w:val="20"/>
              </w:rPr>
              <w:t> </w:t>
            </w:r>
          </w:p>
        </w:tc>
      </w:tr>
    </w:tbl>
    <w:p w:rsidR="00000000" w:rsidRDefault="008325ED">
      <w:pPr>
        <w:pStyle w:val="a3"/>
        <w:spacing w:before="0" w:beforeAutospacing="0" w:after="0" w:afterAutospacing="0"/>
        <w:rPr>
          <w:sz w:val="10"/>
          <w:szCs w:val="10"/>
        </w:rPr>
      </w:pPr>
      <w:r>
        <w:rPr>
          <w:sz w:val="10"/>
          <w:szCs w:val="10"/>
        </w:rPr>
        <w:t> </w:t>
      </w:r>
    </w:p>
    <w:p w:rsidR="00000000" w:rsidRDefault="008325ED">
      <w:pPr>
        <w:pStyle w:val="a3"/>
        <w:spacing w:before="0" w:beforeAutospacing="0" w:after="0" w:afterAutospacing="0"/>
        <w:jc w:val="both"/>
        <w:rPr>
          <w:sz w:val="20"/>
          <w:szCs w:val="20"/>
        </w:rPr>
      </w:pPr>
      <w:r>
        <w:rPr>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rsidR="00000000" w:rsidRDefault="008325ED">
      <w:pPr>
        <w:pStyle w:val="a3"/>
        <w:spacing w:before="4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w:t>
      </w:r>
      <w:r>
        <w:rPr>
          <w:rFonts w:ascii="Segoe UI Symbol" w:hAnsi="Segoe UI Symbol"/>
          <w:sz w:val="20"/>
          <w:szCs w:val="20"/>
        </w:rPr>
        <w:t>☐</w:t>
      </w:r>
      <w:r>
        <w:rPr>
          <w:sz w:val="20"/>
          <w:szCs w:val="20"/>
        </w:rPr>
        <w:t>    No  </w:t>
      </w:r>
      <w:r>
        <w:rPr>
          <w:rFonts w:ascii="Segoe UI Symbol" w:hAnsi="Segoe UI Symbol"/>
          <w:sz w:val="20"/>
          <w:szCs w:val="20"/>
        </w:rPr>
        <w:t>☒</w:t>
      </w:r>
    </w:p>
    <w:p w:rsidR="00000000" w:rsidRDefault="008325ED">
      <w:pPr>
        <w:pStyle w:val="a3"/>
        <w:spacing w:before="40" w:beforeAutospacing="0" w:after="0" w:afterAutospacing="0"/>
        <w:jc w:val="both"/>
        <w:rPr>
          <w:sz w:val="20"/>
          <w:szCs w:val="20"/>
        </w:rPr>
      </w:pPr>
      <w:r>
        <w:rPr>
          <w:sz w:val="20"/>
          <w:szCs w:val="20"/>
        </w:rPr>
        <w:t>Indicate the number of shares outstanding of each class of Common Stock as of August 3, 2021:</w:t>
      </w:r>
    </w:p>
    <w:p w:rsidR="00000000" w:rsidRDefault="008325ED">
      <w:pPr>
        <w:pStyle w:val="a3"/>
        <w:spacing w:before="40" w:beforeAutospacing="0" w:after="0" w:afterAutospacing="0"/>
        <w:jc w:val="center"/>
        <w:rPr>
          <w:sz w:val="20"/>
          <w:szCs w:val="20"/>
        </w:rPr>
      </w:pPr>
      <w:r>
        <w:rPr>
          <w:sz w:val="20"/>
          <w:szCs w:val="20"/>
        </w:rPr>
        <w:t>Shares of Common Stock, $0.01 par v</w:t>
      </w:r>
      <w:r>
        <w:rPr>
          <w:sz w:val="20"/>
          <w:szCs w:val="20"/>
        </w:rPr>
        <w:t>alue per share: 120,284,765 shares outstanding.</w:t>
      </w:r>
    </w:p>
    <w:p w:rsidR="00000000" w:rsidRDefault="008325ED">
      <w:pPr>
        <w:pStyle w:val="a3"/>
        <w:pBdr>
          <w:bottom w:val="double" w:sz="6" w:space="1" w:color="auto"/>
        </w:pBdr>
        <w:spacing w:before="0" w:beforeAutospacing="0" w:after="0" w:afterAutospacing="0"/>
        <w:rPr>
          <w:sz w:val="8"/>
          <w:szCs w:val="8"/>
        </w:rPr>
      </w:pPr>
      <w:r>
        <w:rPr>
          <w:sz w:val="8"/>
          <w:szCs w:val="8"/>
        </w:rPr>
        <w:t> </w:t>
      </w:r>
    </w:p>
    <w:p w:rsidR="00000000" w:rsidRDefault="008325ED">
      <w:pPr>
        <w:pStyle w:val="a3"/>
        <w:spacing w:before="0" w:beforeAutospacing="0" w:after="0" w:afterAutospacing="0"/>
        <w:rPr>
          <w:sz w:val="4"/>
          <w:szCs w:val="4"/>
        </w:rPr>
      </w:pPr>
      <w:r>
        <w:rPr>
          <w:sz w:val="4"/>
          <w:szCs w:val="4"/>
        </w:rPr>
        <w:t> </w:t>
      </w:r>
    </w:p>
    <w:p w:rsidR="00000000" w:rsidRDefault="008325ED">
      <w:pPr>
        <w:pStyle w:val="a3"/>
        <w:spacing w:before="0" w:beforeAutospacing="0" w:after="0" w:afterAutospacing="0"/>
        <w:rPr>
          <w:b/>
          <w:bCs/>
          <w:sz w:val="4"/>
          <w:szCs w:val="4"/>
        </w:rPr>
      </w:pPr>
      <w:r>
        <w:rPr>
          <w:b/>
          <w:bCs/>
          <w:sz w:val="4"/>
          <w:szCs w:val="4"/>
        </w:rPr>
        <w:t> </w:t>
      </w:r>
    </w:p>
    <w:p w:rsidR="00000000" w:rsidRDefault="008325ED">
      <w:pPr>
        <w:pStyle w:val="a3"/>
        <w:spacing w:before="0" w:beforeAutospacing="0" w:after="0" w:afterAutospacing="0"/>
        <w:jc w:val="center"/>
        <w:rPr>
          <w:b/>
          <w:bCs/>
          <w:sz w:val="4"/>
          <w:szCs w:val="4"/>
        </w:rPr>
      </w:pPr>
      <w:r>
        <w:rPr>
          <w:b/>
          <w:bCs/>
          <w:sz w:val="4"/>
          <w:szCs w:val="4"/>
        </w:rPr>
        <w:t> </w:t>
      </w:r>
    </w:p>
    <w:p w:rsidR="00000000" w:rsidRDefault="008325ED">
      <w:pPr>
        <w:rPr>
          <w:rFonts w:eastAsia="Times New Roman"/>
        </w:rPr>
      </w:pPr>
      <w:r>
        <w:rPr>
          <w:rFonts w:eastAsia="Times New Roman"/>
        </w:rPr>
        <w:pict>
          <v:rect id="_x0000_i1025"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CORECIVIC, INC.</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FORM 10-Q</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FOR THE QUARTERLY PERIOD ENDED JUNE 30, 2021</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INDEX</w:t>
      </w:r>
    </w:p>
    <w:p w:rsidR="00000000" w:rsidRDefault="008325E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732506716"/>
        </w:trPr>
        <w:tc>
          <w:tcPr>
            <w:tcW w:w="50" w:type="pct"/>
            <w:gridSpan w:val="3"/>
            <w:hideMark/>
          </w:tcPr>
          <w:p w:rsidR="00000000" w:rsidRDefault="008325ED">
            <w:pPr>
              <w:pStyle w:val="a3"/>
              <w:spacing w:before="0" w:beforeAutospacing="0" w:after="0" w:afterAutospacing="0"/>
              <w:rPr>
                <w:b/>
                <w:bCs/>
                <w:sz w:val="20"/>
                <w:szCs w:val="20"/>
              </w:rPr>
            </w:pPr>
            <w:r>
              <w:rPr>
                <w:b/>
                <w:bCs/>
                <w:sz w:val="20"/>
                <w:szCs w:val="20"/>
              </w:rPr>
              <w:t> </w:t>
            </w:r>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8325ED">
            <w:pPr>
              <w:pStyle w:val="a3"/>
              <w:spacing w:before="0" w:beforeAutospacing="0" w:after="0" w:afterAutospacing="0"/>
              <w:jc w:val="center"/>
              <w:rPr>
                <w:sz w:val="20"/>
                <w:szCs w:val="20"/>
              </w:rPr>
            </w:pPr>
            <w:r>
              <w:rPr>
                <w:sz w:val="20"/>
                <w:szCs w:val="20"/>
              </w:rPr>
              <w:t>PAGE</w:t>
            </w:r>
          </w:p>
        </w:tc>
      </w:tr>
      <w:tr w:rsidR="00000000">
        <w:trPr>
          <w:divId w:val="732506716"/>
        </w:trPr>
        <w:tc>
          <w:tcPr>
            <w:tcW w:w="50" w:type="pct"/>
            <w:gridSpan w:val="3"/>
            <w:hideMark/>
          </w:tcPr>
          <w:p w:rsidR="00000000" w:rsidRDefault="008325ED">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center"/>
              <w:rPr>
                <w:sz w:val="20"/>
                <w:szCs w:val="20"/>
              </w:rPr>
            </w:pPr>
            <w:r>
              <w:rPr>
                <w:sz w:val="20"/>
                <w:szCs w:val="20"/>
              </w:rPr>
              <w:t> </w:t>
            </w:r>
          </w:p>
        </w:tc>
      </w:tr>
      <w:tr w:rsidR="00000000">
        <w:trPr>
          <w:divId w:val="732506716"/>
        </w:trPr>
        <w:tc>
          <w:tcPr>
            <w:tcW w:w="385" w:type="pct"/>
            <w:hideMark/>
          </w:tcPr>
          <w:p w:rsidR="00000000" w:rsidRDefault="008325ED">
            <w:pPr>
              <w:pStyle w:val="a3"/>
              <w:spacing w:before="0" w:beforeAutospacing="0" w:after="0" w:afterAutospacing="0"/>
              <w:rPr>
                <w:b/>
                <w:bCs/>
                <w:sz w:val="12"/>
                <w:szCs w:val="12"/>
              </w:rPr>
            </w:pPr>
            <w:r>
              <w:rPr>
                <w:b/>
                <w:bCs/>
                <w:sz w:val="12"/>
                <w:szCs w:val="12"/>
              </w:rPr>
              <w:t> </w:t>
            </w:r>
          </w:p>
        </w:tc>
        <w:tc>
          <w:tcPr>
            <w:tcW w:w="50" w:type="pct"/>
            <w:hideMark/>
          </w:tcPr>
          <w:p w:rsidR="00000000" w:rsidRDefault="008325ED">
            <w:pPr>
              <w:pStyle w:val="a3"/>
              <w:spacing w:before="0" w:beforeAutospacing="0" w:after="0" w:afterAutospacing="0"/>
              <w:rPr>
                <w:b/>
                <w:bCs/>
                <w:sz w:val="12"/>
                <w:szCs w:val="12"/>
              </w:rPr>
            </w:pPr>
            <w:r>
              <w:rPr>
                <w:b/>
                <w:bCs/>
                <w:sz w:val="12"/>
                <w:szCs w:val="12"/>
              </w:rPr>
              <w:t> </w:t>
            </w:r>
          </w:p>
        </w:tc>
        <w:tc>
          <w:tcPr>
            <w:tcW w:w="4174" w:type="pct"/>
            <w:hideMark/>
          </w:tcPr>
          <w:p w:rsidR="00000000" w:rsidRDefault="008325ED">
            <w:pPr>
              <w:pStyle w:val="a3"/>
              <w:spacing w:before="0" w:beforeAutospacing="0" w:after="0" w:afterAutospacing="0"/>
              <w:rPr>
                <w:b/>
                <w:bCs/>
                <w:sz w:val="12"/>
                <w:szCs w:val="12"/>
              </w:rPr>
            </w:pPr>
            <w:r>
              <w:rPr>
                <w:b/>
                <w:bCs/>
                <w:sz w:val="12"/>
                <w:szCs w:val="12"/>
              </w:rPr>
              <w:t> </w:t>
            </w:r>
          </w:p>
        </w:tc>
        <w:tc>
          <w:tcPr>
            <w:tcW w:w="51" w:type="pct"/>
            <w:hideMark/>
          </w:tcPr>
          <w:p w:rsidR="00000000" w:rsidRDefault="008325ED">
            <w:pPr>
              <w:pStyle w:val="a3"/>
              <w:spacing w:before="0" w:beforeAutospacing="0" w:after="0" w:afterAutospacing="0"/>
              <w:rPr>
                <w:b/>
                <w:bCs/>
                <w:sz w:val="12"/>
                <w:szCs w:val="12"/>
              </w:rPr>
            </w:pPr>
            <w:r>
              <w:rPr>
                <w:b/>
                <w:bCs/>
                <w:sz w:val="12"/>
                <w:szCs w:val="12"/>
              </w:rPr>
              <w:t> </w:t>
            </w:r>
          </w:p>
        </w:tc>
        <w:tc>
          <w:tcPr>
            <w:tcW w:w="281" w:type="pct"/>
            <w:hideMark/>
          </w:tcPr>
          <w:p w:rsidR="00000000" w:rsidRDefault="008325ED">
            <w:pPr>
              <w:pStyle w:val="a3"/>
              <w:spacing w:before="0" w:beforeAutospacing="0" w:after="0" w:afterAutospacing="0"/>
              <w:rPr>
                <w:b/>
                <w:bCs/>
                <w:sz w:val="12"/>
                <w:szCs w:val="12"/>
              </w:rPr>
            </w:pPr>
            <w:r>
              <w:rPr>
                <w:b/>
                <w:bCs/>
                <w:sz w:val="12"/>
                <w:szCs w:val="12"/>
              </w:rPr>
              <w:t> </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1.</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I</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a)</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CONSOLIDATED_BALANCE_SHEETS" w:history="1">
              <w:r>
                <w:rPr>
                  <w:rStyle w:val="a4"/>
                  <w:sz w:val="20"/>
                  <w:szCs w:val="20"/>
                </w:rPr>
                <w:t>Consolidated Balance Sheets as of June 30, 2021 (Unaudited) and December 31, 2020</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1</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b)</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jc w:val="both"/>
              <w:rPr>
                <w:sz w:val="20"/>
                <w:szCs w:val="20"/>
              </w:rPr>
            </w:pPr>
            <w:hyperlink w:anchor="CONSOLIDATED_STATEMENTS_OF_OPERATIONS" w:history="1">
              <w:r>
                <w:rPr>
                  <w:rStyle w:val="a4"/>
                  <w:sz w:val="20"/>
                  <w:szCs w:val="20"/>
                </w:rPr>
                <w:t xml:space="preserve">Consolidated Statements of Operations (Unaudited) </w:t>
              </w:r>
              <w:r>
                <w:rPr>
                  <w:rStyle w:val="a4"/>
                  <w:sz w:val="20"/>
                  <w:szCs w:val="20"/>
                </w:rPr>
                <w:t>for the three and six months ended June 30, 2021 and 2020</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8325ED">
            <w:pPr>
              <w:pStyle w:val="a3"/>
              <w:spacing w:before="0" w:beforeAutospacing="0" w:after="0" w:afterAutospacing="0"/>
              <w:jc w:val="right"/>
              <w:rPr>
                <w:sz w:val="20"/>
                <w:szCs w:val="20"/>
              </w:rPr>
            </w:pPr>
            <w:r>
              <w:rPr>
                <w:sz w:val="20"/>
                <w:szCs w:val="20"/>
              </w:rPr>
              <w:t>2</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c)</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jc w:val="both"/>
              <w:rPr>
                <w:sz w:val="20"/>
                <w:szCs w:val="20"/>
              </w:rPr>
            </w:pPr>
            <w:hyperlink w:anchor="CONSOLIDATED_STATEMENTS_CASH_FLOWS" w:history="1">
              <w:r>
                <w:rPr>
                  <w:rStyle w:val="a4"/>
                  <w:sz w:val="20"/>
                  <w:szCs w:val="20"/>
                </w:rPr>
                <w:t>Consolidated Statements of Cash Flows (Unaudited) for the six months ended June 30, 2021 and 2020</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3</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d)</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jc w:val="both"/>
              <w:rPr>
                <w:sz w:val="20"/>
                <w:szCs w:val="20"/>
              </w:rPr>
            </w:pPr>
            <w:hyperlink w:anchor="STATEMENT_OF_STOCKHOLDERS_EQUITY" w:history="1">
              <w:r>
                <w:rPr>
                  <w:rStyle w:val="a4"/>
                  <w:sz w:val="20"/>
                  <w:szCs w:val="20"/>
                </w:rPr>
                <w:t>Consolidated Statement of Stockholders' Equity (Unaudited) for the quarterly periods ende</w:t>
              </w:r>
              <w:r>
                <w:rPr>
                  <w:rStyle w:val="a4"/>
                  <w:sz w:val="20"/>
                  <w:szCs w:val="20"/>
                </w:rPr>
                <w:t>d June 30, 2021</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e)</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jc w:val="both"/>
              <w:rPr>
                <w:sz w:val="20"/>
                <w:szCs w:val="20"/>
              </w:rPr>
            </w:pPr>
            <w:hyperlink w:anchor="STATEMENT_OF_STOCKHOLDERS_EQUITY_2" w:history="1">
              <w:r>
                <w:rPr>
                  <w:rStyle w:val="a4"/>
                  <w:sz w:val="20"/>
                  <w:szCs w:val="20"/>
                </w:rPr>
                <w:t>Consolidated Statement of Stockholders' Equity (Unaudited) for the quarterly periods ended June 30, 2020</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5</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    f)</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6</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2.</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21</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3.</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44</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4.</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w:t>
            </w:r>
            <w:r>
              <w:rPr>
                <w:sz w:val="20"/>
                <w:szCs w:val="20"/>
              </w:rPr>
              <w:t>5</w:t>
            </w:r>
          </w:p>
        </w:tc>
      </w:tr>
      <w:tr w:rsidR="00000000">
        <w:trPr>
          <w:divId w:val="732506716"/>
        </w:trPr>
        <w:tc>
          <w:tcPr>
            <w:tcW w:w="385" w:type="pct"/>
            <w:hideMark/>
          </w:tcPr>
          <w:p w:rsidR="00000000" w:rsidRDefault="008325ED">
            <w:pPr>
              <w:pStyle w:val="a3"/>
              <w:spacing w:before="0" w:beforeAutospacing="0" w:after="0" w:afterAutospacing="0"/>
              <w:rPr>
                <w:b/>
                <w:bCs/>
                <w:sz w:val="12"/>
                <w:szCs w:val="12"/>
              </w:rPr>
            </w:pPr>
            <w:r>
              <w:rPr>
                <w:b/>
                <w:bCs/>
                <w:sz w:val="12"/>
                <w:szCs w:val="12"/>
              </w:rPr>
              <w:t> </w:t>
            </w:r>
          </w:p>
        </w:tc>
        <w:tc>
          <w:tcPr>
            <w:tcW w:w="50" w:type="pct"/>
            <w:hideMark/>
          </w:tcPr>
          <w:p w:rsidR="00000000" w:rsidRDefault="008325ED">
            <w:pPr>
              <w:pStyle w:val="a3"/>
              <w:spacing w:before="0" w:beforeAutospacing="0" w:after="0" w:afterAutospacing="0"/>
              <w:rPr>
                <w:b/>
                <w:bCs/>
                <w:sz w:val="12"/>
                <w:szCs w:val="12"/>
              </w:rPr>
            </w:pPr>
            <w:r>
              <w:rPr>
                <w:b/>
                <w:bCs/>
                <w:sz w:val="12"/>
                <w:szCs w:val="12"/>
              </w:rPr>
              <w:t> </w:t>
            </w:r>
          </w:p>
        </w:tc>
        <w:tc>
          <w:tcPr>
            <w:tcW w:w="4174" w:type="pct"/>
            <w:hideMark/>
          </w:tcPr>
          <w:p w:rsidR="00000000" w:rsidRDefault="008325ED">
            <w:pPr>
              <w:pStyle w:val="a3"/>
              <w:spacing w:before="0" w:beforeAutospacing="0" w:after="0" w:afterAutospacing="0"/>
              <w:rPr>
                <w:b/>
                <w:bCs/>
                <w:sz w:val="12"/>
                <w:szCs w:val="12"/>
              </w:rPr>
            </w:pPr>
            <w:r>
              <w:rPr>
                <w:b/>
                <w:bCs/>
                <w:sz w:val="12"/>
                <w:szCs w:val="12"/>
              </w:rPr>
              <w:t> </w:t>
            </w:r>
          </w:p>
        </w:tc>
        <w:tc>
          <w:tcPr>
            <w:tcW w:w="51" w:type="pct"/>
            <w:hideMark/>
          </w:tcPr>
          <w:p w:rsidR="00000000" w:rsidRDefault="008325ED">
            <w:pPr>
              <w:pStyle w:val="a3"/>
              <w:spacing w:before="0" w:beforeAutospacing="0" w:after="0" w:afterAutospacing="0"/>
              <w:rPr>
                <w:b/>
                <w:bCs/>
                <w:sz w:val="12"/>
                <w:szCs w:val="12"/>
              </w:rPr>
            </w:pPr>
            <w:r>
              <w:rPr>
                <w:b/>
                <w:bCs/>
                <w:sz w:val="12"/>
                <w:szCs w:val="12"/>
              </w:rPr>
              <w:t> </w:t>
            </w:r>
          </w:p>
        </w:tc>
        <w:tc>
          <w:tcPr>
            <w:tcW w:w="281" w:type="pct"/>
            <w:hideMark/>
          </w:tcPr>
          <w:p w:rsidR="00000000" w:rsidRDefault="008325ED">
            <w:pPr>
              <w:pStyle w:val="a3"/>
              <w:spacing w:before="0" w:beforeAutospacing="0" w:after="0" w:afterAutospacing="0"/>
              <w:jc w:val="right"/>
              <w:rPr>
                <w:sz w:val="12"/>
                <w:szCs w:val="12"/>
              </w:rPr>
            </w:pPr>
            <w:r>
              <w:rPr>
                <w:sz w:val="12"/>
                <w:szCs w:val="12"/>
              </w:rPr>
              <w:t> </w:t>
            </w:r>
          </w:p>
        </w:tc>
      </w:tr>
      <w:tr w:rsidR="00000000">
        <w:trPr>
          <w:divId w:val="732506716"/>
        </w:trPr>
        <w:tc>
          <w:tcPr>
            <w:tcW w:w="50" w:type="pct"/>
            <w:gridSpan w:val="3"/>
            <w:hideMark/>
          </w:tcPr>
          <w:p w:rsidR="00000000" w:rsidRDefault="008325ED">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 </w:t>
            </w:r>
          </w:p>
        </w:tc>
      </w:tr>
      <w:tr w:rsidR="00000000">
        <w:trPr>
          <w:divId w:val="732506716"/>
        </w:trPr>
        <w:tc>
          <w:tcPr>
            <w:tcW w:w="385" w:type="pct"/>
            <w:hideMark/>
          </w:tcPr>
          <w:p w:rsidR="00000000" w:rsidRDefault="008325ED">
            <w:pPr>
              <w:pStyle w:val="a3"/>
              <w:spacing w:before="0" w:beforeAutospacing="0" w:after="0" w:afterAutospacing="0"/>
              <w:rPr>
                <w:b/>
                <w:bCs/>
                <w:sz w:val="12"/>
                <w:szCs w:val="12"/>
              </w:rPr>
            </w:pPr>
            <w:r>
              <w:rPr>
                <w:b/>
                <w:bCs/>
                <w:sz w:val="12"/>
                <w:szCs w:val="12"/>
              </w:rPr>
              <w:t> </w:t>
            </w:r>
          </w:p>
        </w:tc>
        <w:tc>
          <w:tcPr>
            <w:tcW w:w="50" w:type="pct"/>
            <w:hideMark/>
          </w:tcPr>
          <w:p w:rsidR="00000000" w:rsidRDefault="008325ED">
            <w:pPr>
              <w:pStyle w:val="a3"/>
              <w:spacing w:before="0" w:beforeAutospacing="0" w:after="0" w:afterAutospacing="0"/>
              <w:rPr>
                <w:b/>
                <w:bCs/>
                <w:sz w:val="12"/>
                <w:szCs w:val="12"/>
              </w:rPr>
            </w:pPr>
            <w:r>
              <w:rPr>
                <w:b/>
                <w:bCs/>
                <w:sz w:val="12"/>
                <w:szCs w:val="12"/>
              </w:rPr>
              <w:t> </w:t>
            </w:r>
          </w:p>
        </w:tc>
        <w:tc>
          <w:tcPr>
            <w:tcW w:w="4174" w:type="pct"/>
            <w:hideMark/>
          </w:tcPr>
          <w:p w:rsidR="00000000" w:rsidRDefault="008325ED">
            <w:pPr>
              <w:pStyle w:val="a3"/>
              <w:spacing w:before="0" w:beforeAutospacing="0" w:after="0" w:afterAutospacing="0"/>
              <w:rPr>
                <w:b/>
                <w:bCs/>
                <w:sz w:val="12"/>
                <w:szCs w:val="12"/>
              </w:rPr>
            </w:pPr>
            <w:r>
              <w:rPr>
                <w:b/>
                <w:bCs/>
                <w:sz w:val="12"/>
                <w:szCs w:val="12"/>
              </w:rPr>
              <w:t> </w:t>
            </w:r>
          </w:p>
        </w:tc>
        <w:tc>
          <w:tcPr>
            <w:tcW w:w="51" w:type="pct"/>
            <w:hideMark/>
          </w:tcPr>
          <w:p w:rsidR="00000000" w:rsidRDefault="008325ED">
            <w:pPr>
              <w:pStyle w:val="a3"/>
              <w:spacing w:before="0" w:beforeAutospacing="0" w:after="0" w:afterAutospacing="0"/>
              <w:rPr>
                <w:b/>
                <w:bCs/>
                <w:sz w:val="12"/>
                <w:szCs w:val="12"/>
              </w:rPr>
            </w:pPr>
            <w:r>
              <w:rPr>
                <w:b/>
                <w:bCs/>
                <w:sz w:val="12"/>
                <w:szCs w:val="12"/>
              </w:rPr>
              <w:t> </w:t>
            </w:r>
          </w:p>
        </w:tc>
        <w:tc>
          <w:tcPr>
            <w:tcW w:w="281" w:type="pct"/>
            <w:hideMark/>
          </w:tcPr>
          <w:p w:rsidR="00000000" w:rsidRDefault="008325ED">
            <w:pPr>
              <w:pStyle w:val="a3"/>
              <w:spacing w:before="0" w:beforeAutospacing="0" w:after="0" w:afterAutospacing="0"/>
              <w:jc w:val="right"/>
              <w:rPr>
                <w:sz w:val="12"/>
                <w:szCs w:val="12"/>
              </w:rPr>
            </w:pPr>
            <w:r>
              <w:rPr>
                <w:sz w:val="12"/>
                <w:szCs w:val="12"/>
              </w:rPr>
              <w:t> </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1.</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46</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1A.</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46</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2.</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47</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3.</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47</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4.</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47</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5.</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47</w:t>
            </w:r>
          </w:p>
        </w:tc>
      </w:tr>
      <w:tr w:rsidR="00000000">
        <w:trPr>
          <w:divId w:val="732506716"/>
        </w:trPr>
        <w:tc>
          <w:tcPr>
            <w:tcW w:w="385" w:type="pct"/>
            <w:hideMark/>
          </w:tcPr>
          <w:p w:rsidR="00000000" w:rsidRDefault="008325ED">
            <w:pPr>
              <w:pStyle w:val="a3"/>
              <w:spacing w:before="0" w:beforeAutospacing="0" w:after="0" w:afterAutospacing="0"/>
              <w:rPr>
                <w:sz w:val="20"/>
                <w:szCs w:val="20"/>
              </w:rPr>
            </w:pPr>
            <w:r>
              <w:rPr>
                <w:sz w:val="20"/>
                <w:szCs w:val="20"/>
              </w:rPr>
              <w:t>Item 6.</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48</w:t>
            </w:r>
          </w:p>
        </w:tc>
      </w:tr>
      <w:tr w:rsidR="00000000">
        <w:trPr>
          <w:divId w:val="732506716"/>
          <w:trHeight w:val="130"/>
        </w:trPr>
        <w:tc>
          <w:tcPr>
            <w:tcW w:w="385" w:type="pct"/>
            <w:hideMark/>
          </w:tcPr>
          <w:p w:rsidR="00000000" w:rsidRDefault="008325ED">
            <w:pPr>
              <w:pStyle w:val="a3"/>
              <w:spacing w:before="0" w:beforeAutospacing="0" w:after="0" w:afterAutospacing="0"/>
              <w:rPr>
                <w:sz w:val="20"/>
                <w:szCs w:val="20"/>
              </w:rPr>
            </w:pPr>
            <w:r>
              <w:rPr>
                <w:sz w:val="20"/>
                <w:szCs w:val="20"/>
              </w:rPr>
              <w:t> </w:t>
            </w:r>
          </w:p>
        </w:tc>
        <w:tc>
          <w:tcPr>
            <w:tcW w:w="50" w:type="pct"/>
            <w:hideMark/>
          </w:tcPr>
          <w:p w:rsidR="00000000" w:rsidRDefault="008325ED">
            <w:pPr>
              <w:pStyle w:val="a3"/>
              <w:spacing w:before="0" w:beforeAutospacing="0" w:after="0" w:afterAutospacing="0"/>
              <w:rPr>
                <w:b/>
                <w:bCs/>
                <w:sz w:val="20"/>
                <w:szCs w:val="20"/>
              </w:rPr>
            </w:pPr>
            <w:r>
              <w:rPr>
                <w:b/>
                <w:bCs/>
                <w:sz w:val="20"/>
                <w:szCs w:val="20"/>
              </w:rPr>
              <w:t> </w:t>
            </w:r>
          </w:p>
        </w:tc>
        <w:tc>
          <w:tcPr>
            <w:tcW w:w="4174" w:type="pct"/>
            <w:hideMark/>
          </w:tcPr>
          <w:p w:rsidR="00000000" w:rsidRDefault="008325ED">
            <w:pPr>
              <w:pStyle w:val="a3"/>
              <w:spacing w:before="0" w:beforeAutospacing="0" w:after="0" w:afterAutospacing="0"/>
              <w:rPr>
                <w:sz w:val="20"/>
                <w:szCs w:val="20"/>
              </w:rPr>
            </w:pPr>
            <w:r>
              <w:rPr>
                <w:sz w:val="20"/>
                <w:szCs w:val="20"/>
              </w:rPr>
              <w:t> </w:t>
            </w:r>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 </w:t>
            </w:r>
          </w:p>
        </w:tc>
      </w:tr>
      <w:tr w:rsidR="00000000">
        <w:trPr>
          <w:divId w:val="732506716"/>
        </w:trPr>
        <w:tc>
          <w:tcPr>
            <w:tcW w:w="50" w:type="pct"/>
            <w:gridSpan w:val="3"/>
            <w:hideMark/>
          </w:tcPr>
          <w:p w:rsidR="00000000" w:rsidRDefault="008325ED">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8325ED">
            <w:pPr>
              <w:pStyle w:val="a3"/>
              <w:spacing w:before="0" w:beforeAutospacing="0" w:after="0" w:afterAutospacing="0"/>
              <w:rPr>
                <w:b/>
                <w:bCs/>
                <w:sz w:val="20"/>
                <w:szCs w:val="20"/>
              </w:rPr>
            </w:pPr>
            <w:r>
              <w:rPr>
                <w:b/>
                <w:bCs/>
                <w:sz w:val="20"/>
                <w:szCs w:val="20"/>
              </w:rPr>
              <w:t> </w:t>
            </w:r>
          </w:p>
        </w:tc>
        <w:tc>
          <w:tcPr>
            <w:tcW w:w="281" w:type="pct"/>
            <w:hideMark/>
          </w:tcPr>
          <w:p w:rsidR="00000000" w:rsidRDefault="008325ED">
            <w:pPr>
              <w:pStyle w:val="a3"/>
              <w:spacing w:before="0" w:beforeAutospacing="0" w:after="0" w:afterAutospacing="0"/>
              <w:jc w:val="right"/>
              <w:rPr>
                <w:sz w:val="20"/>
                <w:szCs w:val="20"/>
              </w:rPr>
            </w:pPr>
            <w:r>
              <w:rPr>
                <w:sz w:val="20"/>
                <w:szCs w:val="20"/>
              </w:rPr>
              <w:t>49</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240" w:beforeAutospacing="0" w:after="0" w:afterAutospacing="0"/>
        <w:jc w:val="center"/>
        <w:rPr>
          <w:sz w:val="20"/>
          <w:szCs w:val="20"/>
        </w:rPr>
      </w:pPr>
      <w:r>
        <w:rPr>
          <w:sz w:val="20"/>
          <w:szCs w:val="20"/>
        </w:rPr>
        <w:t> </w:t>
      </w:r>
    </w:p>
    <w:p w:rsidR="00000000" w:rsidRDefault="008325ED">
      <w:pPr>
        <w:rPr>
          <w:rFonts w:eastAsia="Times New Roman"/>
        </w:rPr>
      </w:pPr>
      <w:r>
        <w:rPr>
          <w:rFonts w:eastAsia="Times New Roman"/>
        </w:rPr>
        <w:pict>
          <v:rect id="_x0000_i1026"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PART I – FINANCIAL INFORMATION</w:t>
      </w:r>
    </w:p>
    <w:p w:rsidR="00000000" w:rsidRDefault="008325ED">
      <w:pPr>
        <w:pStyle w:val="a3"/>
        <w:spacing w:before="240" w:beforeAutospacing="0" w:after="0" w:afterAutospacing="0"/>
        <w:jc w:val="both"/>
        <w:rPr>
          <w:b/>
          <w:bCs/>
          <w:sz w:val="20"/>
          <w:szCs w:val="20"/>
        </w:rPr>
      </w:pPr>
      <w:r>
        <w:rPr>
          <w:b/>
          <w:bCs/>
          <w:sz w:val="20"/>
          <w:szCs w:val="20"/>
        </w:rPr>
        <w:t>ITEM 1. – FINANCIAL STATEMENTS.</w:t>
      </w:r>
    </w:p>
    <w:p w:rsidR="00000000" w:rsidRDefault="008325ED">
      <w:pPr>
        <w:pStyle w:val="a3"/>
        <w:spacing w:before="240" w:beforeAutospacing="0" w:after="0" w:afterAutospacing="0"/>
        <w:jc w:val="center"/>
        <w:rPr>
          <w:b/>
          <w:bCs/>
          <w:sz w:val="20"/>
          <w:szCs w:val="20"/>
        </w:rPr>
      </w:pPr>
      <w:r>
        <w:rPr>
          <w:b/>
          <w:bCs/>
          <w:sz w:val="20"/>
          <w:szCs w:val="20"/>
        </w:rPr>
        <w:lastRenderedPageBreak/>
        <w:t>CORECIVIC, INC. AND SUBSIDIARIES</w:t>
      </w:r>
    </w:p>
    <w:p w:rsidR="00000000" w:rsidRDefault="008325ED">
      <w:pPr>
        <w:pStyle w:val="a3"/>
        <w:spacing w:before="0" w:beforeAutospacing="0" w:after="0" w:afterAutospacing="0"/>
        <w:jc w:val="center"/>
        <w:rPr>
          <w:b/>
          <w:bCs/>
          <w:sz w:val="20"/>
          <w:szCs w:val="20"/>
        </w:rPr>
      </w:pPr>
      <w:r>
        <w:rPr>
          <w:b/>
          <w:bCs/>
          <w:sz w:val="20"/>
          <w:szCs w:val="20"/>
        </w:rPr>
        <w:t>CONSOLIDATED BALANCE SHEETS</w:t>
      </w:r>
    </w:p>
    <w:p w:rsidR="00000000" w:rsidRDefault="008325ED">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26"/>
        <w:gridCol w:w="85"/>
        <w:gridCol w:w="115"/>
        <w:gridCol w:w="1022"/>
        <w:gridCol w:w="82"/>
        <w:gridCol w:w="65"/>
        <w:gridCol w:w="116"/>
        <w:gridCol w:w="1213"/>
        <w:gridCol w:w="82"/>
      </w:tblGrid>
      <w:tr w:rsidR="00000000">
        <w:trPr>
          <w:divId w:val="1444838109"/>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 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w:t>
            </w:r>
            <w:r>
              <w:rPr>
                <w:b/>
                <w:bCs/>
                <w:color w:val="000000"/>
                <w:sz w:val="16"/>
                <w:szCs w:val="16"/>
              </w:rPr>
              <w:t>ecember 31, 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444838109"/>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162,891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113,219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cash</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8,864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23,549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Accounts receivable, net of credit loss reserve of $6,777 and $6,103, respectively</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282,227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267,705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Prepaid expenses and other current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37,267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33,243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Assets held for sale</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279,406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current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491,249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717,122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Real estate and related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$1,602,276</w:t>
            </w:r>
          </w:p>
          <w:p w:rsidR="00000000" w:rsidRDefault="008325ED">
            <w:pPr>
              <w:pStyle w:val="a3"/>
              <w:spacing w:before="0" w:beforeAutospacing="0" w:after="0" w:afterAutospacing="0"/>
              <w:rPr>
                <w:color w:val="000000"/>
                <w:sz w:val="20"/>
                <w:szCs w:val="20"/>
              </w:rPr>
            </w:pPr>
            <w:r>
              <w:rPr>
                <w:color w:val="000000"/>
                <w:sz w:val="20"/>
                <w:szCs w:val="20"/>
              </w:rPr>
              <w:t>       and $1,559,388, respectively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2,318,161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2,350,272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Other real estate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223,293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228,243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4,844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5,902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Non-current deferred tax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11,113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386,649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396,663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3,424,196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r>
      <w:tr w:rsidR="00000000">
        <w:trPr>
          <w:divId w:val="1444838109"/>
        </w:trPr>
        <w:tc>
          <w:tcPr>
            <w:tcW w:w="3354" w:type="pct"/>
            <w:tcBorders>
              <w:top w:val="single" w:sz="6" w:space="0" w:color="000000"/>
            </w:tcBorders>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Accounts payable and accrued expenses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284,604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274,318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Current portion of long-term debt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31,999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current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316,603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313,405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Long-term debt, net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1,480,293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1,747,664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Deferred revenue</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27,336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18,336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Non-current deferred tax liabilities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86,323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203,411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216,468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2,113,966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2,295,873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Preferred stock – $0.01 par value; 50,000 shares authorized; none issued and outstanding</w:t>
            </w:r>
          </w:p>
          <w:p w:rsidR="00000000" w:rsidRDefault="008325ED">
            <w:pPr>
              <w:pStyle w:val="a3"/>
              <w:spacing w:before="0" w:beforeAutospacing="0" w:after="0" w:afterAutospacing="0"/>
              <w:rPr>
                <w:color w:val="000000"/>
                <w:sz w:val="20"/>
                <w:szCs w:val="20"/>
              </w:rPr>
            </w:pPr>
            <w:r>
              <w:rPr>
                <w:color w:val="000000"/>
                <w:sz w:val="20"/>
                <w:szCs w:val="20"/>
              </w:rPr>
              <w:t>   at June 30, 2021 and December 31, 2020, respectively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xml:space="preserve">Common stock – $0.01 par value; 300,000 shares </w:t>
            </w:r>
            <w:r>
              <w:rPr>
                <w:color w:val="000000"/>
                <w:sz w:val="20"/>
                <w:szCs w:val="20"/>
              </w:rPr>
              <w:t>authorized; 120,285 and 119,638 shares</w:t>
            </w:r>
          </w:p>
          <w:p w:rsidR="00000000" w:rsidRDefault="008325ED">
            <w:pPr>
              <w:pStyle w:val="a3"/>
              <w:spacing w:before="0" w:beforeAutospacing="0" w:after="0" w:afterAutospacing="0"/>
              <w:rPr>
                <w:color w:val="000000"/>
                <w:sz w:val="20"/>
                <w:szCs w:val="20"/>
              </w:rPr>
            </w:pPr>
            <w:r>
              <w:rPr>
                <w:color w:val="000000"/>
                <w:sz w:val="20"/>
                <w:szCs w:val="20"/>
              </w:rPr>
              <w:t>   issued and outstanding at June 30, 2021 and December 31, 2020, respectively</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Additional paid-in capital</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1,842,395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Accumulated deficit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(556,639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r>
              <w:rPr>
                <w:color w:val="000000"/>
                <w:sz w:val="20"/>
                <w:szCs w:val="20"/>
              </w:rPr>
              <w:t>446,519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stockholders' equity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1,286,959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Non-controlling interest – operating partnership</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equity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1,310,230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44838109"/>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Total liabilities and equity</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3,424,196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8325ED">
      <w:pPr>
        <w:pStyle w:val="a3"/>
        <w:spacing w:before="240" w:beforeAutospacing="0" w:after="0" w:afterAutospacing="0"/>
        <w:jc w:val="center"/>
        <w:rPr>
          <w:sz w:val="20"/>
          <w:szCs w:val="20"/>
        </w:rPr>
      </w:pPr>
      <w:r>
        <w:rPr>
          <w:sz w:val="20"/>
          <w:szCs w:val="20"/>
        </w:rPr>
        <w:t>1</w:t>
      </w:r>
    </w:p>
    <w:p w:rsidR="00000000" w:rsidRDefault="008325ED">
      <w:pPr>
        <w:rPr>
          <w:rFonts w:eastAsia="Times New Roman"/>
        </w:rPr>
      </w:pPr>
      <w:r>
        <w:rPr>
          <w:rFonts w:eastAsia="Times New Roman"/>
        </w:rPr>
        <w:pict>
          <v:rect id="_x0000_i1027" style="width:0;height:1.5pt" o:hralign="center" o:hrstd="t" o:hr="t" fillcolor="#a0a0a0" stroked="f"/>
        </w:pict>
      </w:r>
    </w:p>
    <w:p w:rsidR="00000000" w:rsidRDefault="008325E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8325ED">
      <w:pPr>
        <w:pStyle w:val="a3"/>
        <w:spacing w:before="0" w:beforeAutospacing="0" w:after="0" w:afterAutospacing="0"/>
        <w:jc w:val="center"/>
        <w:rPr>
          <w:b/>
          <w:bCs/>
          <w:sz w:val="20"/>
          <w:szCs w:val="20"/>
        </w:rPr>
      </w:pPr>
      <w:r>
        <w:rPr>
          <w:b/>
          <w:bCs/>
          <w:sz w:val="20"/>
          <w:szCs w:val="20"/>
        </w:rPr>
        <w:t>CONSOLIDATED STATEMENTS OF OPERATIONS</w:t>
      </w:r>
    </w:p>
    <w:p w:rsidR="00000000" w:rsidRDefault="008325ED">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84"/>
        <w:gridCol w:w="87"/>
        <w:gridCol w:w="115"/>
        <w:gridCol w:w="751"/>
        <w:gridCol w:w="82"/>
        <w:gridCol w:w="78"/>
        <w:gridCol w:w="115"/>
        <w:gridCol w:w="753"/>
        <w:gridCol w:w="82"/>
        <w:gridCol w:w="78"/>
        <w:gridCol w:w="115"/>
        <w:gridCol w:w="752"/>
        <w:gridCol w:w="82"/>
        <w:gridCol w:w="80"/>
        <w:gridCol w:w="115"/>
        <w:gridCol w:w="755"/>
        <w:gridCol w:w="82"/>
      </w:tblGrid>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lastRenderedPageBreak/>
              <w:t>REVENUES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464,571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472,641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919,289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963,742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EXPENSES: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Operating</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333,070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352,927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665,954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715,242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33,228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30,145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62,758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61,424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34,084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38,619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66,796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76,571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Shareholder litigation expense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54,295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11,717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12,253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405,798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433,408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853,977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865,490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(23,222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(20,996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(41,650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r>
              <w:rPr>
                <w:color w:val="000000"/>
                <w:sz w:val="20"/>
                <w:szCs w:val="20"/>
              </w:rPr>
              <w:t>43,534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Expenses associated with debt repayments</w:t>
            </w:r>
          </w:p>
          <w:p w:rsidR="00000000" w:rsidRDefault="008325ED">
            <w:pPr>
              <w:pStyle w:val="a3"/>
              <w:spacing w:before="0" w:beforeAutospacing="0" w:after="0" w:afterAutospacing="0"/>
              <w:ind w:left="274"/>
              <w:rPr>
                <w:color w:val="000000"/>
                <w:sz w:val="20"/>
                <w:szCs w:val="20"/>
              </w:rPr>
            </w:pPr>
            <w:r>
              <w:rPr>
                <w:color w:val="000000"/>
                <w:sz w:val="20"/>
                <w:szCs w:val="20"/>
              </w:rPr>
              <w:t>    and refinancing transactions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Gain on sale of real estate assets, net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702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INCOME BEFORE INCOME TAXES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22,142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21,224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10,105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58,238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Income tax benefit (expense)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(6,519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962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(120,050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NET INCOME (LOSS)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55,424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NET INCOME (LOSS) ATTRIBUTABLE TO COMMON</w:t>
            </w:r>
          </w:p>
          <w:p w:rsidR="00000000" w:rsidRDefault="008325ED">
            <w:pPr>
              <w:pStyle w:val="a3"/>
              <w:spacing w:before="0" w:beforeAutospacing="0" w:after="0" w:afterAutospacing="0"/>
              <w:rPr>
                <w:b/>
                <w:bCs/>
                <w:color w:val="000000"/>
                <w:sz w:val="20"/>
                <w:szCs w:val="20"/>
              </w:rPr>
            </w:pPr>
            <w:r>
              <w:rPr>
                <w:b/>
                <w:bCs/>
                <w:color w:val="000000"/>
                <w:sz w:val="20"/>
                <w:szCs w:val="20"/>
              </w:rPr>
              <w:t>      STOCKHOLDERS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109,945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54,243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BASIC EARNINGS (LOSS) PER SHARE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(0.92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7987670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DILUTED EARNINGS (LOSS) PER SHARE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(0.92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8325ED">
      <w:pPr>
        <w:pStyle w:val="a3"/>
        <w:spacing w:before="0" w:beforeAutospacing="0" w:after="0" w:afterAutospacing="0"/>
        <w:jc w:val="center"/>
        <w:rPr>
          <w:sz w:val="18"/>
          <w:szCs w:val="18"/>
        </w:rPr>
      </w:pPr>
      <w:r>
        <w:rPr>
          <w:sz w:val="18"/>
          <w:szCs w:val="18"/>
        </w:rPr>
        <w:t> </w:t>
      </w:r>
    </w:p>
    <w:p w:rsidR="00000000" w:rsidRDefault="008325ED">
      <w:pPr>
        <w:pStyle w:val="a3"/>
        <w:spacing w:before="240" w:beforeAutospacing="0" w:after="0" w:afterAutospacing="0"/>
        <w:jc w:val="center"/>
        <w:rPr>
          <w:sz w:val="20"/>
          <w:szCs w:val="20"/>
        </w:rPr>
      </w:pPr>
      <w:r>
        <w:rPr>
          <w:sz w:val="20"/>
          <w:szCs w:val="20"/>
        </w:rPr>
        <w:t>2</w:t>
      </w:r>
    </w:p>
    <w:p w:rsidR="00000000" w:rsidRDefault="008325ED">
      <w:pPr>
        <w:rPr>
          <w:rFonts w:eastAsia="Times New Roman"/>
        </w:rPr>
      </w:pPr>
      <w:r>
        <w:rPr>
          <w:rFonts w:eastAsia="Times New Roman"/>
        </w:rPr>
        <w:pict>
          <v:rect id="_x0000_i1028"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8325ED">
      <w:pPr>
        <w:pStyle w:val="a3"/>
        <w:spacing w:before="0" w:beforeAutospacing="0" w:after="0" w:afterAutospacing="0"/>
        <w:jc w:val="center"/>
        <w:rPr>
          <w:b/>
          <w:bCs/>
          <w:sz w:val="20"/>
          <w:szCs w:val="20"/>
        </w:rPr>
      </w:pPr>
      <w:r>
        <w:rPr>
          <w:b/>
          <w:bCs/>
          <w:sz w:val="20"/>
          <w:szCs w:val="20"/>
        </w:rPr>
        <w:t>CONSOLIDATED STATEMENTS OF CASH FLOWS</w:t>
      </w:r>
    </w:p>
    <w:p w:rsidR="00000000" w:rsidRDefault="008325ED">
      <w:pPr>
        <w:pStyle w:val="a3"/>
        <w:spacing w:before="0" w:beforeAutospacing="0" w:after="0" w:afterAutospacing="0"/>
        <w:jc w:val="center"/>
        <w:rPr>
          <w:sz w:val="20"/>
          <w:szCs w:val="20"/>
        </w:rPr>
      </w:pPr>
      <w:r>
        <w:rPr>
          <w:sz w:val="20"/>
          <w:szCs w:val="20"/>
        </w:rPr>
        <w:t>(UNAUDITED AND AMOUNTS IN THOUSANDS)</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pPr>
            <w: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income (loss)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55,424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Adjustments to reconcile net income (loss) to net cash provided by</w:t>
            </w:r>
          </w:p>
          <w:p w:rsidR="00000000" w:rsidRDefault="008325ED">
            <w:pPr>
              <w:pStyle w:val="a3"/>
              <w:spacing w:before="0" w:beforeAutospacing="0" w:after="0" w:afterAutospacing="0"/>
              <w:ind w:left="274"/>
              <w:rPr>
                <w:color w:val="000000"/>
                <w:sz w:val="20"/>
                <w:szCs w:val="20"/>
              </w:rPr>
            </w:pPr>
            <w:r>
              <w:rPr>
                <w:color w:val="000000"/>
                <w:sz w:val="20"/>
                <w:szCs w:val="20"/>
              </w:rPr>
              <w:t>      operating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66,796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76,571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Asset impairments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4,174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12,253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3,520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2,740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Expenses associated with debt repayments and refinancing transactions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Gain on sale of real estate assets, net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Deferred income taxes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97,436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1,583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Non-cash revenue and other income</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788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(5,544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Non-cash equity compensation</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8,542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8,929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Other expenses and non-cash items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3,077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7,546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(20,318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29,529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14,855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(11,939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1094"/>
              <w:rPr>
                <w:color w:val="000000"/>
                <w:sz w:val="20"/>
                <w:szCs w:val="20"/>
              </w:rPr>
            </w:pPr>
            <w:r>
              <w:rPr>
                <w:color w:val="000000"/>
                <w:sz w:val="20"/>
                <w:szCs w:val="20"/>
              </w:rPr>
              <w:lastRenderedPageBreak/>
              <w:t>Net cash provided by operating activities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82,326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174,274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(8,669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(23,506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(24,710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(18,512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Acquisitions, net of cash acquired</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(8,849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proceeds from sale of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320,653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5,026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Increase in other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(4,977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1094"/>
              <w:rPr>
                <w:color w:val="000000"/>
                <w:sz w:val="20"/>
                <w:szCs w:val="20"/>
              </w:rPr>
            </w:pPr>
            <w:r>
              <w:rPr>
                <w:color w:val="000000"/>
                <w:sz w:val="20"/>
                <w:szCs w:val="20"/>
              </w:rPr>
              <w:t>Net cash provided by (used in) investing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286,572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(50,818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510,500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374,000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Scheduled principal repayments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(19,521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(15,124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Principal repayments of credit facility</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(172,000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(108,000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Repayment of non-recourse mortgage notes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(161,930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Repayment of senior notes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(425,988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Payment of debt defeasance, issuance and other refinancing and</w:t>
            </w:r>
          </w:p>
          <w:p w:rsidR="00000000" w:rsidRDefault="008325ED">
            <w:pPr>
              <w:pStyle w:val="a3"/>
              <w:spacing w:before="0" w:beforeAutospacing="0" w:after="0" w:afterAutospacing="0"/>
              <w:ind w:left="274"/>
              <w:rPr>
                <w:color w:val="000000"/>
                <w:sz w:val="20"/>
                <w:szCs w:val="20"/>
              </w:rPr>
            </w:pPr>
            <w:r>
              <w:rPr>
                <w:color w:val="000000"/>
                <w:sz w:val="20"/>
                <w:szCs w:val="20"/>
              </w:rPr>
              <w:t>    related costs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(60,449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(891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Contingent consideration for acquisition of business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Dividends paid</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(1,613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(105,963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1094"/>
              <w:rPr>
                <w:color w:val="000000"/>
                <w:sz w:val="20"/>
                <w:szCs w:val="20"/>
              </w:rPr>
            </w:pPr>
            <w:r>
              <w:rPr>
                <w:color w:val="000000"/>
                <w:sz w:val="20"/>
                <w:szCs w:val="20"/>
              </w:rPr>
              <w:t>Net cash provided by (used in) financing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(333,911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140,191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NET INCREASE IN CASH, CASH EQUIVALENTS AND</w:t>
            </w:r>
          </w:p>
          <w:p w:rsidR="00000000" w:rsidRDefault="008325ED">
            <w:pPr>
              <w:pStyle w:val="a3"/>
              <w:spacing w:before="0" w:beforeAutospacing="0" w:after="0" w:afterAutospacing="0"/>
              <w:rPr>
                <w:b/>
                <w:bCs/>
                <w:color w:val="000000"/>
                <w:sz w:val="20"/>
                <w:szCs w:val="20"/>
              </w:rPr>
            </w:pPr>
            <w:r>
              <w:rPr>
                <w:b/>
                <w:bCs/>
                <w:color w:val="000000"/>
                <w:sz w:val="20"/>
                <w:szCs w:val="20"/>
              </w:rPr>
              <w:t>     RESTRICTED CASH</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34,987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263,647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136,768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119,093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171,755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382,740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Debt assumed on acquisition of property portfolio</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52,217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w:t>
            </w:r>
            <w:r>
              <w:rPr>
                <w:color w:val="000000"/>
                <w:sz w:val="20"/>
                <w:szCs w:val="20"/>
              </w:rPr>
              <w:t>Establishment of right of use assets and lease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322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Cash paid during the period for:</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Interest (net of amounts capitalized of $0.1 million and $0.5 million in 2021 and</w:t>
            </w:r>
          </w:p>
          <w:p w:rsidR="00000000" w:rsidRDefault="008325ED">
            <w:pPr>
              <w:pStyle w:val="a3"/>
              <w:spacing w:before="0" w:beforeAutospacing="0" w:after="0" w:afterAutospacing="0"/>
              <w:ind w:left="547"/>
              <w:rPr>
                <w:color w:val="000000"/>
                <w:sz w:val="20"/>
                <w:szCs w:val="20"/>
              </w:rPr>
            </w:pPr>
            <w:r>
              <w:rPr>
                <w:color w:val="000000"/>
                <w:sz w:val="20"/>
                <w:szCs w:val="20"/>
              </w:rPr>
              <w:t>    2020, respectively)</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38,893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933932185"/>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Income taxes paid</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13,871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1,156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20" w:beforeAutospacing="0" w:after="0" w:afterAutospacing="0"/>
        <w:jc w:val="center"/>
        <w:rPr>
          <w:sz w:val="20"/>
          <w:szCs w:val="20"/>
        </w:rPr>
      </w:pPr>
      <w:r>
        <w:rPr>
          <w:sz w:val="20"/>
          <w:szCs w:val="20"/>
        </w:rPr>
        <w:t>The accompanying notes are an integral part of these consolidated financial statements.</w:t>
      </w:r>
    </w:p>
    <w:p w:rsidR="00000000" w:rsidRDefault="008325ED">
      <w:pPr>
        <w:pStyle w:val="a3"/>
        <w:spacing w:before="0" w:beforeAutospacing="0" w:after="0" w:afterAutospacing="0"/>
        <w:jc w:val="center"/>
        <w:rPr>
          <w:sz w:val="18"/>
          <w:szCs w:val="18"/>
        </w:rPr>
      </w:pPr>
      <w:r>
        <w:rPr>
          <w:sz w:val="18"/>
          <w:szCs w:val="18"/>
        </w:rPr>
        <w:t> </w:t>
      </w:r>
    </w:p>
    <w:p w:rsidR="00000000" w:rsidRDefault="008325ED">
      <w:pPr>
        <w:pStyle w:val="a3"/>
        <w:spacing w:before="240" w:beforeAutospacing="0" w:after="0" w:afterAutospacing="0"/>
        <w:jc w:val="center"/>
        <w:rPr>
          <w:sz w:val="20"/>
          <w:szCs w:val="20"/>
        </w:rPr>
      </w:pPr>
      <w:r>
        <w:rPr>
          <w:sz w:val="20"/>
          <w:szCs w:val="20"/>
        </w:rPr>
        <w:t>3</w:t>
      </w:r>
    </w:p>
    <w:p w:rsidR="00000000" w:rsidRDefault="008325ED">
      <w:pPr>
        <w:rPr>
          <w:rFonts w:eastAsia="Times New Roman"/>
        </w:rPr>
      </w:pPr>
      <w:r>
        <w:rPr>
          <w:rFonts w:eastAsia="Times New Roman"/>
        </w:rPr>
        <w:pict>
          <v:rect id="_x0000_i1029"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CORECIVIC, INC. AND SUBSIDIARIES</w:t>
      </w:r>
    </w:p>
    <w:p w:rsidR="00000000" w:rsidRDefault="008325E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8325ED">
      <w:pPr>
        <w:pStyle w:val="a3"/>
        <w:spacing w:before="0" w:beforeAutospacing="0" w:after="0" w:afterAutospacing="0"/>
        <w:jc w:val="center"/>
        <w:rPr>
          <w:b/>
          <w:bCs/>
          <w:sz w:val="20"/>
          <w:szCs w:val="20"/>
        </w:rPr>
      </w:pPr>
      <w:r>
        <w:rPr>
          <w:b/>
          <w:bCs/>
          <w:sz w:val="20"/>
          <w:szCs w:val="20"/>
        </w:rPr>
        <w:t>FOR THE QUARTERLY PERIODS ENDED JUNE 30, 2021</w:t>
      </w:r>
    </w:p>
    <w:p w:rsidR="00000000" w:rsidRDefault="008325ED">
      <w:pPr>
        <w:pStyle w:val="a3"/>
        <w:spacing w:before="0" w:beforeAutospacing="0" w:after="0" w:afterAutospacing="0"/>
        <w:jc w:val="center"/>
        <w:rPr>
          <w:sz w:val="20"/>
          <w:szCs w:val="20"/>
        </w:rPr>
      </w:pPr>
      <w:r>
        <w:rPr>
          <w:sz w:val="20"/>
          <w:szCs w:val="20"/>
        </w:rPr>
        <w:t>(UNAUDITED AND AMOUNTS IN THOUSANDS)</w:t>
      </w:r>
    </w:p>
    <w:p w:rsidR="00000000" w:rsidRDefault="008325ED">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419"/>
        <w:gridCol w:w="65"/>
        <w:gridCol w:w="65"/>
        <w:gridCol w:w="665"/>
        <w:gridCol w:w="82"/>
        <w:gridCol w:w="65"/>
        <w:gridCol w:w="115"/>
        <w:gridCol w:w="465"/>
        <w:gridCol w:w="82"/>
        <w:gridCol w:w="65"/>
        <w:gridCol w:w="115"/>
        <w:gridCol w:w="815"/>
        <w:gridCol w:w="82"/>
        <w:gridCol w:w="65"/>
        <w:gridCol w:w="130"/>
        <w:gridCol w:w="792"/>
        <w:gridCol w:w="82"/>
        <w:gridCol w:w="65"/>
        <w:gridCol w:w="133"/>
        <w:gridCol w:w="816"/>
        <w:gridCol w:w="82"/>
        <w:gridCol w:w="65"/>
        <w:gridCol w:w="117"/>
        <w:gridCol w:w="717"/>
        <w:gridCol w:w="65"/>
        <w:gridCol w:w="65"/>
        <w:gridCol w:w="115"/>
        <w:gridCol w:w="815"/>
        <w:gridCol w:w="82"/>
      </w:tblGrid>
      <w:tr w:rsidR="00000000">
        <w:trPr>
          <w:divId w:val="281424172"/>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8325ED">
        <w:trPr>
          <w:divId w:val="281424172"/>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81424172"/>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81424172"/>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lastRenderedPageBreak/>
              <w:t>Balance as of December 31, 2020</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119,638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1,835,494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(446,519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1,390,171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1,413,442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loss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(125,568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(1,632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Dividends on RSUs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compensation, net of</w:t>
            </w:r>
          </w:p>
          <w:p w:rsidR="00000000" w:rsidRDefault="008325ED">
            <w:pPr>
              <w:pStyle w:val="a3"/>
              <w:spacing w:before="0" w:beforeAutospacing="0" w:after="0" w:afterAutospacing="0"/>
              <w:rPr>
                <w:color w:val="000000"/>
                <w:sz w:val="20"/>
                <w:szCs w:val="20"/>
              </w:rPr>
            </w:pPr>
            <w:r>
              <w:rPr>
                <w:color w:val="000000"/>
                <w:sz w:val="20"/>
                <w:szCs w:val="20"/>
              </w:rPr>
              <w:t>   forfeitures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859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Balance as of March 31, 2021</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120,277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1,203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1,838,066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(572,305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1,266,964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1,290,235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income</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Forfeiture of dividends on RSUs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81424172"/>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Balance as of June 30, 2021</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120,285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1,842,395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(556,639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1,286,959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1,310,230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
                <w:szCs w:val="2"/>
              </w:rPr>
            </w:pPr>
            <w:r>
              <w:rPr>
                <w:b/>
                <w:bCs/>
                <w:color w:val="000000"/>
                <w:sz w:val="2"/>
                <w:szCs w:val="2"/>
              </w:rPr>
              <w:t> </w:t>
            </w:r>
          </w:p>
        </w:tc>
      </w:tr>
    </w:tbl>
    <w:p w:rsidR="00000000" w:rsidRDefault="008325ED">
      <w:pPr>
        <w:pStyle w:val="a3"/>
        <w:spacing w:before="0" w:beforeAutospacing="0" w:after="0" w:afterAutospacing="0"/>
        <w:rPr>
          <w:b/>
          <w:bCs/>
          <w:sz w:val="20"/>
          <w:szCs w:val="20"/>
        </w:rPr>
      </w:pPr>
      <w:r>
        <w:rPr>
          <w:b/>
          <w:bCs/>
          <w:sz w:val="20"/>
          <w:szCs w:val="20"/>
        </w:rPr>
        <w:t> </w:t>
      </w:r>
    </w:p>
    <w:p w:rsidR="00000000" w:rsidRDefault="008325ED">
      <w:pPr>
        <w:pStyle w:val="a3"/>
        <w:spacing w:before="0" w:beforeAutospacing="0" w:after="0" w:afterAutospacing="0"/>
        <w:jc w:val="center"/>
        <w:rPr>
          <w:sz w:val="20"/>
          <w:szCs w:val="20"/>
        </w:rPr>
      </w:pPr>
      <w:r>
        <w:rPr>
          <w:sz w:val="20"/>
          <w:szCs w:val="20"/>
        </w:rPr>
        <w:t>The accompanying notes are an integral part of these consolidat</w:t>
      </w:r>
      <w:r>
        <w:rPr>
          <w:sz w:val="20"/>
          <w:szCs w:val="20"/>
        </w:rPr>
        <w:t>ed financial statements.</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center"/>
        <w:rPr>
          <w:sz w:val="20"/>
          <w:szCs w:val="20"/>
        </w:rPr>
      </w:pPr>
      <w:r>
        <w:rPr>
          <w:sz w:val="20"/>
          <w:szCs w:val="20"/>
        </w:rPr>
        <w:t>4</w:t>
      </w:r>
    </w:p>
    <w:p w:rsidR="00000000" w:rsidRDefault="008325ED">
      <w:pPr>
        <w:rPr>
          <w:rFonts w:eastAsia="Times New Roman"/>
        </w:rPr>
      </w:pPr>
      <w:r>
        <w:rPr>
          <w:rFonts w:eastAsia="Times New Roman"/>
        </w:rPr>
        <w:pict>
          <v:rect id="_x0000_i1030"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CORECIVIC, INC. AND SUBSIDIARIES</w:t>
      </w:r>
    </w:p>
    <w:p w:rsidR="00000000" w:rsidRDefault="008325ED">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8325ED">
      <w:pPr>
        <w:pStyle w:val="a3"/>
        <w:spacing w:before="0" w:beforeAutospacing="0" w:after="0" w:afterAutospacing="0"/>
        <w:jc w:val="center"/>
        <w:rPr>
          <w:b/>
          <w:bCs/>
          <w:sz w:val="20"/>
          <w:szCs w:val="20"/>
        </w:rPr>
      </w:pPr>
      <w:r>
        <w:rPr>
          <w:b/>
          <w:bCs/>
          <w:sz w:val="20"/>
          <w:szCs w:val="20"/>
        </w:rPr>
        <w:t>FOR THE QUARTERLY PERIODS ENDED JUNE 30, 2020</w:t>
      </w:r>
    </w:p>
    <w:p w:rsidR="00000000" w:rsidRDefault="008325ED">
      <w:pPr>
        <w:pStyle w:val="a3"/>
        <w:spacing w:before="0" w:beforeAutospacing="0" w:after="0" w:afterAutospacing="0"/>
        <w:jc w:val="center"/>
        <w:rPr>
          <w:sz w:val="20"/>
          <w:szCs w:val="20"/>
        </w:rPr>
      </w:pPr>
      <w:r>
        <w:rPr>
          <w:sz w:val="20"/>
          <w:szCs w:val="20"/>
        </w:rPr>
        <w:t>(UNAUDITED AND AMOUNTS IN THOUSANDS)</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02"/>
        <w:gridCol w:w="65"/>
        <w:gridCol w:w="65"/>
        <w:gridCol w:w="665"/>
        <w:gridCol w:w="82"/>
        <w:gridCol w:w="65"/>
        <w:gridCol w:w="115"/>
        <w:gridCol w:w="465"/>
        <w:gridCol w:w="82"/>
        <w:gridCol w:w="65"/>
        <w:gridCol w:w="115"/>
        <w:gridCol w:w="815"/>
        <w:gridCol w:w="82"/>
        <w:gridCol w:w="65"/>
        <w:gridCol w:w="130"/>
        <w:gridCol w:w="792"/>
        <w:gridCol w:w="82"/>
        <w:gridCol w:w="65"/>
        <w:gridCol w:w="133"/>
        <w:gridCol w:w="816"/>
        <w:gridCol w:w="82"/>
        <w:gridCol w:w="65"/>
        <w:gridCol w:w="117"/>
        <w:gridCol w:w="717"/>
        <w:gridCol w:w="82"/>
        <w:gridCol w:w="65"/>
        <w:gridCol w:w="115"/>
        <w:gridCol w:w="815"/>
        <w:gridCol w:w="82"/>
      </w:tblGrid>
      <w:tr w:rsidR="00000000">
        <w:trPr>
          <w:divId w:val="1815677965"/>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pPr>
            <w: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16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Stockholders' 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Non-controlling</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8325ED">
        <w:trPr>
          <w:divId w:val="1815677965"/>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Interest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815677965"/>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0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Operating</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815677965"/>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30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4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Partnership</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35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Balance as of December 31, 2019</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119,096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1,821,810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(446,252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1,376,749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Net income</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32,057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33,238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(3,558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(3,560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Dividends declared on common stock</w:t>
            </w:r>
          </w:p>
          <w:p w:rsidR="00000000" w:rsidRDefault="008325ED">
            <w:pPr>
              <w:pStyle w:val="a3"/>
              <w:spacing w:before="0" w:beforeAutospacing="0" w:after="0" w:afterAutospacing="0"/>
              <w:rPr>
                <w:color w:val="000000"/>
                <w:sz w:val="20"/>
                <w:szCs w:val="20"/>
              </w:rPr>
            </w:pPr>
            <w:r>
              <w:rPr>
                <w:color w:val="000000"/>
                <w:sz w:val="20"/>
                <w:szCs w:val="20"/>
              </w:rPr>
              <w:t>    ($0.44 per share)</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r>
              <w:rPr>
                <w:color w:val="000000"/>
                <w:sz w:val="20"/>
                <w:szCs w:val="20"/>
              </w:rPr>
              <w:t>53,415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Cumulative effect of adoption of new</w:t>
            </w:r>
          </w:p>
          <w:p w:rsidR="00000000" w:rsidRDefault="008325ED">
            <w:pPr>
              <w:pStyle w:val="a3"/>
              <w:spacing w:before="0" w:beforeAutospacing="0" w:after="0" w:afterAutospacing="0"/>
              <w:rPr>
                <w:color w:val="000000"/>
                <w:sz w:val="20"/>
                <w:szCs w:val="20"/>
              </w:rPr>
            </w:pPr>
            <w:r>
              <w:rPr>
                <w:color w:val="000000"/>
                <w:sz w:val="20"/>
                <w:szCs w:val="20"/>
              </w:rPr>
              <w:t>   accounting standard</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Contributions to operating partnership</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Distributions to non-controlling interest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Balance as of March 31, 2020</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1,822,855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(468,646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1,355,405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1,378,676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Net income</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6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1815677965"/>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Balance as of June 30, 2020</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25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119,631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6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1,827,174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(446,460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1,381,910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23,271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1,405,181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sz w:val="20"/>
          <w:szCs w:val="20"/>
        </w:rPr>
      </w:pPr>
      <w:r>
        <w:rPr>
          <w:sz w:val="20"/>
          <w:szCs w:val="20"/>
        </w:rPr>
        <w:t>The accompanying notes are an integral part of these consolidat</w:t>
      </w:r>
      <w:r>
        <w:rPr>
          <w:sz w:val="20"/>
          <w:szCs w:val="20"/>
        </w:rPr>
        <w:t>ed financial statements.</w:t>
      </w:r>
    </w:p>
    <w:p w:rsidR="00000000" w:rsidRDefault="008325ED">
      <w:pPr>
        <w:pStyle w:val="a3"/>
        <w:spacing w:before="0" w:beforeAutospacing="0" w:after="0" w:afterAutospacing="0"/>
        <w:jc w:val="center"/>
        <w:rPr>
          <w:sz w:val="18"/>
          <w:szCs w:val="18"/>
        </w:rPr>
      </w:pPr>
      <w:r>
        <w:rPr>
          <w:sz w:val="18"/>
          <w:szCs w:val="18"/>
        </w:rPr>
        <w:t> </w:t>
      </w:r>
    </w:p>
    <w:p w:rsidR="00000000" w:rsidRDefault="008325ED">
      <w:pPr>
        <w:pStyle w:val="a3"/>
        <w:spacing w:before="240" w:beforeAutospacing="0" w:after="0" w:afterAutospacing="0"/>
        <w:jc w:val="center"/>
        <w:rPr>
          <w:sz w:val="20"/>
          <w:szCs w:val="20"/>
        </w:rPr>
      </w:pPr>
      <w:r>
        <w:rPr>
          <w:sz w:val="20"/>
          <w:szCs w:val="20"/>
        </w:rPr>
        <w:t>5</w:t>
      </w:r>
    </w:p>
    <w:p w:rsidR="00000000" w:rsidRDefault="008325ED">
      <w:pPr>
        <w:rPr>
          <w:rFonts w:eastAsia="Times New Roman"/>
        </w:rPr>
      </w:pPr>
      <w:r>
        <w:rPr>
          <w:rFonts w:eastAsia="Times New Roman"/>
        </w:rPr>
        <w:pict>
          <v:rect id="_x0000_i1031"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CORECIVIC, INC. AND SUBSIDIARIES</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8325ED">
      <w:pPr>
        <w:pStyle w:val="a3"/>
        <w:spacing w:before="0" w:beforeAutospacing="0" w:after="0" w:afterAutospacing="0"/>
        <w:jc w:val="center"/>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JUNE 30, 2021</w:t>
      </w:r>
    </w:p>
    <w:p w:rsidR="00000000" w:rsidRDefault="008325ED">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87488103"/>
        </w:trPr>
        <w:tc>
          <w:tcPr>
            <w:tcW w:w="227" w:type="pct"/>
            <w:noWrap/>
            <w:hideMark/>
          </w:tcPr>
          <w:p w:rsidR="00000000" w:rsidRDefault="008325ED">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ORGANIZATION AND OPERATIONS</w:t>
            </w:r>
          </w:p>
        </w:tc>
      </w:tr>
    </w:tbl>
    <w:p w:rsidR="00000000" w:rsidRDefault="008325ED">
      <w:pPr>
        <w:pStyle w:val="a3"/>
        <w:spacing w:before="120" w:beforeAutospacing="0" w:after="0" w:afterAutospacing="0"/>
        <w:ind w:left="476"/>
        <w:jc w:val="both"/>
        <w:rPr>
          <w:sz w:val="20"/>
          <w:szCs w:val="20"/>
        </w:rPr>
      </w:pPr>
      <w:r>
        <w:rPr>
          <w:sz w:val="20"/>
          <w:szCs w:val="20"/>
        </w:rPr>
        <w:t>CoreCivic, Inc. (together with its subsidiaries, the "Company" or "CoreCivic</w:t>
      </w:r>
      <w:r>
        <w:rPr>
          <w:sz w:val="20"/>
          <w:szCs w:val="20"/>
        </w:rPr>
        <w:t>") is the nation's largest owner of partnership correctional, detention, and residential reentry facilities and one of the largest prison operators in the United States.  The Company also believes it is the largest private owner of real estate used by gove</w:t>
      </w:r>
      <w:r>
        <w:rPr>
          <w:sz w:val="20"/>
          <w:szCs w:val="20"/>
        </w:rPr>
        <w:t>rnment agencies in the U.S. Through three segments, CoreCivic Safety, CoreCivic Community, and CoreCivic Properties, the Company provides a broad range of solutions to government partners that serve the public good through corrections and detention managem</w:t>
      </w:r>
      <w:r>
        <w:rPr>
          <w:sz w:val="20"/>
          <w:szCs w:val="20"/>
        </w:rPr>
        <w:t>ent, a network of residential reentry centers to help address America's recidivism crisis, and government real estate solutions.  As of June 30, 2021, through its CoreCivic Safety segment, the Company operated 47 correctional and detention facilities, 42 o</w:t>
      </w:r>
      <w:r>
        <w:rPr>
          <w:sz w:val="20"/>
          <w:szCs w:val="20"/>
        </w:rPr>
        <w:t>f which the Company owned, with a total design capacity of approximately 70,000 beds.  Through its CoreCivic Community segment, the Company owned and operated 26 residential reentry centers with a total design capacity of approximately 5,000 beds.  In addi</w:t>
      </w:r>
      <w:r>
        <w:rPr>
          <w:sz w:val="20"/>
          <w:szCs w:val="20"/>
        </w:rPr>
        <w:t>tion, through its CoreCivic Properties segment, the Company owned 10 properties for lease to third parties and used by government agencies, totaling</w:t>
      </w:r>
      <w:r>
        <w:rPr>
          <w:sz w:val="20"/>
          <w:szCs w:val="20"/>
        </w:rPr>
        <w:t xml:space="preserve"> </w:t>
      </w:r>
      <w:r>
        <w:rPr>
          <w:sz w:val="20"/>
          <w:szCs w:val="20"/>
        </w:rPr>
        <w:t>1.6 millio</w:t>
      </w:r>
      <w:r>
        <w:rPr>
          <w:sz w:val="20"/>
          <w:szCs w:val="20"/>
        </w:rPr>
        <w:t>n</w:t>
      </w:r>
      <w:r>
        <w:rPr>
          <w:sz w:val="20"/>
          <w:szCs w:val="20"/>
        </w:rPr>
        <w:t xml:space="preserve"> square feet. </w:t>
      </w:r>
    </w:p>
    <w:p w:rsidR="00000000" w:rsidRDefault="008325ED">
      <w:pPr>
        <w:pStyle w:val="a3"/>
        <w:spacing w:before="240" w:beforeAutospacing="0" w:after="0" w:afterAutospacing="0"/>
        <w:ind w:left="476"/>
        <w:jc w:val="both"/>
        <w:rPr>
          <w:sz w:val="20"/>
          <w:szCs w:val="20"/>
        </w:rPr>
      </w:pPr>
      <w:r>
        <w:rPr>
          <w:sz w:val="20"/>
          <w:szCs w:val="20"/>
        </w:rPr>
        <w:t>In addition to providing fundamental residential services, CoreCivic's correction</w:t>
      </w:r>
      <w:r>
        <w:rPr>
          <w:sz w:val="20"/>
          <w:szCs w:val="20"/>
        </w:rPr>
        <w:t>al, detention, and reentry facilities offer a variety of rehabilitation and educational programs, including basic education, faith-based services, life skills and employment training, and substance abuse treatment.  These services are intended to help redu</w:t>
      </w:r>
      <w:r>
        <w:rPr>
          <w:sz w:val="20"/>
          <w:szCs w:val="20"/>
        </w:rPr>
        <w:t>ce recidivism and to prepare offenders for their successful reentry into society upon their release.  CoreCivic also provides or makes available to offenders certain health care (including medical, dental, and mental health services), food services, and wo</w:t>
      </w:r>
      <w:r>
        <w:rPr>
          <w:sz w:val="20"/>
          <w:szCs w:val="20"/>
        </w:rPr>
        <w:t xml:space="preserve">rk and recreational programs. </w:t>
      </w:r>
    </w:p>
    <w:p w:rsidR="00000000" w:rsidRDefault="008325ED">
      <w:pPr>
        <w:pStyle w:val="a3"/>
        <w:spacing w:before="240" w:beforeAutospacing="0" w:after="0" w:afterAutospacing="0"/>
        <w:ind w:left="476"/>
        <w:jc w:val="both"/>
        <w:rPr>
          <w:sz w:val="20"/>
          <w:szCs w:val="20"/>
        </w:rPr>
      </w:pPr>
      <w:r>
        <w:rPr>
          <w:sz w:val="20"/>
          <w:szCs w:val="20"/>
        </w:rPr>
        <w:t>CoreCivic operated as a real estate investment trust ("REIT") from January 1, 2013 through December 31, 2020.  </w:t>
      </w:r>
      <w:r>
        <w:rPr>
          <w:sz w:val="20"/>
          <w:szCs w:val="20"/>
        </w:rPr>
        <w:t>As a REIT, the Company provided services and conducted other business activities through taxable REIT subsidiaries ("TRSs"). A TRS is a subsidiary of a REIT that is subject to applicable corporate income tax rates and certain qualification requirements. Th</w:t>
      </w:r>
      <w:r>
        <w:rPr>
          <w:sz w:val="20"/>
          <w:szCs w:val="20"/>
        </w:rPr>
        <w:t>e Company's use of TRSs permitted CoreCivic to engage in certain business activities in which the REIT could not engage directly, so long as those activities were conducted in entities that elected to be treated as TRSs under the Internal Revenue Code of 1</w:t>
      </w:r>
      <w:r>
        <w:rPr>
          <w:sz w:val="20"/>
          <w:szCs w:val="20"/>
        </w:rPr>
        <w:t>986, as amended, and enabled CoreCivic to, among other things, provide correctional services at facilities it owns and at facilities owned by its government partners.  </w:t>
      </w:r>
    </w:p>
    <w:p w:rsidR="00000000" w:rsidRDefault="008325ED">
      <w:pPr>
        <w:pStyle w:val="a3"/>
        <w:spacing w:before="240" w:beforeAutospacing="0" w:after="0" w:afterAutospacing="0"/>
        <w:ind w:left="476"/>
        <w:jc w:val="both"/>
        <w:rPr>
          <w:sz w:val="20"/>
          <w:szCs w:val="20"/>
        </w:rPr>
      </w:pPr>
      <w:r>
        <w:rPr>
          <w:sz w:val="20"/>
          <w:szCs w:val="20"/>
        </w:rPr>
        <w:t>On August 5, 2020, the Company announced that the Board of Directors ("BOD") unanimousl</w:t>
      </w:r>
      <w:r>
        <w:rPr>
          <w:sz w:val="20"/>
          <w:szCs w:val="20"/>
        </w:rPr>
        <w:t xml:space="preserve">y approved a plan to revoke the Company's REIT election and become a taxable C Corporation, effective January 1, 2021.  As a result, the Company is no longer required to operate under REIT rules, including the requirement to distribute at least 90% of its </w:t>
      </w:r>
      <w:r>
        <w:rPr>
          <w:sz w:val="20"/>
          <w:szCs w:val="20"/>
        </w:rPr>
        <w:t>taxable income to its stockholders, which provides the Company with greater flexibility to use its free cash flow.  Effective January 1, 2021, the Company is subject to federal and state income taxes on its taxable income at applicable tax rates, and is no</w:t>
      </w:r>
      <w:r>
        <w:rPr>
          <w:sz w:val="20"/>
          <w:szCs w:val="20"/>
        </w:rPr>
        <w:t xml:space="preserve"> longer entitled to a tax deduction for dividends paid.  The Company continued to operate as a REIT for the 2020 tax year, and existing REIT requirements and limitations, including those established by the Company’s organizational documents, remained in pl</w:t>
      </w:r>
      <w:r>
        <w:rPr>
          <w:sz w:val="20"/>
          <w:szCs w:val="20"/>
        </w:rPr>
        <w:t>ace until January 1, 2021. The BOD also voted unanimously to discontinue the Company's quarterly dividend and prioritize allocating the Company’s free cash flow to reduce debt</w:t>
      </w:r>
      <w:r>
        <w:rPr>
          <w:sz w:val="23"/>
          <w:szCs w:val="23"/>
        </w:rPr>
        <w:t>.  </w:t>
      </w:r>
    </w:p>
    <w:p w:rsidR="00000000" w:rsidRDefault="008325ED">
      <w:pPr>
        <w:pStyle w:val="a3"/>
        <w:spacing w:before="0" w:beforeAutospacing="0" w:after="0" w:afterAutospacing="0"/>
        <w:rPr>
          <w:sz w:val="23"/>
          <w:szCs w:val="23"/>
        </w:rPr>
      </w:pPr>
    </w:p>
    <w:p w:rsidR="00000000" w:rsidRDefault="008325ED">
      <w:pPr>
        <w:pStyle w:val="a3"/>
        <w:spacing w:before="240" w:beforeAutospacing="0" w:after="0" w:afterAutospacing="0"/>
        <w:jc w:val="center"/>
        <w:rPr>
          <w:sz w:val="20"/>
          <w:szCs w:val="20"/>
        </w:rPr>
      </w:pPr>
      <w:r>
        <w:rPr>
          <w:sz w:val="20"/>
          <w:szCs w:val="20"/>
        </w:rPr>
        <w:t>6</w:t>
      </w:r>
    </w:p>
    <w:p w:rsidR="00000000" w:rsidRDefault="008325ED">
      <w:pPr>
        <w:rPr>
          <w:rFonts w:eastAsia="Times New Roman"/>
        </w:rPr>
      </w:pPr>
      <w:r>
        <w:rPr>
          <w:rFonts w:eastAsia="Times New Roman"/>
        </w:rPr>
        <w:pict>
          <v:rect id="_x0000_i1032"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65381954"/>
        </w:trPr>
        <w:tc>
          <w:tcPr>
            <w:tcW w:w="227" w:type="pct"/>
            <w:noWrap/>
            <w:hideMark/>
          </w:tcPr>
          <w:p w:rsidR="00000000" w:rsidRDefault="008325ED">
            <w:pPr>
              <w:pStyle w:val="a3"/>
              <w:spacing w:before="360" w:beforeAutospacing="0" w:after="0" w:afterAutospacing="0"/>
              <w:rPr>
                <w:b/>
                <w:bCs/>
                <w:sz w:val="20"/>
                <w:szCs w:val="20"/>
              </w:rPr>
            </w:pPr>
            <w:r>
              <w:rPr>
                <w:b/>
                <w:bCs/>
                <w:sz w:val="20"/>
                <w:szCs w:val="20"/>
              </w:rPr>
              <w:t>2.</w:t>
            </w:r>
          </w:p>
        </w:tc>
        <w:tc>
          <w:tcPr>
            <w:tcW w:w="0" w:type="auto"/>
            <w:hideMark/>
          </w:tcPr>
          <w:p w:rsidR="00000000" w:rsidRDefault="008325ED">
            <w:pPr>
              <w:pStyle w:val="a3"/>
              <w:spacing w:before="360" w:beforeAutospacing="0" w:after="0" w:afterAutospacing="0"/>
              <w:rPr>
                <w:b/>
                <w:bCs/>
                <w:sz w:val="20"/>
                <w:szCs w:val="20"/>
              </w:rPr>
            </w:pPr>
            <w:r>
              <w:rPr>
                <w:b/>
                <w:bCs/>
                <w:sz w:val="20"/>
                <w:szCs w:val="20"/>
              </w:rPr>
              <w:t>BASIS OF PRESENTATION AND SUM</w:t>
            </w:r>
            <w:r>
              <w:rPr>
                <w:b/>
                <w:bCs/>
                <w:sz w:val="20"/>
                <w:szCs w:val="20"/>
              </w:rPr>
              <w:t>MARY OF SIGNIFICANT ACCOUNTING POLICIES</w:t>
            </w:r>
          </w:p>
        </w:tc>
      </w:tr>
    </w:tbl>
    <w:p w:rsidR="00000000" w:rsidRDefault="008325ED">
      <w:pPr>
        <w:pStyle w:val="a3"/>
        <w:spacing w:before="0" w:beforeAutospacing="0" w:after="0" w:afterAutospacing="0"/>
        <w:jc w:val="both"/>
        <w:rPr>
          <w:b/>
          <w:bCs/>
          <w:sz w:val="12"/>
          <w:szCs w:val="12"/>
        </w:rPr>
      </w:pPr>
      <w:r>
        <w:rPr>
          <w:b/>
          <w:bCs/>
          <w:sz w:val="12"/>
          <w:szCs w:val="12"/>
        </w:rPr>
        <w:t> </w:t>
      </w:r>
    </w:p>
    <w:p w:rsidR="00000000" w:rsidRDefault="008325ED">
      <w:pPr>
        <w:pStyle w:val="a3"/>
        <w:spacing w:before="0" w:beforeAutospacing="0" w:after="0" w:afterAutospacing="0"/>
        <w:ind w:left="476"/>
        <w:jc w:val="both"/>
        <w:rPr>
          <w:sz w:val="20"/>
          <w:szCs w:val="20"/>
        </w:rPr>
      </w:pPr>
      <w:r>
        <w:rPr>
          <w:sz w:val="20"/>
          <w:szCs w:val="20"/>
        </w:rPr>
        <w:t xml:space="preserve">The accompanying unaudited interim consolidated financial statements have been prepared by the Company and, in the opinion of management, reflect all normal recurring adjustments necessary for a fair presentation </w:t>
      </w:r>
      <w:r>
        <w:rPr>
          <w:sz w:val="20"/>
          <w:szCs w:val="20"/>
        </w:rPr>
        <w:t>of results for the unaudited interim periods presented.  Certain information and footnote disclosures normally included in financial statements prepared in accordance with U.S. generally accepted accounting principles have been condensed or omitted.  The r</w:t>
      </w:r>
      <w:r>
        <w:rPr>
          <w:sz w:val="20"/>
          <w:szCs w:val="20"/>
        </w:rPr>
        <w:t>esults of operations for the interim period are not necessarily indicative of the results to be obtained for the full fiscal year.  Reference is made to the audited financial statements of CoreCivic included in its Annual Report on Form 10-K for the year e</w:t>
      </w:r>
      <w:r>
        <w:rPr>
          <w:sz w:val="20"/>
          <w:szCs w:val="20"/>
        </w:rPr>
        <w:t>nded December 31, 2020 filed with the Securities and Exchange Commission (the "SEC") on February 22, 2021 (the "2020 Form 10-K") with respect to certain significant accounting and financial reporting policies as well as other pertinent information of the C</w:t>
      </w:r>
      <w:r>
        <w:rPr>
          <w:sz w:val="20"/>
          <w:szCs w:val="20"/>
        </w:rPr>
        <w:t xml:space="preserve">ompany. </w:t>
      </w:r>
    </w:p>
    <w:p w:rsidR="00000000" w:rsidRDefault="008325ED">
      <w:pPr>
        <w:pStyle w:val="a3"/>
        <w:spacing w:before="240" w:beforeAutospacing="0" w:after="0" w:afterAutospacing="0"/>
        <w:ind w:left="476"/>
        <w:jc w:val="both"/>
        <w:rPr>
          <w:b/>
          <w:bCs/>
          <w:sz w:val="20"/>
          <w:szCs w:val="20"/>
        </w:rPr>
      </w:pPr>
      <w:r>
        <w:rPr>
          <w:b/>
          <w:bCs/>
          <w:sz w:val="20"/>
          <w:szCs w:val="20"/>
        </w:rPr>
        <w:t xml:space="preserve">Recent Accounting Pronouncements </w:t>
      </w:r>
    </w:p>
    <w:p w:rsidR="00000000" w:rsidRDefault="008325ED">
      <w:pPr>
        <w:pStyle w:val="a3"/>
        <w:spacing w:before="120" w:beforeAutospacing="0" w:after="0" w:afterAutospacing="0"/>
        <w:ind w:left="476"/>
        <w:jc w:val="both"/>
        <w:rPr>
          <w:color w:val="000000"/>
          <w:sz w:val="20"/>
          <w:szCs w:val="20"/>
        </w:rPr>
      </w:pPr>
      <w:r>
        <w:rPr>
          <w:color w:val="000000"/>
          <w:sz w:val="20"/>
          <w:szCs w:val="20"/>
        </w:rPr>
        <w:t>Recent accounting pronouncements issued by the FASB (including its Emerging Issues Task Force), the American Institute of Certified Public Accountants and the SEC applicable to financial statements beginning Janua</w:t>
      </w:r>
      <w:r>
        <w:rPr>
          <w:color w:val="000000"/>
          <w:sz w:val="20"/>
          <w:szCs w:val="20"/>
        </w:rPr>
        <w:t>ry 1, 2021 or later did not, or are not expected to, have a material effect on the Company's results of operations or financial position.</w:t>
      </w:r>
    </w:p>
    <w:p w:rsidR="00000000" w:rsidRDefault="008325ED">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8325ED">
      <w:pPr>
        <w:pStyle w:val="a3"/>
        <w:spacing w:before="120" w:beforeAutospacing="0" w:after="0" w:afterAutospacing="0"/>
        <w:ind w:left="476"/>
        <w:jc w:val="both"/>
        <w:rPr>
          <w:sz w:val="20"/>
          <w:szCs w:val="20"/>
        </w:rPr>
      </w:pPr>
      <w:r>
        <w:rPr>
          <w:sz w:val="20"/>
          <w:szCs w:val="20"/>
        </w:rPr>
        <w:t>To meet the reporting requirements of Accounting Standards Codification ("ASC") 825, "Financial Instruments", regarding fair value of financial instruments, CoreCivic calculates the estimated fair value of financial instruments using market interest rates,</w:t>
      </w:r>
      <w:r>
        <w:rPr>
          <w:sz w:val="20"/>
          <w:szCs w:val="20"/>
        </w:rPr>
        <w:t xml:space="preserve"> quoted market prices of similar instruments, or discounted cash flow techniques with observable Level 1 inputs for publicly traded debt and Level 2 inputs for all other financial instruments, as defined in ASC 820, "Fair Value Measurement".  At June 30, 2</w:t>
      </w:r>
      <w:r>
        <w:rPr>
          <w:sz w:val="20"/>
          <w:szCs w:val="20"/>
        </w:rPr>
        <w:t>021 and December 31, 2020, there were no material differences between the carrying amounts and the estimated fair values of CoreCivic's financial instruments, other than as follows (in thousands):</w:t>
      </w:r>
    </w:p>
    <w:p w:rsidR="00000000" w:rsidRDefault="008325E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873662241"/>
        </w:trPr>
        <w:tc>
          <w:tcPr>
            <w:tcW w:w="251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pPr>
            <w: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114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 2021</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873662241"/>
        </w:trPr>
        <w:tc>
          <w:tcPr>
            <w:tcW w:w="251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8325E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8325ED">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50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873662241"/>
        </w:trPr>
        <w:tc>
          <w:tcPr>
            <w:tcW w:w="251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3,136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3,731</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3,094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873662241"/>
        </w:trPr>
        <w:tc>
          <w:tcPr>
            <w:tcW w:w="251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Debt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(1,545,078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(1,540,840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(1,809,517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(1,774,016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bl>
    <w:p w:rsidR="00000000" w:rsidRDefault="008325ED">
      <w:pPr>
        <w:pStyle w:val="a3"/>
        <w:spacing w:before="120" w:beforeAutospacing="0" w:after="0" w:afterAutospacing="0"/>
        <w:ind w:left="476"/>
        <w:jc w:val="both"/>
      </w:pPr>
      <w:r>
        <w:t xml:space="preserve">   </w:t>
      </w:r>
    </w:p>
    <w:p w:rsidR="00000000" w:rsidRDefault="008325ED">
      <w:pPr>
        <w:pStyle w:val="a3"/>
        <w:spacing w:before="120" w:beforeAutospacing="0" w:after="0" w:afterAutospacing="0"/>
        <w:ind w:left="476" w:hanging="556"/>
        <w:jc w:val="both"/>
        <w:rPr>
          <w:b/>
          <w:bCs/>
          <w:sz w:val="20"/>
          <w:szCs w:val="20"/>
        </w:rPr>
      </w:pPr>
      <w:r>
        <w:rPr>
          <w:b/>
          <w:bCs/>
          <w:sz w:val="20"/>
          <w:szCs w:val="20"/>
        </w:rPr>
        <w:t> </w:t>
      </w:r>
    </w:p>
    <w:p w:rsidR="00000000" w:rsidRDefault="008325ED">
      <w:pPr>
        <w:pStyle w:val="a3"/>
        <w:spacing w:before="0" w:beforeAutospacing="0" w:after="0" w:afterAutospacing="0"/>
        <w:rPr>
          <w:b/>
          <w:bCs/>
          <w:sz w:val="20"/>
          <w:szCs w:val="20"/>
        </w:rPr>
      </w:pPr>
    </w:p>
    <w:p w:rsidR="00000000" w:rsidRDefault="008325ED">
      <w:pPr>
        <w:pStyle w:val="a3"/>
        <w:spacing w:before="240" w:beforeAutospacing="0" w:after="0" w:afterAutospacing="0"/>
        <w:jc w:val="center"/>
        <w:rPr>
          <w:sz w:val="20"/>
          <w:szCs w:val="20"/>
        </w:rPr>
      </w:pPr>
      <w:r>
        <w:rPr>
          <w:sz w:val="20"/>
          <w:szCs w:val="20"/>
        </w:rPr>
        <w:t>7</w:t>
      </w:r>
    </w:p>
    <w:p w:rsidR="00000000" w:rsidRDefault="008325ED">
      <w:pPr>
        <w:rPr>
          <w:rFonts w:eastAsia="Times New Roman"/>
        </w:rPr>
      </w:pPr>
      <w:r>
        <w:rPr>
          <w:rFonts w:eastAsia="Times New Roman"/>
        </w:rPr>
        <w:pict>
          <v:rect id="_x0000_i1033"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40417066"/>
        </w:trPr>
        <w:tc>
          <w:tcPr>
            <w:tcW w:w="227" w:type="pct"/>
            <w:noWrap/>
            <w:hideMark/>
          </w:tcPr>
          <w:p w:rsidR="00000000" w:rsidRDefault="008325ED">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8325ED">
            <w:pPr>
              <w:pStyle w:val="a3"/>
              <w:spacing w:before="120" w:beforeAutospacing="0" w:after="0" w:afterAutospacing="0"/>
              <w:jc w:val="both"/>
              <w:rPr>
                <w:b/>
                <w:bCs/>
                <w:sz w:val="20"/>
                <w:szCs w:val="20"/>
              </w:rPr>
            </w:pPr>
            <w:r>
              <w:rPr>
                <w:b/>
                <w:bCs/>
                <w:sz w:val="20"/>
                <w:szCs w:val="20"/>
              </w:rPr>
              <w:t>GOODWILL</w:t>
            </w:r>
          </w:p>
        </w:tc>
      </w:tr>
    </w:tbl>
    <w:p w:rsidR="00000000" w:rsidRDefault="008325ED">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w:t>
      </w:r>
      <w:r>
        <w:rPr>
          <w:sz w:val="20"/>
          <w:szCs w:val="20"/>
        </w:rPr>
        <w:t>ll was $4.8 million and $5.9 million as of June 30, 2021 and December 31, 2020, respectively, all of which was related to the Company's CoreCivic Safety segment.  This goodwill was established in connection with multiple business combination transactions. </w:t>
      </w: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Under the provisions of ASU 2017-04, CoreCivic performs a qualitative assessment to determine whether the existence of events or circumstances leads to a determination that it is more likely than not that the fair value of a reporting unit is less than i</w:t>
      </w:r>
      <w:r>
        <w:rPr>
          <w:sz w:val="20"/>
          <w:szCs w:val="20"/>
        </w:rPr>
        <w:t>ts carrying amount.  If, after assessing the totality of events or circumstances, the Company determines it is more likely than not that the fair value of a reporting unit is less than its carrying amount, then the Company performs a quantitative impairmen</w:t>
      </w:r>
      <w:r>
        <w:rPr>
          <w:sz w:val="20"/>
          <w:szCs w:val="20"/>
        </w:rPr>
        <w:t>t test.  If a quantitative test is required, CoreCivic performs an assessment to identify the existence of impairment and to measure the excess of a reporting unit's carrying amount over its fair value by using a combination of various common valuation tec</w:t>
      </w:r>
      <w:r>
        <w:rPr>
          <w:sz w:val="20"/>
          <w:szCs w:val="20"/>
        </w:rPr>
        <w:t>hniques, including market multiples and discounted cash flows under valuation methodologies that include an income approach and a market approach. The income valuation approach includes certain significant assumptions impacting projected future cash flows,</w:t>
      </w:r>
      <w:r>
        <w:rPr>
          <w:sz w:val="20"/>
          <w:szCs w:val="20"/>
        </w:rPr>
        <w:t xml:space="preserve"> such as projected revenue, projected operating costs, and the weighted average cost of capital, which are affected by expectations about future market or economic conditions.  These impairment tests are required to be performed at least annually.  CoreCiv</w:t>
      </w:r>
      <w:r>
        <w:rPr>
          <w:sz w:val="20"/>
          <w:szCs w:val="20"/>
        </w:rPr>
        <w:t>ic performs its impairment tests during the fourth quarter in connection with its annual budgeting process, and whenever circumstances indicate the carrying value of goodwill may not be recoverable.</w:t>
      </w:r>
      <w:r>
        <w:t>   </w:t>
      </w:r>
    </w:p>
    <w:p w:rsidR="00000000" w:rsidRDefault="008325ED">
      <w:pPr>
        <w:pStyle w:val="a3"/>
        <w:spacing w:before="240" w:beforeAutospacing="0" w:after="0" w:afterAutospacing="0"/>
        <w:ind w:left="476"/>
        <w:jc w:val="both"/>
        <w:rPr>
          <w:sz w:val="20"/>
          <w:szCs w:val="20"/>
        </w:rPr>
      </w:pPr>
      <w:r>
        <w:rPr>
          <w:sz w:val="20"/>
          <w:szCs w:val="20"/>
        </w:rPr>
        <w:t>CoreCivic expects its managed-only contract for the 1,</w:t>
      </w:r>
      <w:r>
        <w:rPr>
          <w:sz w:val="20"/>
          <w:szCs w:val="20"/>
        </w:rPr>
        <w:t>030-bed Marion County Jail in Indianapolis, Indiana to be terminated and operations to be transitioned to Marion County.  Marion County is constructing a replacement facility that is currently expected to be complete near the end of 2021.  The County inten</w:t>
      </w:r>
      <w:r>
        <w:rPr>
          <w:sz w:val="20"/>
          <w:szCs w:val="20"/>
        </w:rPr>
        <w:t>ds to redevelop the property where the Marion County Jail is located, and CoreCivic received notice in the second quarter of 2021 that the County intends to terminate the management contract effective December 31, 2021.  As a result of this expected contra</w:t>
      </w:r>
      <w:r>
        <w:rPr>
          <w:sz w:val="20"/>
          <w:szCs w:val="20"/>
        </w:rPr>
        <w:t>ct termination, during the second quarter of 2021, the Company recognized an asset impairment charge of $2.9 million, including $1.1 million for goodwill and $1.8 million for other assets, associated with this managed-only facility's reporting unit.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79468573"/>
        </w:trPr>
        <w:tc>
          <w:tcPr>
            <w:tcW w:w="227" w:type="pct"/>
            <w:noWrap/>
            <w:hideMark/>
          </w:tcPr>
          <w:p w:rsidR="00000000" w:rsidRDefault="008325ED">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REAL ESTATE TRANSACTIONS</w:t>
            </w:r>
          </w:p>
        </w:tc>
      </w:tr>
    </w:tbl>
    <w:p w:rsidR="00000000" w:rsidRDefault="008325ED">
      <w:pPr>
        <w:pStyle w:val="a3"/>
        <w:spacing w:before="120" w:beforeAutospacing="0" w:after="0" w:afterAutospacing="0"/>
        <w:ind w:left="476"/>
        <w:jc w:val="both"/>
        <w:rPr>
          <w:b/>
          <w:bCs/>
          <w:sz w:val="20"/>
          <w:szCs w:val="20"/>
        </w:rPr>
      </w:pPr>
      <w:r>
        <w:rPr>
          <w:b/>
          <w:bCs/>
          <w:sz w:val="20"/>
          <w:szCs w:val="20"/>
        </w:rPr>
        <w:t>Acquisitions and Dispositions</w:t>
      </w:r>
    </w:p>
    <w:p w:rsidR="00000000" w:rsidRDefault="008325ED">
      <w:pPr>
        <w:pStyle w:val="a3"/>
        <w:spacing w:before="240" w:beforeAutospacing="0" w:after="0" w:afterAutospacing="0"/>
        <w:ind w:left="476"/>
        <w:jc w:val="both"/>
        <w:rPr>
          <w:sz w:val="20"/>
          <w:szCs w:val="20"/>
        </w:rPr>
      </w:pPr>
      <w:r>
        <w:rPr>
          <w:sz w:val="20"/>
          <w:szCs w:val="20"/>
        </w:rPr>
        <w:t>On January 2, 2020, CoreCivic completed the acquisition of a portfolio of 28 properties, 24 of which the counter-party contributed to Government Real Estate Solutions, LLC ("GRES"), an unrestricted su</w:t>
      </w:r>
      <w:r>
        <w:rPr>
          <w:sz w:val="20"/>
          <w:szCs w:val="20"/>
        </w:rPr>
        <w:t>bsidiary controlled by the Company, for total consideration of $83.2 million, excluding transaction-related expenses.  All of the properties were leased to the federal government through the General Services Administration ("GSA"), an independent agency of</w:t>
      </w:r>
      <w:r>
        <w:rPr>
          <w:sz w:val="20"/>
          <w:szCs w:val="20"/>
        </w:rPr>
        <w:t xml:space="preserve"> the United States Government. CoreCivic financed the acquisition with $7.7 million of cash, assumed debt of $52.2 million, and the balance with the issuance of 1.3 million shares of Class A Common Interests in GRES that are convertible into cash or, at th</w:t>
      </w:r>
      <w:r>
        <w:rPr>
          <w:sz w:val="20"/>
          <w:szCs w:val="20"/>
        </w:rPr>
        <w:t>e Company's option, shares of the Company's common stock following a</w:t>
      </w:r>
      <w:r>
        <w:rPr>
          <w:sz w:val="20"/>
          <w:szCs w:val="20"/>
        </w:rPr>
        <w:t xml:space="preserve"> </w:t>
      </w:r>
      <w:r>
        <w:rPr>
          <w:sz w:val="20"/>
          <w:szCs w:val="20"/>
        </w:rPr>
        <w:t>two-yea</w:t>
      </w:r>
      <w:r>
        <w:rPr>
          <w:sz w:val="20"/>
          <w:szCs w:val="20"/>
        </w:rPr>
        <w:t>r</w:t>
      </w:r>
      <w:r>
        <w:rPr>
          <w:sz w:val="20"/>
          <w:szCs w:val="20"/>
        </w:rPr>
        <w:t xml:space="preserve"> holding period on a one-for-one basis (the "Operating Partnership Units"), using a partnership structure. In allocating the purchase price of the acquisition, CoreCivic recorded </w:t>
      </w:r>
      <w:r>
        <w:rPr>
          <w:sz w:val="20"/>
          <w:szCs w:val="20"/>
        </w:rPr>
        <w:t xml:space="preserve">$77.4 million of net tangible assets, $7.5 million of identifiable intangible assets, and $4.9 million of tenant improvements. </w:t>
      </w:r>
    </w:p>
    <w:p w:rsidR="00000000" w:rsidRDefault="008325ED">
      <w:pPr>
        <w:pStyle w:val="a3"/>
        <w:spacing w:before="240" w:beforeAutospacing="0" w:after="0" w:afterAutospacing="0"/>
        <w:ind w:left="476"/>
        <w:jc w:val="both"/>
        <w:rPr>
          <w:sz w:val="20"/>
          <w:szCs w:val="20"/>
        </w:rPr>
      </w:pPr>
      <w:r>
        <w:rPr>
          <w:sz w:val="20"/>
          <w:szCs w:val="20"/>
        </w:rPr>
        <w:t xml:space="preserve">On December 23, 2020, CoreCivic completed the sale of 42 government-leased properties, including the portfolio of 28 properties </w:t>
      </w:r>
      <w:r>
        <w:rPr>
          <w:sz w:val="20"/>
          <w:szCs w:val="20"/>
        </w:rPr>
        <w:t xml:space="preserve">acquired in 2020 and the remaining properties acquired in 2017 and 2018, in a single transaction to a third party for an aggregate price of $106.5 million, generating net proceeds of $27.8 million after the repayment of the debt related to GRES, and other </w:t>
      </w:r>
      <w:r>
        <w:rPr>
          <w:sz w:val="20"/>
          <w:szCs w:val="20"/>
        </w:rPr>
        <w:t>transaction-related costs. Net cash proceeds were used to pay-down a portion of the amounts outstanding under the Company's revolving credit facility. In accordance with a Tax Protection Agreement, the Company agreed to provide certain tax protection payme</w:t>
      </w:r>
      <w:r>
        <w:rPr>
          <w:sz w:val="20"/>
          <w:szCs w:val="20"/>
        </w:rPr>
        <w:t>nts to the contributing partners of GRES, limited to the cash and certain other resources held by GRES.  After recognizing the tax protection payments in connection with this sale, the Company reported a net loss on sale of $17.9 million.</w:t>
      </w:r>
    </w:p>
    <w:p w:rsidR="00000000" w:rsidRDefault="008325ED">
      <w:pPr>
        <w:pStyle w:val="a3"/>
        <w:spacing w:before="240" w:beforeAutospacing="0" w:after="0" w:afterAutospacing="0"/>
        <w:jc w:val="center"/>
        <w:rPr>
          <w:sz w:val="20"/>
          <w:szCs w:val="20"/>
        </w:rPr>
      </w:pPr>
      <w:r>
        <w:rPr>
          <w:sz w:val="20"/>
          <w:szCs w:val="20"/>
        </w:rPr>
        <w:t>8</w:t>
      </w:r>
    </w:p>
    <w:p w:rsidR="00000000" w:rsidRDefault="008325ED">
      <w:pPr>
        <w:rPr>
          <w:rFonts w:eastAsia="Times New Roman"/>
        </w:rPr>
      </w:pPr>
      <w:r>
        <w:rPr>
          <w:rFonts w:eastAsia="Times New Roman"/>
        </w:rPr>
        <w:pict>
          <v:rect id="_x0000_i1034"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CoreCivic determined that its joint venture investment in GRES represents a variable interest entity ("VIE") in accordance with ASC 810, "Consolidation".  CoreCivic has 100% voting control in GRES. Accordingly, CoreCivic concluded t</w:t>
      </w:r>
      <w:r>
        <w:rPr>
          <w:sz w:val="20"/>
          <w:szCs w:val="20"/>
        </w:rPr>
        <w:t>hat it is the primary beneficiary of GRES and consolidates the VIE.  The primary beneficiary is the entity that has (i) the power to direct the activities that most significantly impact the entity's economic performance and (ii) the obligation to absorb lo</w:t>
      </w:r>
      <w:r>
        <w:rPr>
          <w:sz w:val="20"/>
          <w:szCs w:val="20"/>
        </w:rPr>
        <w:t>sses of the VIE or the right to receive benefits from the VIE that could be significant to the VIE.  Our consolidated balance sheet as of June 30, 2021</w:t>
      </w:r>
      <w:r>
        <w:rPr>
          <w:rFonts w:ascii="inherit" w:hAnsi="inherit"/>
          <w:sz w:val="20"/>
          <w:szCs w:val="20"/>
        </w:rPr>
        <w:t xml:space="preserve"> </w:t>
      </w:r>
      <w:r>
        <w:rPr>
          <w:sz w:val="20"/>
          <w:szCs w:val="20"/>
        </w:rPr>
        <w:t>includes property and equipment, net of accumulated depreciation, of $6.3 million related to GRES.  Duri</w:t>
      </w:r>
      <w:r>
        <w:rPr>
          <w:sz w:val="20"/>
          <w:szCs w:val="20"/>
        </w:rPr>
        <w:t>ng June 2021, CoreCivic provided notice to the partners of GRES of its intent to distribute the remaining assets and dissolve the partnership.  CoreCivic currently expects GRES to be terminated during the third quarter of 2021, and to extinguish the Operat</w:t>
      </w:r>
      <w:r>
        <w:rPr>
          <w:sz w:val="20"/>
          <w:szCs w:val="20"/>
        </w:rPr>
        <w:t>ing Partnership Units for no consideration, which will result in an increase to equity upon termination of the partnership of $15.0 million to $20.0 million.</w:t>
      </w:r>
    </w:p>
    <w:p w:rsidR="00000000" w:rsidRDefault="008325ED">
      <w:pPr>
        <w:pStyle w:val="a3"/>
        <w:spacing w:before="240" w:beforeAutospacing="0" w:after="0" w:afterAutospacing="0"/>
        <w:ind w:left="476"/>
        <w:jc w:val="both"/>
        <w:rPr>
          <w:sz w:val="20"/>
          <w:szCs w:val="20"/>
        </w:rPr>
      </w:pPr>
      <w:r>
        <w:rPr>
          <w:sz w:val="20"/>
          <w:szCs w:val="20"/>
        </w:rPr>
        <w:t>On May 28, 2021, CoreCivic completed the sale of two leased properties, the Capital Commerce Cente</w:t>
      </w:r>
      <w:r>
        <w:rPr>
          <w:sz w:val="20"/>
          <w:szCs w:val="20"/>
        </w:rPr>
        <w:t>r, primarily leased to an agency of the State of Florida in Tallahassee, Florida, and a warehouse property leased to the GSA in Dayton, Ohio, in a single transaction to a third party for an aggregate price of $73.0 million, generating net proceeds of $46.2</w:t>
      </w:r>
      <w:r>
        <w:rPr>
          <w:sz w:val="20"/>
          <w:szCs w:val="20"/>
        </w:rPr>
        <w:t xml:space="preserve"> million after the repayment of the debt related to the Capital Commerce Center and other transaction-related costs.  In addition, on June 29, 2021, the Company completed the sale of</w:t>
      </w:r>
      <w:r>
        <w:rPr>
          <w:sz w:val="20"/>
          <w:szCs w:val="20"/>
        </w:rPr>
        <w:t xml:space="preserve"> </w:t>
      </w:r>
      <w:r>
        <w:rPr>
          <w:sz w:val="20"/>
          <w:szCs w:val="20"/>
        </w:rPr>
        <w:t>a</w:t>
      </w:r>
      <w:r>
        <w:rPr>
          <w:sz w:val="20"/>
          <w:szCs w:val="20"/>
        </w:rPr>
        <w:t xml:space="preserve"> property leased to the GSA in Baltimore, Maryland to a third party for </w:t>
      </w:r>
      <w:r>
        <w:rPr>
          <w:sz w:val="20"/>
          <w:szCs w:val="20"/>
        </w:rPr>
        <w:t>a price of $253.0 million, generating net proceeds of $76.4 million after the repayment of the debt related to the Baltimore property and other transaction-related costs.  After repayment of the non-recourse mortgage notes, remaining net cash proceeds from</w:t>
      </w:r>
      <w:r>
        <w:rPr>
          <w:sz w:val="20"/>
          <w:szCs w:val="20"/>
        </w:rPr>
        <w:t xml:space="preserve"> the sale of these three leased properties, which were previously classified as held for sale, were used to pay-down a portion of the amounts outstanding under the Company's revolving credit facility. The Company recognized a total net gain on the sales of</w:t>
      </w:r>
      <w:r>
        <w:rPr>
          <w:sz w:val="20"/>
          <w:szCs w:val="20"/>
        </w:rPr>
        <w:t xml:space="preserve"> these three properties in the second quarter of 2021 of $38.9 million.  Further, during the second quarter of 2021, the Company completed the sales of two additional idle properties, as further described hereafter.</w:t>
      </w:r>
    </w:p>
    <w:p w:rsidR="00000000" w:rsidRDefault="008325ED">
      <w:pPr>
        <w:pStyle w:val="a3"/>
        <w:spacing w:before="240" w:beforeAutospacing="0" w:after="0" w:afterAutospacing="0"/>
        <w:ind w:left="476"/>
        <w:jc w:val="both"/>
        <w:rPr>
          <w:b/>
          <w:bCs/>
          <w:sz w:val="20"/>
          <w:szCs w:val="20"/>
        </w:rPr>
      </w:pPr>
      <w:r>
        <w:rPr>
          <w:b/>
          <w:bCs/>
          <w:sz w:val="20"/>
          <w:szCs w:val="20"/>
        </w:rPr>
        <w:t>Idle Facilities</w:t>
      </w:r>
    </w:p>
    <w:p w:rsidR="00000000" w:rsidRDefault="008325ED">
      <w:pPr>
        <w:pStyle w:val="a3"/>
        <w:spacing w:before="120" w:beforeAutospacing="0" w:after="0" w:afterAutospacing="0"/>
        <w:ind w:left="476"/>
        <w:jc w:val="both"/>
        <w:rPr>
          <w:sz w:val="20"/>
          <w:szCs w:val="20"/>
        </w:rPr>
      </w:pPr>
      <w:r>
        <w:rPr>
          <w:sz w:val="20"/>
          <w:szCs w:val="20"/>
        </w:rPr>
        <w:t>As of June 30, 2021, Cor</w:t>
      </w:r>
      <w:r>
        <w:rPr>
          <w:sz w:val="20"/>
          <w:szCs w:val="20"/>
        </w:rPr>
        <w:t xml:space="preserve">eCivic had five idled CoreCivic Safety correctional facilities that are currently available and being actively marketed as solutions to meet the needs of potential customers. The following table summarizes each of the idled facilities and their respective </w:t>
      </w:r>
      <w:r>
        <w:rPr>
          <w:sz w:val="20"/>
          <w:szCs w:val="20"/>
        </w:rPr>
        <w:t xml:space="preserve">carrying values, </w:t>
      </w:r>
      <w:r>
        <w:rPr>
          <w:color w:val="000000"/>
          <w:sz w:val="20"/>
          <w:szCs w:val="20"/>
          <w:shd w:val="clear" w:color="auto" w:fill="FFFFFF"/>
        </w:rPr>
        <w:t>excluding equipment and other assets that could generally be transferred and used at other facilities CoreCivic owns without significant cost (dollars in thousands)</w:t>
      </w:r>
      <w:r>
        <w:rPr>
          <w:sz w:val="20"/>
          <w:szCs w:val="20"/>
        </w:rPr>
        <w:t>:</w:t>
      </w:r>
    </w:p>
    <w:p w:rsidR="00000000" w:rsidRDefault="008325ED">
      <w:pPr>
        <w:pStyle w:val="a3"/>
        <w:spacing w:before="12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20"/>
        <w:gridCol w:w="65"/>
        <w:gridCol w:w="66"/>
        <w:gridCol w:w="575"/>
        <w:gridCol w:w="65"/>
        <w:gridCol w:w="65"/>
        <w:gridCol w:w="115"/>
        <w:gridCol w:w="665"/>
        <w:gridCol w:w="65"/>
        <w:gridCol w:w="65"/>
        <w:gridCol w:w="116"/>
        <w:gridCol w:w="867"/>
        <w:gridCol w:w="65"/>
      </w:tblGrid>
      <w:tr w:rsidR="00000000">
        <w:trPr>
          <w:divId w:val="218440767"/>
        </w:trPr>
        <w:tc>
          <w:tcPr>
            <w:tcW w:w="288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pPr>
            <w: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38"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295" w:type="pct"/>
            <w:gridSpan w:val="6"/>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Net Carrying Values</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18440767"/>
        </w:trPr>
        <w:tc>
          <w:tcPr>
            <w:tcW w:w="288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88" w:type="pct"/>
            <w:gridSpan w:val="2"/>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18440767"/>
        </w:trPr>
        <w:tc>
          <w:tcPr>
            <w:tcW w:w="2880"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Facility</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7" w:type="pct"/>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88"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18440767"/>
        </w:trPr>
        <w:tc>
          <w:tcPr>
            <w:tcW w:w="2880" w:type="pct"/>
            <w:tcBorders>
              <w:top w:val="single" w:sz="6" w:space="0" w:color="000000"/>
            </w:tcBorders>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Prairie Correctional Facility</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14,231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14,646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218440767"/>
        </w:trPr>
        <w:tc>
          <w:tcPr>
            <w:tcW w:w="288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Huerfano County Correctional Center</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15,565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15,895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218440767"/>
        </w:trPr>
        <w:tc>
          <w:tcPr>
            <w:tcW w:w="288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Diamondback Correctional Facility</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37,492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38,346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218440767"/>
        </w:trPr>
        <w:tc>
          <w:tcPr>
            <w:tcW w:w="288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Marion Adjustment Center</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10,957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11,047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218440767"/>
        </w:trPr>
        <w:tc>
          <w:tcPr>
            <w:tcW w:w="288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Kit Carson Correctional Center</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51,860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52,757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218440767"/>
        </w:trPr>
        <w:tc>
          <w:tcPr>
            <w:tcW w:w="288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6,826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130,105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7"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38"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132,691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ind w:left="476"/>
        <w:jc w:val="both"/>
        <w:rPr>
          <w:sz w:val="20"/>
          <w:szCs w:val="20"/>
        </w:rPr>
      </w:pPr>
      <w:r>
        <w:rPr>
          <w:sz w:val="20"/>
          <w:szCs w:val="20"/>
        </w:rPr>
        <w:t>As of June 30, 2021,</w:t>
      </w:r>
      <w:r>
        <w:t xml:space="preserve"> </w:t>
      </w:r>
      <w:r>
        <w:rPr>
          <w:sz w:val="20"/>
          <w:szCs w:val="20"/>
        </w:rPr>
        <w:t>CoreCivic also had one idled non-core facility in its Safety segment containing 240 beds with a net book value of $3.0 million; four facilities in its Community segment, containing an aggregate of 740 beds with an aggregate net book va</w:t>
      </w:r>
      <w:r>
        <w:rPr>
          <w:sz w:val="20"/>
          <w:szCs w:val="20"/>
        </w:rPr>
        <w:t>lue of $13.6 million; and one previously leased property in its Properties segment, containing 37,000 square feet with a net book value of $6.3 million.  </w:t>
      </w:r>
    </w:p>
    <w:p w:rsidR="00000000" w:rsidRDefault="008325ED">
      <w:pPr>
        <w:pStyle w:val="a3"/>
        <w:spacing w:before="240" w:beforeAutospacing="0" w:after="0" w:afterAutospacing="0"/>
        <w:ind w:left="476"/>
        <w:jc w:val="both"/>
        <w:rPr>
          <w:sz w:val="20"/>
          <w:szCs w:val="20"/>
        </w:rPr>
      </w:pPr>
      <w:r>
        <w:rPr>
          <w:sz w:val="20"/>
          <w:szCs w:val="20"/>
        </w:rPr>
        <w:t xml:space="preserve">CoreCivic incurred approximately $2.0 million and $1.9 million in operating expenses at all of these </w:t>
      </w:r>
      <w:r>
        <w:rPr>
          <w:sz w:val="20"/>
          <w:szCs w:val="20"/>
        </w:rPr>
        <w:t>idled facilities for the period they were idle during the three months ended June 30, 2021 and 2020, respectively.  CoreCivic incurred approximately $4.1 million and $3.7 million in operating expenses at all of these idled facilities for the period they we</w:t>
      </w:r>
      <w:r>
        <w:rPr>
          <w:sz w:val="20"/>
          <w:szCs w:val="20"/>
        </w:rPr>
        <w:t>re idle during the six months ended June 30, 2021 and 2020, respectively.</w:t>
      </w:r>
    </w:p>
    <w:p w:rsidR="00000000" w:rsidRDefault="008325ED">
      <w:pPr>
        <w:pStyle w:val="a3"/>
        <w:spacing w:before="240" w:beforeAutospacing="0" w:after="0" w:afterAutospacing="0"/>
        <w:jc w:val="center"/>
        <w:rPr>
          <w:sz w:val="20"/>
          <w:szCs w:val="20"/>
        </w:rPr>
      </w:pPr>
      <w:r>
        <w:rPr>
          <w:sz w:val="20"/>
          <w:szCs w:val="20"/>
        </w:rPr>
        <w:t>9</w:t>
      </w:r>
    </w:p>
    <w:p w:rsidR="00000000" w:rsidRDefault="008325ED">
      <w:pPr>
        <w:rPr>
          <w:rFonts w:eastAsia="Times New Roman"/>
        </w:rPr>
      </w:pPr>
      <w:r>
        <w:rPr>
          <w:rFonts w:eastAsia="Times New Roman"/>
        </w:rPr>
        <w:pict>
          <v:rect id="_x0000_i1035"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Two of the four idled facilities in the CoreCivic Community segment are located in Oklahoma. As a result of the lower resident populations from the state of Oklahoma because of COVID-19, CoreCivic transferred the remai</w:t>
      </w:r>
      <w:r>
        <w:rPr>
          <w:sz w:val="20"/>
          <w:szCs w:val="20"/>
        </w:rPr>
        <w:t>ning resident populations at its 390-bed Tulsa Transitional Center to Oklahoma's system, idling the Tulsa facility during the third quarter of 2020.  Closure of the Tulsa facility followed the closure of the 200-bed Oklahoma City Transitional Center during</w:t>
      </w:r>
      <w:r>
        <w:rPr>
          <w:sz w:val="20"/>
          <w:szCs w:val="20"/>
        </w:rPr>
        <w:t xml:space="preserve"> the second quarter of 2020, and the 289-bed Turley Residential Center in Oklahoma in 2019.  CoreCivic reactivated the Turley Residential Center during the first quarter of 2021 pursuant to a new contract awarded from the United States Federal Bureau of Pr</w:t>
      </w:r>
      <w:r>
        <w:rPr>
          <w:sz w:val="20"/>
          <w:szCs w:val="20"/>
        </w:rPr>
        <w:t>isons ("BOP") during the fourth quarter of 2020 for residential reentry and home confinement services to be provided in the state of Oklahoma, and provides the BOP additional reentry services at its owned and operated Oklahoma Reentry Opportunity Center, w</w:t>
      </w:r>
      <w:r>
        <w:rPr>
          <w:sz w:val="20"/>
          <w:szCs w:val="20"/>
        </w:rPr>
        <w:t>hich supplements the existing utilization by the state of Oklahoma, pursuant to this new contract.  During April 2021, as a result of lower resident populations from Denver County because of COVID-19, CoreCivic transferred the resident populations at its 9</w:t>
      </w:r>
      <w:r>
        <w:rPr>
          <w:sz w:val="20"/>
          <w:szCs w:val="20"/>
        </w:rPr>
        <w:t>0-bed Ulster Facility in Colorado to its Dahlia Facility in Colorado, idling the Ulster Facility.  The fourth idle facility in the Community segment, the 60-bed Columbine Facility located in Colorado, was idled in the second quarter of 2020.  </w:t>
      </w:r>
    </w:p>
    <w:p w:rsidR="00000000" w:rsidRDefault="008325ED">
      <w:pPr>
        <w:pStyle w:val="a3"/>
        <w:spacing w:before="240" w:beforeAutospacing="0" w:after="0" w:afterAutospacing="0"/>
        <w:ind w:left="476"/>
        <w:jc w:val="both"/>
        <w:rPr>
          <w:sz w:val="20"/>
          <w:szCs w:val="20"/>
        </w:rPr>
      </w:pPr>
      <w:r>
        <w:rPr>
          <w:sz w:val="20"/>
          <w:szCs w:val="20"/>
        </w:rPr>
        <w:t>On May 24, 2</w:t>
      </w:r>
      <w:r>
        <w:rPr>
          <w:sz w:val="20"/>
          <w:szCs w:val="20"/>
        </w:rPr>
        <w:t>021, CoreCivic completed the sale of an idled 12,000 square foot non-core property located in St. Louis, Missouri, with a net book value of $0.8 million at the time of the sale, for net proceeds of $0.6 million, resulting in a net loss on sale of $0.2 mill</w:t>
      </w:r>
      <w:r>
        <w:rPr>
          <w:sz w:val="20"/>
          <w:szCs w:val="20"/>
        </w:rPr>
        <w:t>ion.  In addition, on June 25, 2021, CoreCivic completed the sale of an idled 18,000 square foot non-core property, located in Philadelphia, Pennsylvania, for a price of $2.0 million, generating net proceeds of $1.8 million.   The carrying value of the Phi</w:t>
      </w:r>
      <w:r>
        <w:rPr>
          <w:sz w:val="20"/>
          <w:szCs w:val="20"/>
        </w:rPr>
        <w:t xml:space="preserve">ladelphia property of $1.8 million was classified as held for sale at March 31, 2021.  Pursuant to an agreement to sell the Philadelphia property, in the first quarter of 2021, CoreCivic recognized an impairment charge of $1.3 million associated with this </w:t>
      </w:r>
      <w:r>
        <w:rPr>
          <w:sz w:val="20"/>
          <w:szCs w:val="20"/>
        </w:rPr>
        <w:t>facility, based on its estimated net realizable value less costs to sell.  Both the St. Louis and Philadelphia properties were formerly leased to third party lessees in the CoreCivic Properties segment.</w:t>
      </w:r>
    </w:p>
    <w:p w:rsidR="00000000" w:rsidRDefault="008325ED">
      <w:pPr>
        <w:pStyle w:val="a3"/>
        <w:spacing w:before="240" w:beforeAutospacing="0" w:after="0" w:afterAutospacing="0"/>
        <w:ind w:left="476"/>
        <w:jc w:val="both"/>
        <w:rPr>
          <w:sz w:val="20"/>
          <w:szCs w:val="20"/>
        </w:rPr>
      </w:pPr>
      <w:r>
        <w:rPr>
          <w:sz w:val="20"/>
          <w:szCs w:val="20"/>
        </w:rPr>
        <w:t xml:space="preserve">CoreCivic </w:t>
      </w:r>
      <w:r>
        <w:rPr>
          <w:color w:val="000000"/>
          <w:sz w:val="20"/>
          <w:szCs w:val="20"/>
          <w:shd w:val="clear" w:color="auto" w:fill="FFFFFF"/>
        </w:rPr>
        <w:t>evaluates on a quarterly basis market devel</w:t>
      </w:r>
      <w:r>
        <w:rPr>
          <w:color w:val="000000"/>
          <w:sz w:val="20"/>
          <w:szCs w:val="20"/>
          <w:shd w:val="clear" w:color="auto" w:fill="FFFFFF"/>
        </w:rPr>
        <w:t>opments for the potential utilization of each of these properties in order to identify events that may cause CoreCivic to reconsider its most recent assumptions, such as the agreement to sell a property at less than its carrying value.  CoreCivic considers</w:t>
      </w:r>
      <w:r>
        <w:rPr>
          <w:color w:val="000000"/>
          <w:sz w:val="20"/>
          <w:szCs w:val="20"/>
          <w:shd w:val="clear" w:color="auto" w:fill="FFFFFF"/>
        </w:rPr>
        <w:t xml:space="preserve"> the cancellation of a contract in its Safety or Community segment or an expiration and non-renewal of a lease agreement in its CoreCivic Properties segment as indicators of impairment, and tested each of the idled properties for impairment when it was not</w:t>
      </w:r>
      <w:r>
        <w:rPr>
          <w:color w:val="000000"/>
          <w:sz w:val="20"/>
          <w:szCs w:val="20"/>
          <w:shd w:val="clear" w:color="auto" w:fill="FFFFFF"/>
        </w:rPr>
        <w:t>ified by the respective</w:t>
      </w:r>
      <w:r>
        <w:rPr>
          <w:sz w:val="20"/>
          <w:szCs w:val="20"/>
        </w:rPr>
        <w:t xml:space="preserve"> customers or tenants that they would no longer be utilizing such property.</w:t>
      </w:r>
      <w:r>
        <w:rPr>
          <w:color w:val="000000"/>
          <w:sz w:val="20"/>
          <w:szCs w:val="20"/>
          <w:shd w:val="clear" w:color="auto" w:fill="FFFFFF"/>
        </w:rPr>
        <w:t xml:space="preserve"> </w:t>
      </w:r>
    </w:p>
    <w:p w:rsidR="00000000" w:rsidRDefault="008325ED">
      <w:pPr>
        <w:pStyle w:val="a3"/>
        <w:spacing w:before="0" w:beforeAutospacing="0" w:after="0" w:afterAutospacing="0"/>
        <w:rPr>
          <w:sz w:val="20"/>
          <w:szCs w:val="20"/>
        </w:rPr>
      </w:pPr>
    </w:p>
    <w:p w:rsidR="00000000" w:rsidRDefault="008325ED">
      <w:pPr>
        <w:pStyle w:val="a3"/>
        <w:spacing w:before="240" w:beforeAutospacing="0" w:after="0" w:afterAutospacing="0"/>
        <w:jc w:val="center"/>
        <w:rPr>
          <w:sz w:val="20"/>
          <w:szCs w:val="20"/>
        </w:rPr>
      </w:pPr>
      <w:r>
        <w:rPr>
          <w:sz w:val="20"/>
          <w:szCs w:val="20"/>
        </w:rPr>
        <w:t>10</w:t>
      </w:r>
    </w:p>
    <w:p w:rsidR="00000000" w:rsidRDefault="008325ED">
      <w:pPr>
        <w:rPr>
          <w:rFonts w:eastAsia="Times New Roman"/>
        </w:rPr>
      </w:pPr>
      <w:r>
        <w:rPr>
          <w:rFonts w:eastAsia="Times New Roman"/>
        </w:rPr>
        <w:pict>
          <v:rect id="_x0000_i1036"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97608346"/>
        </w:trPr>
        <w:tc>
          <w:tcPr>
            <w:tcW w:w="227" w:type="pct"/>
            <w:noWrap/>
            <w:hideMark/>
          </w:tcPr>
          <w:p w:rsidR="00000000" w:rsidRDefault="008325ED">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DEBT</w:t>
            </w:r>
          </w:p>
        </w:tc>
      </w:tr>
    </w:tbl>
    <w:p w:rsidR="00000000" w:rsidRDefault="008325ED">
      <w:pPr>
        <w:pStyle w:val="a3"/>
        <w:spacing w:before="120" w:beforeAutospacing="0" w:after="0" w:afterAutospacing="0"/>
        <w:ind w:left="476"/>
        <w:jc w:val="both"/>
        <w:rPr>
          <w:sz w:val="20"/>
          <w:szCs w:val="20"/>
        </w:rPr>
      </w:pPr>
      <w:r>
        <w:rPr>
          <w:sz w:val="20"/>
          <w:szCs w:val="20"/>
        </w:rPr>
        <w:t xml:space="preserve">Debt outstanding as of June 30, 2021 and December 31, 2020 consisted of the following (in thousands): </w:t>
      </w:r>
    </w:p>
    <w:p w:rsidR="00000000" w:rsidRDefault="008325ED">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pPr>
            <w: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center"/>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Revolving Credit Facility 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w:t>
            </w:r>
          </w:p>
          <w:p w:rsidR="00000000" w:rsidRDefault="008325ED">
            <w:pPr>
              <w:pStyle w:val="a3"/>
              <w:spacing w:before="0" w:beforeAutospacing="0" w:after="0" w:afterAutospacing="0"/>
              <w:rPr>
                <w:color w:val="000000"/>
                <w:sz w:val="20"/>
                <w:szCs w:val="20"/>
              </w:rPr>
            </w:pPr>
            <w:r>
              <w:rPr>
                <w:color w:val="000000"/>
                <w:sz w:val="20"/>
                <w:szCs w:val="20"/>
              </w:rPr>
              <w:t>    periodically at variable interest rates. The weighted average rate</w:t>
            </w:r>
          </w:p>
          <w:p w:rsidR="00000000" w:rsidRDefault="008325ED">
            <w:pPr>
              <w:pStyle w:val="a3"/>
              <w:spacing w:before="0" w:beforeAutospacing="0" w:after="0" w:afterAutospacing="0"/>
              <w:rPr>
                <w:color w:val="000000"/>
                <w:sz w:val="20"/>
                <w:szCs w:val="20"/>
              </w:rPr>
            </w:pPr>
            <w:r>
              <w:rPr>
                <w:color w:val="000000"/>
                <w:sz w:val="20"/>
                <w:szCs w:val="20"/>
              </w:rPr>
              <w:t>    at June 30, 2021 and December 31, 2020 was 1.6% and 1.7%,</w:t>
            </w:r>
          </w:p>
          <w:p w:rsidR="00000000" w:rsidRDefault="008325ED">
            <w:pPr>
              <w:pStyle w:val="a3"/>
              <w:spacing w:before="0" w:beforeAutospacing="0" w:after="0" w:afterAutospacing="0"/>
              <w:rPr>
                <w:color w:val="000000"/>
                <w:sz w:val="20"/>
                <w:szCs w:val="20"/>
              </w:rPr>
            </w:pPr>
            <w:r>
              <w:rPr>
                <w:color w:val="000000"/>
                <w:sz w:val="20"/>
                <w:szCs w:val="20"/>
              </w:rPr>
              <w:t>    respectively.</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112,000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219,000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xml:space="preserve">Term Loan A </w:t>
            </w:r>
            <w:r>
              <w:rPr>
                <w:color w:val="000000"/>
                <w:sz w:val="20"/>
                <w:szCs w:val="20"/>
              </w:rPr>
              <w:t>maturing</w:t>
            </w:r>
            <w:r>
              <w:rPr>
                <w:color w:val="000000"/>
                <w:sz w:val="20"/>
                <w:szCs w:val="20"/>
              </w:rPr>
              <w:t xml:space="preserve"> </w:t>
            </w:r>
            <w:r>
              <w:rPr>
                <w:color w:val="000000"/>
                <w:sz w:val="20"/>
                <w:szCs w:val="20"/>
              </w:rPr>
              <w:t>April 202</w:t>
            </w:r>
            <w:r>
              <w:rPr>
                <w:color w:val="000000"/>
                <w:sz w:val="20"/>
                <w:szCs w:val="20"/>
              </w:rPr>
              <w:t>3</w:t>
            </w:r>
            <w:r>
              <w:rPr>
                <w:color w:val="000000"/>
                <w:sz w:val="20"/>
                <w:szCs w:val="20"/>
              </w:rPr>
              <w:t>.  Interest payable periodically at</w:t>
            </w:r>
          </w:p>
          <w:p w:rsidR="00000000" w:rsidRDefault="008325ED">
            <w:pPr>
              <w:pStyle w:val="a3"/>
              <w:spacing w:before="0" w:beforeAutospacing="0" w:after="0" w:afterAutospacing="0"/>
              <w:rPr>
                <w:color w:val="000000"/>
                <w:sz w:val="20"/>
                <w:szCs w:val="20"/>
              </w:rPr>
            </w:pPr>
            <w:r>
              <w:rPr>
                <w:color w:val="000000"/>
                <w:sz w:val="20"/>
                <w:szCs w:val="20"/>
              </w:rPr>
              <w:t>    variable interest rates. The rate at both June 30, 2021 and</w:t>
            </w:r>
          </w:p>
          <w:p w:rsidR="00000000" w:rsidRDefault="008325ED">
            <w:pPr>
              <w:pStyle w:val="a3"/>
              <w:spacing w:before="0" w:beforeAutospacing="0" w:after="0" w:afterAutospacing="0"/>
              <w:rPr>
                <w:color w:val="000000"/>
                <w:sz w:val="20"/>
                <w:szCs w:val="20"/>
              </w:rPr>
            </w:pPr>
            <w:r>
              <w:rPr>
                <w:color w:val="000000"/>
                <w:sz w:val="20"/>
                <w:szCs w:val="20"/>
              </w:rPr>
              <w:t>    December 31, 2020 was 1.6%.  Unamortized debt issuance</w:t>
            </w:r>
          </w:p>
          <w:p w:rsidR="00000000" w:rsidRDefault="008325ED">
            <w:pPr>
              <w:pStyle w:val="a3"/>
              <w:spacing w:before="0" w:beforeAutospacing="0" w:after="0" w:afterAutospacing="0"/>
              <w:rPr>
                <w:color w:val="000000"/>
                <w:sz w:val="20"/>
                <w:szCs w:val="20"/>
              </w:rPr>
            </w:pPr>
            <w:r>
              <w:rPr>
                <w:color w:val="000000"/>
                <w:sz w:val="20"/>
                <w:szCs w:val="20"/>
              </w:rPr>
              <w:t>    costs amounted to $0.0 million and $0.1 million at June 30, 2021</w:t>
            </w:r>
          </w:p>
          <w:p w:rsidR="00000000" w:rsidRDefault="008325ED">
            <w:pPr>
              <w:pStyle w:val="a3"/>
              <w:spacing w:before="0" w:beforeAutospacing="0" w:after="0" w:afterAutospacing="0"/>
              <w:rPr>
                <w:color w:val="000000"/>
                <w:sz w:val="20"/>
                <w:szCs w:val="20"/>
              </w:rPr>
            </w:pPr>
            <w:r>
              <w:rPr>
                <w:color w:val="000000"/>
                <w:sz w:val="20"/>
                <w:szCs w:val="20"/>
              </w:rPr>
              <w:t>    and D</w:t>
            </w:r>
            <w:r>
              <w:rPr>
                <w:color w:val="000000"/>
                <w:sz w:val="20"/>
                <w:szCs w:val="20"/>
              </w:rPr>
              <w:t>ecember 31, 2020, respectively.</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175,000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180,000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Term Loan B maturing</w:t>
            </w:r>
            <w:r>
              <w:rPr>
                <w:color w:val="000000"/>
                <w:sz w:val="20"/>
                <w:szCs w:val="20"/>
              </w:rPr>
              <w:t xml:space="preserve"> </w:t>
            </w:r>
            <w:r>
              <w:rPr>
                <w:color w:val="000000"/>
                <w:sz w:val="20"/>
                <w:szCs w:val="20"/>
              </w:rPr>
              <w:t>December 202</w:t>
            </w:r>
            <w:r>
              <w:rPr>
                <w:color w:val="000000"/>
                <w:sz w:val="20"/>
                <w:szCs w:val="20"/>
              </w:rPr>
              <w:t>4</w:t>
            </w:r>
            <w:r>
              <w:rPr>
                <w:color w:val="000000"/>
                <w:sz w:val="20"/>
                <w:szCs w:val="20"/>
              </w:rPr>
              <w:t>.  Interest payable periodically</w:t>
            </w:r>
          </w:p>
          <w:p w:rsidR="00000000" w:rsidRDefault="008325ED">
            <w:pPr>
              <w:pStyle w:val="a3"/>
              <w:spacing w:before="0" w:beforeAutospacing="0" w:after="0" w:afterAutospacing="0"/>
              <w:rPr>
                <w:color w:val="000000"/>
                <w:sz w:val="20"/>
                <w:szCs w:val="20"/>
              </w:rPr>
            </w:pPr>
            <w:r>
              <w:rPr>
                <w:color w:val="000000"/>
                <w:sz w:val="20"/>
                <w:szCs w:val="20"/>
              </w:rPr>
              <w:t>    at variable interest rates. The rate at both June 30, 2021 and</w:t>
            </w:r>
          </w:p>
          <w:p w:rsidR="00000000" w:rsidRDefault="008325ED">
            <w:pPr>
              <w:pStyle w:val="a3"/>
              <w:spacing w:before="0" w:beforeAutospacing="0" w:after="0" w:afterAutospacing="0"/>
              <w:rPr>
                <w:color w:val="000000"/>
                <w:sz w:val="20"/>
                <w:szCs w:val="20"/>
              </w:rPr>
            </w:pPr>
            <w:r>
              <w:rPr>
                <w:color w:val="000000"/>
                <w:sz w:val="20"/>
                <w:szCs w:val="20"/>
              </w:rPr>
              <w:t>    December 31, 2020 was 5.5%.  </w:t>
            </w:r>
            <w:r>
              <w:rPr>
                <w:color w:val="000000"/>
                <w:sz w:val="20"/>
                <w:szCs w:val="20"/>
              </w:rPr>
              <w:t>Unamortized debt issuance</w:t>
            </w:r>
          </w:p>
          <w:p w:rsidR="00000000" w:rsidRDefault="008325ED">
            <w:pPr>
              <w:pStyle w:val="a3"/>
              <w:spacing w:before="0" w:beforeAutospacing="0" w:after="0" w:afterAutospacing="0"/>
              <w:rPr>
                <w:color w:val="000000"/>
                <w:sz w:val="20"/>
                <w:szCs w:val="20"/>
              </w:rPr>
            </w:pPr>
            <w:r>
              <w:rPr>
                <w:color w:val="000000"/>
                <w:sz w:val="20"/>
                <w:szCs w:val="20"/>
              </w:rPr>
              <w:t>    costs amounted to $3.6 million and $4.1 million</w:t>
            </w:r>
          </w:p>
          <w:p w:rsidR="00000000" w:rsidRDefault="008325ED">
            <w:pPr>
              <w:pStyle w:val="a3"/>
              <w:spacing w:before="0" w:beforeAutospacing="0" w:after="0" w:afterAutospacing="0"/>
              <w:rPr>
                <w:color w:val="000000"/>
                <w:sz w:val="20"/>
                <w:szCs w:val="20"/>
              </w:rPr>
            </w:pPr>
            <w:r>
              <w:rPr>
                <w:color w:val="000000"/>
                <w:sz w:val="20"/>
                <w:szCs w:val="20"/>
              </w:rPr>
              <w:t>    at June 30, 2021 and December 31, 2020, respectively.</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228,125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237,500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4.625% Senior Notes maturing</w:t>
            </w:r>
            <w:r>
              <w:rPr>
                <w:color w:val="000000"/>
                <w:sz w:val="20"/>
                <w:szCs w:val="20"/>
              </w:rPr>
              <w:t xml:space="preserve"> </w:t>
            </w:r>
            <w:r>
              <w:rPr>
                <w:color w:val="000000"/>
                <w:sz w:val="20"/>
                <w:szCs w:val="20"/>
              </w:rPr>
              <w:t>May 202</w:t>
            </w:r>
            <w:r>
              <w:rPr>
                <w:color w:val="000000"/>
                <w:sz w:val="20"/>
                <w:szCs w:val="20"/>
              </w:rPr>
              <w:t>3</w:t>
            </w:r>
            <w:r>
              <w:rPr>
                <w:color w:val="000000"/>
                <w:sz w:val="20"/>
                <w:szCs w:val="20"/>
              </w:rPr>
              <w:t>.  Unamortized debt</w:t>
            </w:r>
          </w:p>
          <w:p w:rsidR="00000000" w:rsidRDefault="008325ED">
            <w:pPr>
              <w:pStyle w:val="a3"/>
              <w:spacing w:before="0" w:beforeAutospacing="0" w:after="0" w:afterAutospacing="0"/>
              <w:rPr>
                <w:color w:val="000000"/>
                <w:sz w:val="20"/>
                <w:szCs w:val="20"/>
              </w:rPr>
            </w:pPr>
            <w:r>
              <w:rPr>
                <w:color w:val="000000"/>
                <w:sz w:val="20"/>
                <w:szCs w:val="20"/>
              </w:rPr>
              <w:t>    issuance costs amounted to $0.</w:t>
            </w:r>
            <w:r>
              <w:rPr>
                <w:color w:val="000000"/>
                <w:sz w:val="20"/>
                <w:szCs w:val="20"/>
              </w:rPr>
              <w:t>6 million and $1.5 million at</w:t>
            </w:r>
          </w:p>
          <w:p w:rsidR="00000000" w:rsidRDefault="008325ED">
            <w:pPr>
              <w:pStyle w:val="a3"/>
              <w:spacing w:before="0" w:beforeAutospacing="0" w:after="0" w:afterAutospacing="0"/>
              <w:rPr>
                <w:color w:val="000000"/>
                <w:sz w:val="20"/>
                <w:szCs w:val="20"/>
              </w:rPr>
            </w:pPr>
            <w:r>
              <w:rPr>
                <w:color w:val="000000"/>
                <w:sz w:val="20"/>
                <w:szCs w:val="20"/>
              </w:rPr>
              <w:t>    June 30, 2021 and December 31, 2020, respectively.  A</w:t>
            </w:r>
          </w:p>
          <w:p w:rsidR="00000000" w:rsidRDefault="008325ED">
            <w:pPr>
              <w:pStyle w:val="a3"/>
              <w:spacing w:before="0" w:beforeAutospacing="0" w:after="0" w:afterAutospacing="0"/>
              <w:rPr>
                <w:color w:val="000000"/>
                <w:sz w:val="20"/>
                <w:szCs w:val="20"/>
              </w:rPr>
            </w:pPr>
            <w:r>
              <w:rPr>
                <w:color w:val="000000"/>
                <w:sz w:val="20"/>
                <w:szCs w:val="20"/>
              </w:rPr>
              <w:t>    portion of these notes were repurchased during the second quarter</w:t>
            </w:r>
          </w:p>
          <w:p w:rsidR="00000000" w:rsidRDefault="008325ED">
            <w:pPr>
              <w:pStyle w:val="a3"/>
              <w:spacing w:before="0" w:beforeAutospacing="0" w:after="0" w:afterAutospacing="0"/>
              <w:rPr>
                <w:color w:val="000000"/>
                <w:sz w:val="20"/>
                <w:szCs w:val="20"/>
              </w:rPr>
            </w:pPr>
            <w:r>
              <w:rPr>
                <w:color w:val="000000"/>
                <w:sz w:val="20"/>
                <w:szCs w:val="20"/>
              </w:rPr>
              <w:t>    of 2021 in privately negotiated transactions, as further described</w:t>
            </w:r>
          </w:p>
          <w:p w:rsidR="00000000" w:rsidRDefault="008325ED">
            <w:pPr>
              <w:pStyle w:val="a3"/>
              <w:spacing w:before="0" w:beforeAutospacing="0" w:after="0" w:afterAutospacing="0"/>
              <w:rPr>
                <w:color w:val="000000"/>
                <w:sz w:val="20"/>
                <w:szCs w:val="20"/>
              </w:rPr>
            </w:pPr>
            <w:r>
              <w:rPr>
                <w:color w:val="000000"/>
                <w:sz w:val="20"/>
                <w:szCs w:val="20"/>
              </w:rPr>
              <w:t>    hereafter.</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174,012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5.0% Senior Notes.  Unamortized debt issuance costs amounted to</w:t>
            </w:r>
          </w:p>
          <w:p w:rsidR="00000000" w:rsidRDefault="008325ED">
            <w:pPr>
              <w:pStyle w:val="a3"/>
              <w:spacing w:before="0" w:beforeAutospacing="0" w:after="0" w:afterAutospacing="0"/>
              <w:rPr>
                <w:color w:val="000000"/>
                <w:sz w:val="20"/>
                <w:szCs w:val="20"/>
              </w:rPr>
            </w:pPr>
            <w:r>
              <w:rPr>
                <w:color w:val="000000"/>
                <w:sz w:val="20"/>
                <w:szCs w:val="20"/>
              </w:rPr>
              <w:t>    $0.8 million at December 31, 2020.  These notes were fully</w:t>
            </w:r>
          </w:p>
          <w:p w:rsidR="00000000" w:rsidRDefault="008325ED">
            <w:pPr>
              <w:pStyle w:val="a3"/>
              <w:spacing w:before="0" w:beforeAutospacing="0" w:after="0" w:afterAutospacing="0"/>
              <w:rPr>
                <w:color w:val="000000"/>
                <w:sz w:val="20"/>
                <w:szCs w:val="20"/>
              </w:rPr>
            </w:pPr>
            <w:r>
              <w:rPr>
                <w:color w:val="000000"/>
                <w:sz w:val="20"/>
                <w:szCs w:val="20"/>
              </w:rPr>
              <w:t>    redeemed in</w:t>
            </w:r>
            <w:r>
              <w:rPr>
                <w:color w:val="000000"/>
                <w:sz w:val="20"/>
                <w:szCs w:val="20"/>
              </w:rPr>
              <w:t xml:space="preserve"> </w:t>
            </w:r>
            <w:r>
              <w:rPr>
                <w:color w:val="000000"/>
                <w:sz w:val="20"/>
                <w:szCs w:val="20"/>
              </w:rPr>
              <w:t>April 202</w:t>
            </w:r>
            <w:r>
              <w:rPr>
                <w:color w:val="000000"/>
                <w:sz w:val="20"/>
                <w:szCs w:val="20"/>
              </w:rPr>
              <w:t>1</w:t>
            </w:r>
            <w:r>
              <w:rPr>
                <w:color w:val="000000"/>
                <w:sz w:val="20"/>
                <w:szCs w:val="20"/>
              </w:rPr>
              <w:t>, as further described hereafter.</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4.75% Senior Notes ma</w:t>
            </w:r>
            <w:r>
              <w:rPr>
                <w:color w:val="000000"/>
                <w:sz w:val="20"/>
                <w:szCs w:val="20"/>
              </w:rPr>
              <w:t>turing</w:t>
            </w:r>
            <w:r>
              <w:rPr>
                <w:color w:val="000000"/>
                <w:sz w:val="20"/>
                <w:szCs w:val="20"/>
              </w:rPr>
              <w:t xml:space="preserve"> </w:t>
            </w:r>
            <w:r>
              <w:rPr>
                <w:color w:val="000000"/>
                <w:sz w:val="20"/>
                <w:szCs w:val="20"/>
              </w:rPr>
              <w:t>October 202</w:t>
            </w:r>
            <w:r>
              <w:rPr>
                <w:color w:val="000000"/>
                <w:sz w:val="20"/>
                <w:szCs w:val="20"/>
              </w:rPr>
              <w:t>7</w:t>
            </w:r>
            <w:r>
              <w:rPr>
                <w:color w:val="000000"/>
                <w:sz w:val="20"/>
                <w:szCs w:val="20"/>
              </w:rPr>
              <w:t>.  Unamortized debt</w:t>
            </w:r>
          </w:p>
          <w:p w:rsidR="00000000" w:rsidRDefault="008325ED">
            <w:pPr>
              <w:pStyle w:val="a3"/>
              <w:spacing w:before="0" w:beforeAutospacing="0" w:after="0" w:afterAutospacing="0"/>
              <w:rPr>
                <w:color w:val="000000"/>
                <w:sz w:val="20"/>
                <w:szCs w:val="20"/>
              </w:rPr>
            </w:pPr>
            <w:r>
              <w:rPr>
                <w:color w:val="000000"/>
                <w:sz w:val="20"/>
                <w:szCs w:val="20"/>
              </w:rPr>
              <w:t>    issuance costs amounted to $2.5 million and $2.7 million at</w:t>
            </w:r>
          </w:p>
          <w:p w:rsidR="00000000" w:rsidRDefault="008325ED">
            <w:pPr>
              <w:pStyle w:val="a3"/>
              <w:spacing w:before="0" w:beforeAutospacing="0" w:after="0" w:afterAutospacing="0"/>
              <w:rPr>
                <w:color w:val="000000"/>
                <w:sz w:val="20"/>
                <w:szCs w:val="20"/>
              </w:rPr>
            </w:pPr>
            <w:r>
              <w:rPr>
                <w:color w:val="000000"/>
                <w:sz w:val="20"/>
                <w:szCs w:val="20"/>
              </w:rPr>
              <w:t>    June 30, 2021 and December 31, 2020, respectively.</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8.25% Senior Notes maturing</w:t>
            </w:r>
            <w:r>
              <w:rPr>
                <w:color w:val="000000"/>
                <w:sz w:val="20"/>
                <w:szCs w:val="20"/>
              </w:rPr>
              <w:t xml:space="preserve"> </w:t>
            </w:r>
            <w:r>
              <w:rPr>
                <w:color w:val="000000"/>
                <w:sz w:val="20"/>
                <w:szCs w:val="20"/>
              </w:rPr>
              <w:t>April 202</w:t>
            </w:r>
            <w:r>
              <w:rPr>
                <w:color w:val="000000"/>
                <w:sz w:val="20"/>
                <w:szCs w:val="20"/>
              </w:rPr>
              <w:t>6</w:t>
            </w:r>
            <w:r>
              <w:rPr>
                <w:color w:val="000000"/>
                <w:sz w:val="20"/>
                <w:szCs w:val="20"/>
              </w:rPr>
              <w:t>.  </w:t>
            </w:r>
            <w:r>
              <w:rPr>
                <w:color w:val="000000"/>
                <w:sz w:val="20"/>
                <w:szCs w:val="20"/>
              </w:rPr>
              <w:t>Unamortized debt issuance</w:t>
            </w:r>
          </w:p>
          <w:p w:rsidR="00000000" w:rsidRDefault="008325ED">
            <w:pPr>
              <w:pStyle w:val="a3"/>
              <w:spacing w:before="0" w:beforeAutospacing="0" w:after="0" w:afterAutospacing="0"/>
              <w:rPr>
                <w:color w:val="000000"/>
                <w:sz w:val="20"/>
                <w:szCs w:val="20"/>
              </w:rPr>
            </w:pPr>
            <w:r>
              <w:rPr>
                <w:color w:val="000000"/>
                <w:sz w:val="20"/>
                <w:szCs w:val="20"/>
              </w:rPr>
              <w:t>    costs amounted to $9.9 million at June 30, 2021.</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450,000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4.5% Capital Commerce Center Non-Recourse Mortgage Note.</w:t>
            </w:r>
          </w:p>
          <w:p w:rsidR="00000000" w:rsidRDefault="008325ED">
            <w:pPr>
              <w:pStyle w:val="a3"/>
              <w:spacing w:before="0" w:beforeAutospacing="0" w:after="0" w:afterAutospacing="0"/>
              <w:rPr>
                <w:color w:val="000000"/>
                <w:sz w:val="20"/>
                <w:szCs w:val="20"/>
              </w:rPr>
            </w:pPr>
            <w:r>
              <w:rPr>
                <w:color w:val="000000"/>
                <w:sz w:val="20"/>
                <w:szCs w:val="20"/>
              </w:rPr>
              <w:t>    Unamortized debt issuance costs amounted to $0.3 million</w:t>
            </w:r>
          </w:p>
          <w:p w:rsidR="00000000" w:rsidRDefault="008325ED">
            <w:pPr>
              <w:pStyle w:val="a3"/>
              <w:spacing w:before="0" w:beforeAutospacing="0" w:after="0" w:afterAutospacing="0"/>
              <w:rPr>
                <w:color w:val="000000"/>
                <w:sz w:val="20"/>
                <w:szCs w:val="20"/>
              </w:rPr>
            </w:pPr>
            <w:r>
              <w:rPr>
                <w:color w:val="000000"/>
                <w:sz w:val="20"/>
                <w:szCs w:val="20"/>
              </w:rPr>
              <w:t>    at December 31, 2020.  </w:t>
            </w:r>
            <w:r>
              <w:rPr>
                <w:color w:val="000000"/>
                <w:sz w:val="20"/>
                <w:szCs w:val="20"/>
              </w:rPr>
              <w:t>This note was repaid in connection with</w:t>
            </w:r>
          </w:p>
          <w:p w:rsidR="00000000" w:rsidRDefault="008325ED">
            <w:pPr>
              <w:pStyle w:val="a3"/>
              <w:spacing w:before="0" w:beforeAutospacing="0" w:after="0" w:afterAutospacing="0"/>
              <w:rPr>
                <w:color w:val="000000"/>
                <w:sz w:val="20"/>
                <w:szCs w:val="20"/>
              </w:rPr>
            </w:pPr>
            <w:r>
              <w:rPr>
                <w:color w:val="000000"/>
                <w:sz w:val="20"/>
                <w:szCs w:val="20"/>
              </w:rPr>
              <w:t>    the sale of Capital Commerce Center, as further described hereafter.</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20,934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4.43% Lansing Correctional Center Non-Recourse Mortgage Note</w:t>
            </w:r>
          </w:p>
          <w:p w:rsidR="00000000" w:rsidRDefault="008325ED">
            <w:pPr>
              <w:pStyle w:val="a3"/>
              <w:spacing w:before="0" w:beforeAutospacing="0" w:after="0" w:afterAutospacing="0"/>
              <w:rPr>
                <w:color w:val="000000"/>
                <w:sz w:val="20"/>
                <w:szCs w:val="20"/>
              </w:rPr>
            </w:pPr>
            <w:r>
              <w:rPr>
                <w:color w:val="000000"/>
                <w:sz w:val="20"/>
                <w:szCs w:val="20"/>
              </w:rPr>
              <w:t>    maturing</w:t>
            </w:r>
            <w:r>
              <w:rPr>
                <w:color w:val="000000"/>
                <w:sz w:val="20"/>
                <w:szCs w:val="20"/>
              </w:rPr>
              <w:t xml:space="preserve"> </w:t>
            </w:r>
            <w:r>
              <w:rPr>
                <w:color w:val="000000"/>
                <w:sz w:val="20"/>
                <w:szCs w:val="20"/>
              </w:rPr>
              <w:t>January 204</w:t>
            </w:r>
            <w:r>
              <w:rPr>
                <w:color w:val="000000"/>
                <w:sz w:val="20"/>
                <w:szCs w:val="20"/>
              </w:rPr>
              <w:t>0</w:t>
            </w:r>
            <w:r>
              <w:rPr>
                <w:color w:val="000000"/>
                <w:sz w:val="20"/>
                <w:szCs w:val="20"/>
              </w:rPr>
              <w:t>.  Unamortized debt issuance costs</w:t>
            </w:r>
          </w:p>
          <w:p w:rsidR="00000000" w:rsidRDefault="008325ED">
            <w:pPr>
              <w:pStyle w:val="a3"/>
              <w:spacing w:before="0" w:beforeAutospacing="0" w:after="0" w:afterAutospacing="0"/>
              <w:rPr>
                <w:color w:val="000000"/>
                <w:sz w:val="20"/>
                <w:szCs w:val="20"/>
              </w:rPr>
            </w:pPr>
            <w:r>
              <w:rPr>
                <w:color w:val="000000"/>
                <w:sz w:val="20"/>
                <w:szCs w:val="20"/>
              </w:rPr>
              <w:t>    amounted to $3.1 million at both June 30, 2021 and</w:t>
            </w:r>
          </w:p>
          <w:p w:rsidR="00000000" w:rsidRDefault="008325ED">
            <w:pPr>
              <w:pStyle w:val="a3"/>
              <w:spacing w:before="0" w:beforeAutospacing="0" w:after="0" w:afterAutospacing="0"/>
              <w:rPr>
                <w:color w:val="000000"/>
                <w:sz w:val="20"/>
                <w:szCs w:val="20"/>
              </w:rPr>
            </w:pPr>
            <w:r>
              <w:rPr>
                <w:color w:val="000000"/>
                <w:sz w:val="20"/>
                <w:szCs w:val="20"/>
              </w:rPr>
              <w:t>    December 31, 2020.</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155,941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157,607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4.5% SSA-Baltimore Non-Recourse Mortgage Note.  Unamortized</w:t>
            </w:r>
          </w:p>
          <w:p w:rsidR="00000000" w:rsidRDefault="008325ED">
            <w:pPr>
              <w:pStyle w:val="a3"/>
              <w:spacing w:before="0" w:beforeAutospacing="0" w:after="0" w:afterAutospacing="0"/>
              <w:rPr>
                <w:color w:val="000000"/>
                <w:sz w:val="20"/>
                <w:szCs w:val="20"/>
              </w:rPr>
            </w:pPr>
            <w:r>
              <w:rPr>
                <w:color w:val="000000"/>
                <w:sz w:val="20"/>
                <w:szCs w:val="20"/>
              </w:rPr>
              <w:t>    debt issuance costs amounted to $0.2 million at December 31, 2020.</w:t>
            </w:r>
          </w:p>
          <w:p w:rsidR="00000000" w:rsidRDefault="008325ED">
            <w:pPr>
              <w:pStyle w:val="a3"/>
              <w:spacing w:before="0" w:beforeAutospacing="0" w:after="0" w:afterAutospacing="0"/>
              <w:rPr>
                <w:color w:val="000000"/>
                <w:sz w:val="20"/>
                <w:szCs w:val="20"/>
              </w:rPr>
            </w:pPr>
            <w:r>
              <w:rPr>
                <w:color w:val="000000"/>
                <w:sz w:val="20"/>
                <w:szCs w:val="20"/>
              </w:rPr>
              <w:t>    </w:t>
            </w:r>
            <w:r>
              <w:rPr>
                <w:color w:val="000000"/>
                <w:sz w:val="20"/>
                <w:szCs w:val="20"/>
              </w:rPr>
              <w:t>This note was repaid in connection with the sale of SSA-Baltimore,</w:t>
            </w:r>
          </w:p>
          <w:p w:rsidR="00000000" w:rsidRDefault="008325ED">
            <w:pPr>
              <w:pStyle w:val="a3"/>
              <w:spacing w:before="0" w:beforeAutospacing="0" w:after="0" w:afterAutospacing="0"/>
              <w:rPr>
                <w:color w:val="000000"/>
                <w:sz w:val="20"/>
                <w:szCs w:val="20"/>
              </w:rPr>
            </w:pPr>
            <w:r>
              <w:rPr>
                <w:color w:val="000000"/>
                <w:sz w:val="20"/>
                <w:szCs w:val="20"/>
              </w:rPr>
              <w:t>    as further described hereafter.</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144,476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debt</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1,545,078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1,809,517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Unamortized debt issuance costs</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(19,723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Unamortized original issue discount</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(13,063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(10,000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31526574"/>
        </w:trPr>
        <w:tc>
          <w:tcPr>
            <w:tcW w:w="340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Current portion of long-term debt</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(31,999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2"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(39,087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31526574"/>
        </w:trPr>
        <w:tc>
          <w:tcPr>
            <w:tcW w:w="340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Long-term debt, net</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1,480,293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2"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1,747,664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240" w:beforeAutospacing="0" w:after="0" w:afterAutospacing="0"/>
        <w:jc w:val="center"/>
        <w:rPr>
          <w:sz w:val="20"/>
          <w:szCs w:val="20"/>
        </w:rPr>
      </w:pPr>
      <w:r>
        <w:rPr>
          <w:sz w:val="20"/>
          <w:szCs w:val="20"/>
        </w:rPr>
        <w:t>11</w:t>
      </w:r>
    </w:p>
    <w:p w:rsidR="00000000" w:rsidRDefault="008325ED">
      <w:pPr>
        <w:rPr>
          <w:rFonts w:eastAsia="Times New Roman"/>
        </w:rPr>
      </w:pPr>
      <w:r>
        <w:rPr>
          <w:rFonts w:eastAsia="Times New Roman"/>
        </w:rPr>
        <w:pict>
          <v:rect id="_x0000_i1037"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ind w:left="476"/>
        <w:jc w:val="both"/>
        <w:rPr>
          <w:i/>
          <w:iCs/>
          <w:sz w:val="20"/>
          <w:szCs w:val="20"/>
        </w:rPr>
      </w:pPr>
      <w:r>
        <w:rPr>
          <w:i/>
          <w:iCs/>
          <w:sz w:val="20"/>
          <w:szCs w:val="20"/>
        </w:rPr>
        <w:t>Revolving Credit Facility.</w:t>
      </w:r>
      <w:r>
        <w:rPr>
          <w:sz w:val="20"/>
          <w:szCs w:val="20"/>
        </w:rPr>
        <w:t>  On April 17, 2018, CoreCivic entered into the Second Amended and Restated Credit Agreement (referred to herein as the "Bank Credit Facility") in an aggregate principal amount of up to $1.0</w:t>
      </w:r>
      <w:r>
        <w:rPr>
          <w:sz w:val="20"/>
          <w:szCs w:val="20"/>
        </w:rPr>
        <w:t xml:space="preserve"> billion.  The Bank Credit Facility provides for a term loan of $200.0 million (the "Term Loan A") and a revolving credit facility in an aggregate principal amount of up to $800.0 million (the "Revolving Credit Facility"). The Bank Credit Facility has a ma</w:t>
      </w:r>
      <w:r>
        <w:rPr>
          <w:sz w:val="20"/>
          <w:szCs w:val="20"/>
        </w:rPr>
        <w:t>turity of</w:t>
      </w:r>
      <w:r>
        <w:rPr>
          <w:sz w:val="20"/>
          <w:szCs w:val="20"/>
        </w:rPr>
        <w:t xml:space="preserve"> </w:t>
      </w:r>
      <w:r>
        <w:rPr>
          <w:sz w:val="20"/>
          <w:szCs w:val="20"/>
        </w:rPr>
        <w:t>April 202</w:t>
      </w:r>
      <w:r>
        <w:rPr>
          <w:sz w:val="20"/>
          <w:szCs w:val="20"/>
        </w:rPr>
        <w:t>3</w:t>
      </w:r>
      <w:r>
        <w:rPr>
          <w:sz w:val="20"/>
          <w:szCs w:val="20"/>
        </w:rPr>
        <w:t xml:space="preserve">.  The Bank Credit Facility also contains an "accordion" feature that provides for uncommitted incremental extensions of credit in the form of increases in the revolving commitments or incremental term loans of up to $350.0 million. At </w:t>
      </w:r>
      <w:r>
        <w:rPr>
          <w:sz w:val="20"/>
          <w:szCs w:val="20"/>
        </w:rPr>
        <w:t xml:space="preserve">CoreCivic's option, interest on outstanding borrowings under the Revolving Credit Facility is based on either a base rate plus a margin ranging from 0.00% to 1.00% or at the London Interbank Offered Rate ("LIBOR") plus a margin ranging from 1.00% to 2.00% </w:t>
      </w:r>
      <w:r>
        <w:rPr>
          <w:sz w:val="20"/>
          <w:szCs w:val="20"/>
        </w:rPr>
        <w:t xml:space="preserve">based on CoreCivic's then-current leverage ratio.  The Revolving Credit Facility includes a $30.0 million sublimit for swing line loans that enables CoreCivic to borrow at the base rate from the Administrative Agent on same-day notice. </w:t>
      </w:r>
    </w:p>
    <w:p w:rsidR="00000000" w:rsidRDefault="008325ED">
      <w:pPr>
        <w:pStyle w:val="a3"/>
        <w:spacing w:before="120" w:beforeAutospacing="0" w:after="0" w:afterAutospacing="0"/>
        <w:ind w:left="476"/>
        <w:jc w:val="both"/>
        <w:rPr>
          <w:sz w:val="20"/>
          <w:szCs w:val="20"/>
        </w:rPr>
      </w:pPr>
      <w:r>
        <w:rPr>
          <w:sz w:val="20"/>
          <w:szCs w:val="20"/>
        </w:rPr>
        <w:t>Based on CoreCivic's total leverage ratio, loans under the Revolving Credit Facility currently bear interest at the base rate plus a margin of 0.50% or at LIBOR plus a margin of 1.50%, and a commitment fee equal to 0.35% of the unfunded balance.  The Revol</w:t>
      </w:r>
      <w:r>
        <w:rPr>
          <w:sz w:val="20"/>
          <w:szCs w:val="20"/>
        </w:rPr>
        <w:t>ving Credit Facility also has a $50.0 million sublimit for the issuance of standby letters of credit. As of June 30, 2021, CoreCivic had $112.0 million in borrowings outstanding under the Revolving Credit Facility as well as $13.9 million in letters of cre</w:t>
      </w:r>
      <w:r>
        <w:rPr>
          <w:sz w:val="20"/>
          <w:szCs w:val="20"/>
        </w:rPr>
        <w:t>dit outstanding resulting in $674.1 million available under the Revolving Credit Facility.  </w:t>
      </w:r>
    </w:p>
    <w:p w:rsidR="00000000" w:rsidRDefault="008325ED">
      <w:pPr>
        <w:pStyle w:val="a3"/>
        <w:spacing w:before="240" w:beforeAutospacing="0" w:after="0" w:afterAutospacing="0"/>
        <w:ind w:left="476"/>
        <w:jc w:val="both"/>
        <w:rPr>
          <w:sz w:val="20"/>
          <w:szCs w:val="20"/>
        </w:rPr>
      </w:pPr>
      <w:r>
        <w:rPr>
          <w:sz w:val="20"/>
          <w:szCs w:val="20"/>
        </w:rPr>
        <w:t>The Bank Credit Facility is secured by a pledge of all of the capital stock of CoreCivic's domestic restricted subsidiaries, 65% of the capital stock of CoreCivic'</w:t>
      </w:r>
      <w:r>
        <w:rPr>
          <w:sz w:val="20"/>
          <w:szCs w:val="20"/>
        </w:rPr>
        <w:t>s foreign subsidiaries, all of CoreCivic's accounts receivable, and all of CoreCivic's deposit accounts. The Bank Credit Facility requires CoreCivic to meet certain financial covenants, including, without limitation, a maximum total leverage ratio, a maxim</w:t>
      </w:r>
      <w:r>
        <w:rPr>
          <w:sz w:val="20"/>
          <w:szCs w:val="20"/>
        </w:rPr>
        <w:t>um secured leverage ratio, and a minimum fixed charge coverage ratio.  As of June 30, 2021, CoreCivic was in compliance with all such covenants.  In addition, the Bank Credit Facility contains certain covenants that, among other things, limit the incurrenc</w:t>
      </w:r>
      <w:r>
        <w:rPr>
          <w:sz w:val="20"/>
          <w:szCs w:val="20"/>
        </w:rPr>
        <w:t>e of additional indebtedness, payment of dividends and other customary restricted payments, permitted investments, transactions with affiliates, asset sales, mergers and consolidations, liquidations, prepayments and modifications of other indebtedness, lie</w:t>
      </w:r>
      <w:r>
        <w:rPr>
          <w:sz w:val="20"/>
          <w:szCs w:val="20"/>
        </w:rPr>
        <w:t>ns and other encumbrances and other matters customarily restricted in such agreements.  In addition, the Bank Credit Facility is subject to certain cross-default provisions with terms of CoreCivic's other unsecured indebtedness, and is subject to accelerat</w:t>
      </w:r>
      <w:r>
        <w:rPr>
          <w:sz w:val="20"/>
          <w:szCs w:val="20"/>
        </w:rPr>
        <w:t xml:space="preserve">ion upon the occurrence of a change of control. </w:t>
      </w:r>
    </w:p>
    <w:p w:rsidR="00000000" w:rsidRDefault="008325ED">
      <w:pPr>
        <w:pStyle w:val="a3"/>
        <w:spacing w:before="120" w:beforeAutospacing="0" w:after="0" w:afterAutospacing="0"/>
        <w:ind w:left="476"/>
        <w:jc w:val="both"/>
        <w:rPr>
          <w:sz w:val="20"/>
          <w:szCs w:val="20"/>
        </w:rPr>
      </w:pPr>
      <w:r>
        <w:rPr>
          <w:sz w:val="20"/>
          <w:szCs w:val="20"/>
        </w:rPr>
        <w:t>As a result of opposition to immigration policies and the association of private companies with the enforcement of such policies, some banks, including several that are currently parties to the Bank Credit F</w:t>
      </w:r>
      <w:r>
        <w:rPr>
          <w:sz w:val="20"/>
          <w:szCs w:val="20"/>
        </w:rPr>
        <w:t>acility, have announced that they do not expect to continue providing credit or financial services to private entities that operate correctional and detention</w:t>
      </w:r>
      <w:r>
        <w:rPr>
          <w:b/>
          <w:bCs/>
          <w:sz w:val="20"/>
          <w:szCs w:val="20"/>
        </w:rPr>
        <w:t xml:space="preserve"> </w:t>
      </w:r>
      <w:r>
        <w:rPr>
          <w:sz w:val="20"/>
          <w:szCs w:val="20"/>
        </w:rPr>
        <w:t>facilities, including CoreCivic.  The banks that are currently parties to the Bank Credit Facilit</w:t>
      </w:r>
      <w:r>
        <w:rPr>
          <w:sz w:val="20"/>
          <w:szCs w:val="20"/>
        </w:rPr>
        <w:t>y are obligated to honor their commitments under the Bank Credit Facility.</w:t>
      </w:r>
    </w:p>
    <w:p w:rsidR="00000000" w:rsidRDefault="008325ED">
      <w:pPr>
        <w:pStyle w:val="a3"/>
        <w:spacing w:before="240" w:beforeAutospacing="0" w:after="0" w:afterAutospacing="0"/>
        <w:ind w:left="476"/>
        <w:jc w:val="both"/>
        <w:rPr>
          <w:i/>
          <w:iCs/>
          <w:sz w:val="20"/>
          <w:szCs w:val="20"/>
        </w:rPr>
      </w:pPr>
      <w:r>
        <w:rPr>
          <w:i/>
          <w:iCs/>
          <w:sz w:val="20"/>
          <w:szCs w:val="20"/>
        </w:rPr>
        <w:t>Incremental Term Loan A.</w:t>
      </w:r>
      <w:r>
        <w:t xml:space="preserve"> </w:t>
      </w:r>
      <w:r>
        <w:rPr>
          <w:sz w:val="20"/>
          <w:szCs w:val="20"/>
        </w:rPr>
        <w:t>Interest rate margins under the Term Loan A are the same as the interest rate margins under the Revolving Credit Facility.  The Term Loan A also has the sam</w:t>
      </w:r>
      <w:r>
        <w:rPr>
          <w:sz w:val="20"/>
          <w:szCs w:val="20"/>
        </w:rPr>
        <w:t>e collateral requirements, financial and certain other covenants, and cross-default provisions as the Revolving Credit Facility.  The Term Loan A, which is pre-payable without penalty, also has a maturity concurrent with the Revolving Credit Facility due</w:t>
      </w:r>
      <w:r>
        <w:rPr>
          <w:sz w:val="20"/>
          <w:szCs w:val="20"/>
        </w:rPr>
        <w:t xml:space="preserve"> </w:t>
      </w:r>
      <w:r>
        <w:rPr>
          <w:sz w:val="20"/>
          <w:szCs w:val="20"/>
        </w:rPr>
        <w:t>A</w:t>
      </w:r>
      <w:r>
        <w:rPr>
          <w:sz w:val="20"/>
          <w:szCs w:val="20"/>
        </w:rPr>
        <w:t>pril 202</w:t>
      </w:r>
      <w:r>
        <w:rPr>
          <w:sz w:val="20"/>
          <w:szCs w:val="20"/>
        </w:rPr>
        <w:t>3</w:t>
      </w:r>
      <w:r>
        <w:rPr>
          <w:sz w:val="20"/>
          <w:szCs w:val="20"/>
        </w:rPr>
        <w:t>, with scheduled quarterly principal payments through April 2023.  As of June 30, 2021, the outstanding balance of the Term Loan A was $175.0 million.  </w:t>
      </w:r>
    </w:p>
    <w:p w:rsidR="00000000" w:rsidRDefault="008325ED">
      <w:pPr>
        <w:pStyle w:val="a3"/>
        <w:spacing w:before="240" w:beforeAutospacing="0" w:after="0" w:afterAutospacing="0"/>
        <w:ind w:left="476"/>
        <w:jc w:val="both"/>
        <w:rPr>
          <w:i/>
          <w:iCs/>
          <w:sz w:val="20"/>
          <w:szCs w:val="20"/>
        </w:rPr>
      </w:pPr>
      <w:r>
        <w:rPr>
          <w:i/>
          <w:iCs/>
          <w:sz w:val="20"/>
          <w:szCs w:val="20"/>
        </w:rPr>
        <w:t xml:space="preserve">Senior Secured Term Loan B. </w:t>
      </w:r>
      <w:r>
        <w:rPr>
          <w:sz w:val="20"/>
          <w:szCs w:val="20"/>
        </w:rPr>
        <w:t xml:space="preserve">On December 18, 2019, CoreCivic entered into a new $250.0 million </w:t>
      </w:r>
      <w:r>
        <w:rPr>
          <w:sz w:val="20"/>
          <w:szCs w:val="20"/>
        </w:rPr>
        <w:t>Senior Secured Term Loan B ("Term Loan B" and, together with the Bank Credit Facility, the "Credit Agreements").  The Term Loan B bears interest at a rate of LIBOR plus 4.50%, with a 1.00% LIBOR floor (or, at CoreCivic's option, a base rate plus 3.50%), an</w:t>
      </w:r>
      <w:r>
        <w:rPr>
          <w:sz w:val="20"/>
          <w:szCs w:val="20"/>
        </w:rPr>
        <w:t>d has a</w:t>
      </w:r>
      <w:r>
        <w:rPr>
          <w:sz w:val="20"/>
          <w:szCs w:val="20"/>
        </w:rPr>
        <w:t xml:space="preserve"> </w:t>
      </w:r>
      <w:r>
        <w:rPr>
          <w:sz w:val="20"/>
          <w:szCs w:val="20"/>
        </w:rPr>
        <w:t>five-yea</w:t>
      </w:r>
      <w:r>
        <w:rPr>
          <w:sz w:val="20"/>
          <w:szCs w:val="20"/>
        </w:rPr>
        <w:t>r</w:t>
      </w:r>
      <w:r>
        <w:rPr>
          <w:sz w:val="20"/>
          <w:szCs w:val="20"/>
        </w:rPr>
        <w:t xml:space="preserve"> maturity with scheduled quarterly principal payments through</w:t>
      </w:r>
      <w:r>
        <w:rPr>
          <w:sz w:val="20"/>
          <w:szCs w:val="20"/>
        </w:rPr>
        <w:t xml:space="preserve"> </w:t>
      </w:r>
      <w:r>
        <w:rPr>
          <w:sz w:val="20"/>
          <w:szCs w:val="20"/>
        </w:rPr>
        <w:t>December 202</w:t>
      </w:r>
      <w:r>
        <w:rPr>
          <w:sz w:val="20"/>
          <w:szCs w:val="20"/>
        </w:rPr>
        <w:t>4</w:t>
      </w:r>
      <w:r>
        <w:rPr>
          <w:sz w:val="20"/>
          <w:szCs w:val="20"/>
        </w:rPr>
        <w:t xml:space="preserve">.  The Term Loan B is secured by a first lien on certain specified real property assets, representing a loan-to-value of no greater than 80%.  CoreCivic can prepay </w:t>
      </w:r>
      <w:r>
        <w:rPr>
          <w:sz w:val="20"/>
          <w:szCs w:val="20"/>
        </w:rPr>
        <w:t xml:space="preserve">the Term Loan B at any time and from time to time, without premium or penalty. The Term Loan B was issued at a price of 95% of the principal amount of the Term Loan B, resulting in a discount of $12.5 million, which is amortized into interest expense over </w:t>
      </w:r>
      <w:r>
        <w:rPr>
          <w:sz w:val="20"/>
          <w:szCs w:val="20"/>
        </w:rPr>
        <w:t xml:space="preserve">the term of the Term Loan B.  Proceeds from the issuance of the Term Loan B were used to partially fund the early redemption of </w:t>
      </w:r>
      <w:r>
        <w:rPr>
          <w:color w:val="000000"/>
          <w:sz w:val="20"/>
          <w:szCs w:val="20"/>
        </w:rPr>
        <w:t xml:space="preserve">$325.0 million in aggregate principal amount of 4.125% senior notes originally due 2020, </w:t>
      </w:r>
      <w:r>
        <w:rPr>
          <w:sz w:val="20"/>
          <w:szCs w:val="20"/>
        </w:rPr>
        <w:t>transaction fees and expenses, and to p</w:t>
      </w:r>
      <w:r>
        <w:rPr>
          <w:sz w:val="20"/>
          <w:szCs w:val="20"/>
        </w:rPr>
        <w:t>rovide for general corporate purposes.  CoreCivic capitalized approximately $5.1 million of costs associated with the issuance of the Term Loan B.  As of June 30, 2021, the outstanding balance of the Term Loan B was $228.1 million.</w:t>
      </w:r>
    </w:p>
    <w:p w:rsidR="00000000" w:rsidRDefault="008325ED">
      <w:pPr>
        <w:pStyle w:val="a3"/>
        <w:spacing w:before="240" w:beforeAutospacing="0" w:after="0" w:afterAutospacing="0"/>
        <w:ind w:left="476"/>
        <w:jc w:val="both"/>
        <w:rPr>
          <w:i/>
          <w:iCs/>
          <w:sz w:val="20"/>
          <w:szCs w:val="20"/>
        </w:rPr>
      </w:pPr>
      <w:r>
        <w:rPr>
          <w:i/>
          <w:iCs/>
          <w:sz w:val="20"/>
          <w:szCs w:val="20"/>
        </w:rPr>
        <w:t>Senior Notes</w:t>
      </w:r>
      <w:r>
        <w:rPr>
          <w:sz w:val="20"/>
          <w:szCs w:val="20"/>
        </w:rPr>
        <w:t xml:space="preserve">.  Interest </w:t>
      </w:r>
      <w:r>
        <w:rPr>
          <w:sz w:val="20"/>
          <w:szCs w:val="20"/>
        </w:rPr>
        <w:t>on the $174.0 million remaining principal balance outstanding on CoreCivic's 4.625% senior notes issued in April 2013 with an original principal amount of $350.0 million (the "4.625% Senior Notes") accrues at the stated rate and is payable in May and Novem</w:t>
      </w:r>
      <w:r>
        <w:rPr>
          <w:sz w:val="20"/>
          <w:szCs w:val="20"/>
        </w:rPr>
        <w:t>ber of each year.  The 4.625% Senior Notes are scheduled to mature on May 1, 2023.  Interest on the $250.0 million aggregate principal amount of CoreCivic's 4.75% senior notes issued in October 2017 (the "4.75% Senior Notes") accrues at the stated rate and</w:t>
      </w:r>
      <w:r>
        <w:rPr>
          <w:sz w:val="20"/>
          <w:szCs w:val="20"/>
        </w:rPr>
        <w:t xml:space="preserve"> is payable in April and October of each year.  The 4.75% Senior Notes are scheduled to mature on October 15, 2027.  </w:t>
      </w:r>
    </w:p>
    <w:p w:rsidR="00000000" w:rsidRDefault="008325ED">
      <w:pPr>
        <w:pStyle w:val="a3"/>
        <w:spacing w:before="240" w:beforeAutospacing="0" w:after="0" w:afterAutospacing="0"/>
        <w:jc w:val="center"/>
        <w:rPr>
          <w:sz w:val="20"/>
          <w:szCs w:val="20"/>
        </w:rPr>
      </w:pPr>
      <w:r>
        <w:rPr>
          <w:sz w:val="20"/>
          <w:szCs w:val="20"/>
        </w:rPr>
        <w:t>12</w:t>
      </w:r>
    </w:p>
    <w:p w:rsidR="00000000" w:rsidRDefault="008325ED">
      <w:pPr>
        <w:rPr>
          <w:rFonts w:eastAsia="Times New Roman"/>
        </w:rPr>
      </w:pPr>
      <w:r>
        <w:rPr>
          <w:rFonts w:eastAsia="Times New Roman"/>
        </w:rPr>
        <w:pict>
          <v:rect id="_x0000_i1038"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The 4.625% Senior Notes and the 4.75% Senior Notes, collectively referred to herein as the "Seni</w:t>
      </w:r>
      <w:r>
        <w:rPr>
          <w:sz w:val="20"/>
          <w:szCs w:val="20"/>
        </w:rPr>
        <w:t>or Notes", are senior unsecured obligations of the Company and are guaranteed by all of the Company's subsidiaries that guarantee the Bank Credit Facility.  CoreCivic may redeem all or part of the Senior Notes at any time prior to three months before their</w:t>
      </w:r>
      <w:r>
        <w:rPr>
          <w:sz w:val="20"/>
          <w:szCs w:val="20"/>
        </w:rPr>
        <w:t xml:space="preserve"> respective maturity date at a "make-whole" redemption price, plus accrued and unpaid interest thereon to, but not including, the redemption date.  Thereafter, the Senior Notes are redeemable at CoreCivic's option, in whole or in part, at a redemption pric</w:t>
      </w:r>
      <w:r>
        <w:rPr>
          <w:sz w:val="20"/>
          <w:szCs w:val="20"/>
        </w:rPr>
        <w:t xml:space="preserve">e equal to 100% of the aggregate principal amount of the notes to be redeemed plus accrued and unpaid interest thereon to, but not including, the redemption date. </w:t>
      </w:r>
    </w:p>
    <w:p w:rsidR="00000000" w:rsidRDefault="008325ED">
      <w:pPr>
        <w:pStyle w:val="a3"/>
        <w:spacing w:before="240" w:beforeAutospacing="0" w:after="0" w:afterAutospacing="0"/>
        <w:ind w:left="476"/>
        <w:jc w:val="both"/>
        <w:rPr>
          <w:sz w:val="20"/>
          <w:szCs w:val="20"/>
        </w:rPr>
      </w:pPr>
      <w:r>
        <w:rPr>
          <w:sz w:val="20"/>
          <w:szCs w:val="20"/>
        </w:rPr>
        <w:t>On April 14, 2021, the Company completed a registered offering of $450.0 million aggregate p</w:t>
      </w:r>
      <w:r>
        <w:rPr>
          <w:sz w:val="20"/>
          <w:szCs w:val="20"/>
        </w:rPr>
        <w:t>rincipal amount of 8.25% senior unsecured notes due 2026 (the "8.25% Senior Notes"), which are guaranteed by the Company's existing and future subsidiaries that guarantee the Bank Credit Facility. The 8.25% Senior Notes were priced at 99.0% of face value a</w:t>
      </w:r>
      <w:r>
        <w:rPr>
          <w:sz w:val="20"/>
          <w:szCs w:val="20"/>
        </w:rPr>
        <w:t>nd as a result have an effective yield to maturity of 8.50%. The net proceeds from the issuance of the 8.25% Senior Notes totaled approximately $435.1 million, after deducting the original issuance and underwriting discounts and estimated offering expenses</w:t>
      </w:r>
      <w:r>
        <w:rPr>
          <w:sz w:val="20"/>
          <w:szCs w:val="20"/>
        </w:rPr>
        <w:t xml:space="preserve">. The Company used a significant amount of the net proceeds from the offering of the 8.25% Senior Notes (i) to redeem all of the $250.0 million aggregate principal amount of CoreCivic's 5.0% senior notes issued in September 2015 (the "5.0% Senior Notes"), </w:t>
      </w:r>
      <w:r>
        <w:rPr>
          <w:sz w:val="20"/>
          <w:szCs w:val="20"/>
        </w:rPr>
        <w:t>including the payment of the applicable "make-whole" redemption amount of $15.5 million and accrued interest, and (ii) to otherwise repay or reduce its other indebtedness, including repurchasing $149.0 million of its 4.625% Senior Notes at an aggregate pur</w:t>
      </w:r>
      <w:r>
        <w:rPr>
          <w:sz w:val="20"/>
          <w:szCs w:val="20"/>
        </w:rPr>
        <w:t>chase price of $151.2 million in privately negotiated transactions, reducing the outstanding balance of the 4.625% Senior Notes to $201.0 million. On June 21, 2021, the Company purchased an additional $27.0 million of its 4.625% Senior Notes at par in an o</w:t>
      </w:r>
      <w:r>
        <w:rPr>
          <w:sz w:val="20"/>
          <w:szCs w:val="20"/>
        </w:rPr>
        <w:t>pen market purchase, further reducing the outstanding balance of the 4.625% Senior Notes to $174.0 million. The "make-whole" redemption amount paid in connection with the redemption of the 5.0% Senior Notes, originally scheduled to mature on October 15, 20</w:t>
      </w:r>
      <w:r>
        <w:rPr>
          <w:sz w:val="20"/>
          <w:szCs w:val="20"/>
        </w:rPr>
        <w:t>22, and the aggregate price paid for the 4.625% Senior Notes in excess of the principal amount of the notes repurchased resulted in charges of $19.2 million during the second quarter of 2021, including costs associated with the repurchases and the proporti</w:t>
      </w:r>
      <w:r>
        <w:rPr>
          <w:sz w:val="20"/>
          <w:szCs w:val="20"/>
        </w:rPr>
        <w:t>onate write-off of existing debt issuance costs.  The remaining net proceeds were used to pay-down a portion of the amounts outstanding under the Revolving Credit Facility and for general corporate purposes.  </w:t>
      </w:r>
    </w:p>
    <w:p w:rsidR="00000000" w:rsidRDefault="008325ED">
      <w:pPr>
        <w:pStyle w:val="a3"/>
        <w:spacing w:before="240" w:beforeAutospacing="0" w:after="0" w:afterAutospacing="0"/>
        <w:ind w:left="476"/>
        <w:jc w:val="both"/>
        <w:rPr>
          <w:sz w:val="20"/>
          <w:szCs w:val="20"/>
        </w:rPr>
      </w:pPr>
      <w:r>
        <w:rPr>
          <w:sz w:val="20"/>
          <w:szCs w:val="20"/>
        </w:rPr>
        <w:t>The Company may redeem all or part of the 8.25</w:t>
      </w:r>
      <w:r>
        <w:rPr>
          <w:sz w:val="20"/>
          <w:szCs w:val="20"/>
        </w:rPr>
        <w:t>% Senior Notes at any time prior to April 15, 2024, in whole or in part, at a "make-whole" redemption price, plus accrued and unpaid interest thereon to, but not including, the redemption date.  Thereafter, the 8.25% Senior Notes are redeemable at CoreCivi</w:t>
      </w:r>
      <w:r>
        <w:rPr>
          <w:sz w:val="20"/>
          <w:szCs w:val="20"/>
        </w:rPr>
        <w:t>c's option, in whole or in part, at a redemption price expressed as a percentage of the principal amount thereof, which percentage is 104.125% beginning on April 15, 2024 and 100% beginning on April 15, 2025, plus, in each such case, accrued and unpaid int</w:t>
      </w:r>
      <w:r>
        <w:rPr>
          <w:sz w:val="20"/>
          <w:szCs w:val="20"/>
        </w:rPr>
        <w:t>erest thereon to, but not including the redemption date.  The indenture governing the 8.25% Senior Notes contains covenants that limit, among other things, the Company's ability to incur indebtedness, pay dividends, make certain investments, prepay indebte</w:t>
      </w:r>
      <w:r>
        <w:rPr>
          <w:sz w:val="20"/>
          <w:szCs w:val="20"/>
        </w:rPr>
        <w:t>dness ranking junior to the 8.25% Senior Notes, incur certain liens, and consolidate, merge or transfer all or substantially all of our assets.</w:t>
      </w:r>
    </w:p>
    <w:p w:rsidR="00000000" w:rsidRDefault="008325ED">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8325ED">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 the 261,000 squar</w:t>
      </w:r>
      <w:r>
        <w:rPr>
          <w:sz w:val="20"/>
          <w:szCs w:val="20"/>
        </w:rPr>
        <w:t>e-foot Capital Commerce Center, located in Tallahassee, Florida, for a purchase price of $44.7 million.  The acquisition was partially financed with a $24.5 million non-recourse mortgage note (the "Capital Commerce Note"), which was fully-secured by the Ca</w:t>
      </w:r>
      <w:r>
        <w:rPr>
          <w:sz w:val="20"/>
          <w:szCs w:val="20"/>
        </w:rPr>
        <w:t>pital Commerce Center property, with an interest rate of 4.5%, maturing in January 2033.  Principal and interest on the Capital Commerce Note were payable in equal monthly payments over the 15-year term of the note. The Capital Commerce Note was pre-payabl</w:t>
      </w:r>
      <w:r>
        <w:rPr>
          <w:sz w:val="20"/>
          <w:szCs w:val="20"/>
        </w:rPr>
        <w:t xml:space="preserve">e at any time with a prepayment charge, if any, equal to an amount so as to maintain the same yield on the Capital Commerce Note as if it had been carried through to its full term using Treasury instruments having a term equal to the remaining term of the </w:t>
      </w:r>
      <w:r>
        <w:rPr>
          <w:sz w:val="20"/>
          <w:szCs w:val="20"/>
        </w:rPr>
        <w:t>Capital Commerce Note as of the prepayment date. CoreCivic capitalized approximately $0.4 million of costs associated with the Capital Commerce Note.  On May 28, 2021, CoreCivic completed the sale of the Capital Commerce Center, along with a warehouse prop</w:t>
      </w:r>
      <w:r>
        <w:rPr>
          <w:sz w:val="20"/>
          <w:szCs w:val="20"/>
        </w:rPr>
        <w:t>erty leased to the GSA in Dayton, Ohio, in a single transaction to a third party for an aggregate price of $73.0 million, generating net proceeds of $46.2 million after the repayment of the Capital Commerce Note and other transaction-related costs. In conn</w:t>
      </w:r>
      <w:r>
        <w:rPr>
          <w:sz w:val="20"/>
          <w:szCs w:val="20"/>
        </w:rPr>
        <w:t>ection with the sale, CoreCivic incurred charges of $3.7 million associated with the prepayment of the Capital Commerce Note recognized in the consolidated statement of operations as expenses associated with debt repayments and refinancing transactions.</w:t>
      </w:r>
    </w:p>
    <w:p w:rsidR="00000000" w:rsidRDefault="008325ED">
      <w:pPr>
        <w:pStyle w:val="a3"/>
        <w:spacing w:before="240" w:beforeAutospacing="0" w:after="0" w:afterAutospacing="0"/>
        <w:jc w:val="center"/>
        <w:rPr>
          <w:sz w:val="20"/>
          <w:szCs w:val="20"/>
        </w:rPr>
      </w:pPr>
      <w:r>
        <w:rPr>
          <w:sz w:val="20"/>
          <w:szCs w:val="20"/>
        </w:rPr>
        <w:t>13</w:t>
      </w:r>
    </w:p>
    <w:p w:rsidR="00000000" w:rsidRDefault="008325ED">
      <w:pPr>
        <w:rPr>
          <w:rFonts w:eastAsia="Times New Roman"/>
        </w:rPr>
      </w:pPr>
      <w:r>
        <w:rPr>
          <w:rFonts w:eastAsia="Times New Roman"/>
        </w:rPr>
        <w:pict>
          <v:rect id="_x0000_i1039"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of Kansas, LLC (the "Issuer"), a wholly-owned unrestricted subsidiary of the Company, priced $159.5 million in aggregate principal amount of non-recourse s</w:t>
      </w:r>
      <w:r>
        <w:rPr>
          <w:color w:val="000000"/>
          <w:sz w:val="20"/>
          <w:szCs w:val="20"/>
        </w:rPr>
        <w:t>enior secured notes of the Issuer (the "Kansas Notes"), in a private placement pursuant to Section 4(a)(2) of the Securities Act of 1933, as amended.  The private placement closed on June 1, 2018.  The Company used the proceeds of the private placement, wh</w:t>
      </w:r>
      <w:r>
        <w:rPr>
          <w:color w:val="000000"/>
          <w:sz w:val="20"/>
          <w:szCs w:val="20"/>
        </w:rPr>
        <w:t>ich were drawn on quarterly funding dates beginning in the second quarter of 2018, to fund construction of the Lansing Correctional Facility, along with costs and expenses of the project.  The Kansas Notes have a yield to maturity of 4.43% and are schedule</w:t>
      </w:r>
      <w:r>
        <w:rPr>
          <w:color w:val="000000"/>
          <w:sz w:val="20"/>
          <w:szCs w:val="20"/>
        </w:rPr>
        <w:t>d to mature in January 2040, 20 years following completion of the project, which occurred in January 2020. Principal and interest on the Kansas Notes are payable in quarterly payments, which began in July 2020 and continue until maturity. CoreCivic may red</w:t>
      </w:r>
      <w:r>
        <w:rPr>
          <w:color w:val="000000"/>
          <w:sz w:val="20"/>
          <w:szCs w:val="20"/>
        </w:rPr>
        <w:t>eem all or part of the Kansas Notes at any time upon written notice of not less than 30 days and not more than 60 days prior to the date fixed for such prepayment, with a "make-whole" amount, together with interest on the Kansas Notes accrued to, but not i</w:t>
      </w:r>
      <w:r>
        <w:rPr>
          <w:color w:val="000000"/>
          <w:sz w:val="20"/>
          <w:szCs w:val="20"/>
        </w:rPr>
        <w:t>ncluding, the redemption date. CoreCivic capitalized approximately $3.4 million of costs associated with the private placement. Because the Issuer has been designated as an unrestricted subsidiary of the Company under terms of the Company's Credit Agreemen</w:t>
      </w:r>
      <w:r>
        <w:rPr>
          <w:color w:val="000000"/>
          <w:sz w:val="20"/>
          <w:szCs w:val="20"/>
        </w:rPr>
        <w:t xml:space="preserve">ts, the issuance and service of the Kansas Notes, and the revenues and expenses associated with the facility lease, do not impact the financial covenants associated with the Company's Credit Agreements.  As of June 30, 2021, the outstanding balance of the </w:t>
      </w:r>
      <w:r>
        <w:rPr>
          <w:color w:val="000000"/>
          <w:sz w:val="20"/>
          <w:szCs w:val="20"/>
        </w:rPr>
        <w:t>Kansas Notes was $155.9 million.</w:t>
      </w:r>
    </w:p>
    <w:p w:rsidR="00000000" w:rsidRDefault="008325ED">
      <w:pPr>
        <w:pStyle w:val="a3"/>
        <w:spacing w:before="240" w:beforeAutospacing="0" w:after="0" w:afterAutospacing="0"/>
        <w:ind w:left="476"/>
        <w:jc w:val="both"/>
        <w:rPr>
          <w:i/>
          <w:iCs/>
          <w:sz w:val="20"/>
          <w:szCs w:val="20"/>
        </w:rPr>
      </w:pPr>
      <w:r>
        <w:rPr>
          <w:i/>
          <w:iCs/>
          <w:sz w:val="20"/>
          <w:szCs w:val="20"/>
        </w:rPr>
        <w:t>SSA-Baltimore.  </w:t>
      </w:r>
      <w:r>
        <w:rPr>
          <w:sz w:val="20"/>
          <w:szCs w:val="20"/>
        </w:rPr>
        <w:t>On August 23, 2018, CoreCivic acquired the 541,000 square-foot SSA-Baltimore office building for a purchase price of $242.0 million.  In connection with the acquisition, a wholly-owned unrestricted subsidiar</w:t>
      </w:r>
      <w:r>
        <w:rPr>
          <w:sz w:val="20"/>
          <w:szCs w:val="20"/>
        </w:rPr>
        <w:t>y of the Company assumed $157.3 million of in-place financing that was used to fund the initial construction of the property in 2014. The assumed non-recourse mortgage note (the "SSA-Baltimore Note") carried a fixed interest rate of 4.5% and required month</w:t>
      </w:r>
      <w:r>
        <w:rPr>
          <w:sz w:val="20"/>
          <w:szCs w:val="20"/>
        </w:rPr>
        <w:t>ly principal and interest payments, with a balloon payment of $40.0 million due at maturity in</w:t>
      </w:r>
      <w:r>
        <w:rPr>
          <w:sz w:val="20"/>
          <w:szCs w:val="20"/>
        </w:rPr>
        <w:t xml:space="preserve"> </w:t>
      </w:r>
      <w:r>
        <w:rPr>
          <w:sz w:val="20"/>
          <w:szCs w:val="20"/>
        </w:rPr>
        <w:t>February 203</w:t>
      </w:r>
      <w:r>
        <w:rPr>
          <w:sz w:val="20"/>
          <w:szCs w:val="20"/>
        </w:rPr>
        <w:t>4</w:t>
      </w:r>
      <w:r>
        <w:rPr>
          <w:sz w:val="20"/>
          <w:szCs w:val="20"/>
        </w:rPr>
        <w:t>. The SSA-Baltimore Note was fully-secured by the SSA-Baltimore property.  CoreCivic could pre-pay the SSA-Baltimore Note in whole or in part upon n</w:t>
      </w:r>
      <w:r>
        <w:rPr>
          <w:sz w:val="20"/>
          <w:szCs w:val="20"/>
        </w:rPr>
        <w:t xml:space="preserve">ot less than 30 days' and not more than 60 days' prior written notice and such pre-payment would include a "make-whole" amount.  During the last 90 days of the permanent loan term and upon 30 days' prior written notice, CoreCivic could pre-pay the note in </w:t>
      </w:r>
      <w:r>
        <w:rPr>
          <w:sz w:val="20"/>
          <w:szCs w:val="20"/>
        </w:rPr>
        <w:t>full, including any accrued and outstanding interest on any permanent loan payment date, without the payment of the "make-whole" amount.  CoreCivic capitalized approximately $0.2 million of costs associated with the assumption of the SSA-Baltimore Note.  O</w:t>
      </w:r>
      <w:r>
        <w:rPr>
          <w:sz w:val="20"/>
          <w:szCs w:val="20"/>
        </w:rPr>
        <w:t>n June 29, 2021, CoreCivic completed the sale of the SSA-Baltimore property to a third party for an aggregate price of $253.0 million, generating net proceeds of $76.4 million after the repayment of the SSA-Baltimore Note and other transaction-related cost</w:t>
      </w:r>
      <w:r>
        <w:rPr>
          <w:sz w:val="20"/>
          <w:szCs w:val="20"/>
        </w:rPr>
        <w:t>s. In connection with the sale, CoreCivic incurred charges of $29.3 million associated with the prepayment of the SSA-Baltimore Note recognized in the consolidated statement of operations as expenses associated with debt repayments and refinancing transact</w:t>
      </w:r>
      <w:r>
        <w:rPr>
          <w:sz w:val="20"/>
          <w:szCs w:val="20"/>
        </w:rPr>
        <w:t>ions.</w:t>
      </w:r>
    </w:p>
    <w:p w:rsidR="00000000" w:rsidRDefault="008325ED">
      <w:pPr>
        <w:pStyle w:val="a3"/>
        <w:spacing w:before="240" w:beforeAutospacing="0" w:after="0" w:afterAutospacing="0"/>
        <w:ind w:left="476"/>
        <w:jc w:val="both"/>
        <w:rPr>
          <w:sz w:val="20"/>
          <w:szCs w:val="20"/>
        </w:rPr>
      </w:pPr>
      <w:r>
        <w:rPr>
          <w:sz w:val="20"/>
          <w:szCs w:val="20"/>
        </w:rPr>
        <w:t>CoreCivic may also seek to issue additional debt or equity securities from time to time when the Company determines that market conditions and the opportunity to utilize the proceeds from the issuance of such securities are favorable.</w:t>
      </w:r>
    </w:p>
    <w:p w:rsidR="00000000" w:rsidRDefault="008325ED">
      <w:pPr>
        <w:pStyle w:val="a3"/>
        <w:spacing w:before="120" w:beforeAutospacing="0" w:after="0" w:afterAutospacing="0"/>
        <w:ind w:left="476"/>
        <w:jc w:val="both"/>
        <w:rPr>
          <w:i/>
          <w:iCs/>
          <w:sz w:val="20"/>
          <w:szCs w:val="20"/>
        </w:rPr>
      </w:pPr>
      <w:r>
        <w:rPr>
          <w:i/>
          <w:iCs/>
          <w:sz w:val="20"/>
          <w:szCs w:val="20"/>
        </w:rPr>
        <w:t>Debt Maturities</w:t>
      </w:r>
      <w:r>
        <w:rPr>
          <w:i/>
          <w:iCs/>
          <w:sz w:val="20"/>
          <w:szCs w:val="20"/>
        </w:rPr>
        <w:t>.</w:t>
      </w:r>
      <w:r>
        <w:rPr>
          <w:sz w:val="20"/>
          <w:szCs w:val="20"/>
        </w:rPr>
        <w:t>  Scheduled principal payments as of June 30, 2021 for the remainder of 2021, the next five years, and thereafter were as follows (in thousands):</w:t>
      </w:r>
    </w:p>
    <w:p w:rsidR="00000000" w:rsidRDefault="008325ED">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1276135604"/>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2021 (remainder)</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15,784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2022</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2023</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467,158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2024</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186,597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2025</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2026</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456,326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378,014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76135604"/>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debt</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1,545,078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05283675"/>
        </w:trPr>
        <w:tc>
          <w:tcPr>
            <w:tcW w:w="227" w:type="pct"/>
            <w:noWrap/>
            <w:hideMark/>
          </w:tcPr>
          <w:p w:rsidR="00000000" w:rsidRDefault="008325ED">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8325ED">
            <w:pPr>
              <w:pStyle w:val="a3"/>
              <w:spacing w:before="160" w:beforeAutospacing="0" w:after="0" w:afterAutospacing="0"/>
              <w:jc w:val="both"/>
              <w:rPr>
                <w:b/>
                <w:bCs/>
                <w:sz w:val="20"/>
                <w:szCs w:val="20"/>
              </w:rPr>
            </w:pPr>
            <w:r>
              <w:rPr>
                <w:b/>
                <w:bCs/>
                <w:sz w:val="20"/>
                <w:szCs w:val="20"/>
              </w:rPr>
              <w:t>STOCKHOLDERS' EQUITY</w:t>
            </w:r>
          </w:p>
        </w:tc>
      </w:tr>
    </w:tbl>
    <w:p w:rsidR="00000000" w:rsidRDefault="008325ED">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8325ED">
      <w:pPr>
        <w:pStyle w:val="a3"/>
        <w:spacing w:before="240" w:beforeAutospacing="0" w:after="0" w:afterAutospacing="0"/>
        <w:ind w:left="476"/>
        <w:jc w:val="both"/>
        <w:rPr>
          <w:sz w:val="20"/>
          <w:szCs w:val="20"/>
        </w:rPr>
      </w:pPr>
      <w:r>
        <w:rPr>
          <w:sz w:val="20"/>
          <w:szCs w:val="20"/>
        </w:rPr>
        <w:t xml:space="preserve">On February 20, 2020, the BOD declared a quarterly dividend of $0.44 per common share payable </w:t>
      </w:r>
      <w:r>
        <w:rPr>
          <w:sz w:val="20"/>
          <w:szCs w:val="20"/>
        </w:rPr>
        <w:t>April 15, 2020 to stockholders of record on April 1, 2020. As further discussed in Note 1, on August 5, 2020, the BOD voted unanimously to approve a plan to revoke the Company’s REIT election and become a taxable C Corporation, effective January 1, 2021; t</w:t>
      </w:r>
      <w:r>
        <w:rPr>
          <w:sz w:val="20"/>
          <w:szCs w:val="20"/>
        </w:rPr>
        <w:t>he BOD also voted unanimously to discontinue the quarterly dividend and prioritize allocating the Company's free cash flow to reduce debt levels.  </w:t>
      </w:r>
    </w:p>
    <w:p w:rsidR="00000000" w:rsidRDefault="008325ED">
      <w:pPr>
        <w:pStyle w:val="a3"/>
        <w:spacing w:before="240" w:beforeAutospacing="0" w:after="0" w:afterAutospacing="0"/>
        <w:jc w:val="center"/>
        <w:rPr>
          <w:sz w:val="20"/>
          <w:szCs w:val="20"/>
        </w:rPr>
      </w:pPr>
      <w:r>
        <w:rPr>
          <w:sz w:val="20"/>
          <w:szCs w:val="20"/>
        </w:rPr>
        <w:t>14</w:t>
      </w:r>
    </w:p>
    <w:p w:rsidR="00000000" w:rsidRDefault="008325ED">
      <w:pPr>
        <w:rPr>
          <w:rFonts w:eastAsia="Times New Roman"/>
        </w:rPr>
      </w:pPr>
      <w:r>
        <w:rPr>
          <w:rFonts w:eastAsia="Times New Roman"/>
        </w:rPr>
        <w:pict>
          <v:rect id="_x0000_i1040"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ind w:left="476"/>
        <w:jc w:val="both"/>
        <w:rPr>
          <w:b/>
          <w:bCs/>
          <w:sz w:val="20"/>
          <w:szCs w:val="20"/>
        </w:rPr>
      </w:pPr>
      <w:r>
        <w:rPr>
          <w:b/>
          <w:bCs/>
          <w:sz w:val="20"/>
          <w:szCs w:val="20"/>
        </w:rPr>
        <w:t>Restricted Stock Units</w:t>
      </w:r>
    </w:p>
    <w:p w:rsidR="00000000" w:rsidRDefault="008325ED">
      <w:pPr>
        <w:pStyle w:val="a3"/>
        <w:spacing w:before="120" w:beforeAutospacing="0" w:after="0" w:afterAutospacing="0"/>
        <w:ind w:left="476"/>
        <w:jc w:val="both"/>
        <w:rPr>
          <w:sz w:val="20"/>
          <w:szCs w:val="20"/>
        </w:rPr>
      </w:pPr>
      <w:r>
        <w:rPr>
          <w:sz w:val="20"/>
          <w:szCs w:val="20"/>
        </w:rPr>
        <w:t>During the first six months of 2021, CoreCi</w:t>
      </w:r>
      <w:r>
        <w:rPr>
          <w:sz w:val="20"/>
          <w:szCs w:val="20"/>
        </w:rPr>
        <w:t>vic issued approximately 2.7 million restricted common stock units ("RSUs") to certain of its employees and non-employee directors, with an aggregate value of $21.8 million, including 2.5 million RSUs to employees and non-employee directors whose compensat</w:t>
      </w:r>
      <w:r>
        <w:rPr>
          <w:sz w:val="20"/>
          <w:szCs w:val="20"/>
        </w:rPr>
        <w:t xml:space="preserve">ion is charged to general and administrative expense and 0.2 million RSUs to employees whose compensation is charged to operating expense. During 2020, CoreCivic issued approximately 1.2 million RSUs to certain of its employees and non-employee directors, </w:t>
      </w:r>
      <w:r>
        <w:rPr>
          <w:sz w:val="20"/>
          <w:szCs w:val="20"/>
        </w:rPr>
        <w:t>with an aggregate value of $20.9 million, including 1.1 million RSUs to employees and non-employee directors whose compensation is charged to general and administrative expense and 0.1 million RSUs to employees whose compensation is charged to operating ex</w:t>
      </w:r>
      <w:r>
        <w:rPr>
          <w:sz w:val="20"/>
          <w:szCs w:val="20"/>
        </w:rPr>
        <w:t xml:space="preserve">pense. </w:t>
      </w:r>
    </w:p>
    <w:p w:rsidR="00000000" w:rsidRDefault="008325ED">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has </w:t>
      </w:r>
      <w:r>
        <w:rPr>
          <w:sz w:val="20"/>
          <w:szCs w:val="20"/>
        </w:rPr>
        <w:t>established performance-based vesting conditions on the RSUs awarded to its officers and executive officers that, unless earlier vested under the terms of the agreements, are subject to vesting over a</w:t>
      </w:r>
      <w:r>
        <w:rPr>
          <w:sz w:val="20"/>
          <w:szCs w:val="20"/>
        </w:rPr>
        <w:t xml:space="preserve"> </w:t>
      </w:r>
      <w:r>
        <w:rPr>
          <w:sz w:val="20"/>
          <w:szCs w:val="20"/>
        </w:rPr>
        <w:t>three-yea</w:t>
      </w:r>
      <w:r>
        <w:rPr>
          <w:sz w:val="20"/>
          <w:szCs w:val="20"/>
        </w:rPr>
        <w:t>r</w:t>
      </w:r>
      <w:r>
        <w:rPr>
          <w:sz w:val="20"/>
          <w:szCs w:val="20"/>
        </w:rPr>
        <w:t xml:space="preserve"> period bas</w:t>
      </w:r>
      <w:r>
        <w:rPr>
          <w:sz w:val="20"/>
          <w:szCs w:val="20"/>
        </w:rPr>
        <w:t>ed upon the satisfaction of certain annual performance criteria, and no more than</w:t>
      </w:r>
      <w:r>
        <w:rPr>
          <w:sz w:val="20"/>
          <w:szCs w:val="20"/>
        </w:rPr>
        <w:t xml:space="preserve"> </w:t>
      </w:r>
      <w:r>
        <w:rPr>
          <w:sz w:val="20"/>
          <w:szCs w:val="20"/>
        </w:rPr>
        <w:t>one-thir</w:t>
      </w:r>
      <w:r>
        <w:rPr>
          <w:sz w:val="20"/>
          <w:szCs w:val="20"/>
        </w:rPr>
        <w:t>d</w:t>
      </w:r>
      <w:r>
        <w:rPr>
          <w:sz w:val="20"/>
          <w:szCs w:val="20"/>
        </w:rPr>
        <w:t xml:space="preserve"> of the RSUs can vest in any one performance period.  The RSUs awarded to officers and executive officers in 2019, 2020 and 2021 consist of a combination of awards w</w:t>
      </w:r>
      <w:r>
        <w:rPr>
          <w:sz w:val="20"/>
          <w:szCs w:val="20"/>
        </w:rPr>
        <w:t>ith performance-based conditions and time-based conditions.  Unless earlier vested under the terms of the RSU agreements, the RSUs with time-based vesting conditions vest evenly generally on the first, second, and third anniversary of the award. The RSUs w</w:t>
      </w:r>
      <w:r>
        <w:rPr>
          <w:sz w:val="20"/>
          <w:szCs w:val="20"/>
        </w:rPr>
        <w:t>ith performance-based vesting conditions are divided into one-third increments, each of which is subject to vesting based upon satisfaction of certain annual performance criteria established at the beginning of the fiscal years ending December 31, 2019, 20</w:t>
      </w:r>
      <w:r>
        <w:rPr>
          <w:sz w:val="20"/>
          <w:szCs w:val="20"/>
        </w:rPr>
        <w:t>20, and 2021 for the 2019 awards, December 31, 2020, 2021, and 2022 for the 2020 awards, and December 31, 2021, 2022, and 2023 for the 2021 awards, and which can be increased up to 150% or decreased to 0% based on performance relative to the annual perform</w:t>
      </w:r>
      <w:r>
        <w:rPr>
          <w:sz w:val="20"/>
          <w:szCs w:val="20"/>
        </w:rPr>
        <w:t xml:space="preserve">ance criteria, and further increased or decreased using a modifier of 80% to 120% based on CoreCivic's total shareholder return relative to a peer group.  Because the performance criteria for the fiscal years ending December 31, 2022 and 2023 have not yet </w:t>
      </w:r>
      <w:r>
        <w:rPr>
          <w:sz w:val="20"/>
          <w:szCs w:val="20"/>
        </w:rPr>
        <w:t>been established, the values of the third RSU increment of the 2020 awards and of the second and third increments of the 2021 awards for financial reporting purposes will not be determined until such criteria are established.  Time-based RSUs issued to oth</w:t>
      </w:r>
      <w:r>
        <w:rPr>
          <w:sz w:val="20"/>
          <w:szCs w:val="20"/>
        </w:rPr>
        <w:t>er employees, unless earlier vested under the terms of the agreements, generally vest equally on the first, second, and third anniversary of the award.  RSUs issued to non-employee directors generally vest one year from the date of award.  </w:t>
      </w:r>
    </w:p>
    <w:p w:rsidR="00000000" w:rsidRDefault="008325ED">
      <w:pPr>
        <w:pStyle w:val="a3"/>
        <w:spacing w:before="240" w:beforeAutospacing="0" w:after="0" w:afterAutospacing="0"/>
        <w:ind w:left="476"/>
        <w:jc w:val="both"/>
        <w:rPr>
          <w:sz w:val="20"/>
          <w:szCs w:val="20"/>
        </w:rPr>
      </w:pPr>
      <w:r>
        <w:rPr>
          <w:sz w:val="20"/>
          <w:szCs w:val="20"/>
        </w:rPr>
        <w:t>During the thre</w:t>
      </w:r>
      <w:r>
        <w:rPr>
          <w:sz w:val="20"/>
          <w:szCs w:val="20"/>
        </w:rPr>
        <w:t xml:space="preserve">e months ended June 30, 2021, CoreCivic expensed $4.3 million, net of forfeitures, relating to RSUs ($0.3 million of which was recorded in operating expenses and $4.0 million of which was recorded in general and administrative expenses).  During the three </w:t>
      </w:r>
      <w:r>
        <w:rPr>
          <w:sz w:val="20"/>
          <w:szCs w:val="20"/>
        </w:rPr>
        <w:t xml:space="preserve">months ended June 30, 2020, CoreCivic expensed $4.3 million, net of forfeitures, relating to RSUs ($0.4 million of which was recorded in operating expenses and $3.9 million of which was recorded in general and administrative expenses). </w:t>
      </w:r>
    </w:p>
    <w:p w:rsidR="00000000" w:rsidRDefault="008325ED">
      <w:pPr>
        <w:pStyle w:val="a3"/>
        <w:spacing w:before="240" w:beforeAutospacing="0" w:after="0" w:afterAutospacing="0"/>
        <w:ind w:left="476"/>
        <w:jc w:val="both"/>
        <w:rPr>
          <w:sz w:val="20"/>
          <w:szCs w:val="20"/>
        </w:rPr>
      </w:pPr>
      <w:r>
        <w:rPr>
          <w:sz w:val="20"/>
          <w:szCs w:val="20"/>
        </w:rPr>
        <w:t>During the six mont</w:t>
      </w:r>
      <w:r>
        <w:rPr>
          <w:sz w:val="20"/>
          <w:szCs w:val="20"/>
        </w:rPr>
        <w:t>hs ended June 30, 2021, CoreCivic expensed $8.5 million, net of forfeitures, relating to RSUs ($0.8 million of which was recorded in operating expenses and $7.7 million of which was recorded in general and administrative expenses). During the six months en</w:t>
      </w:r>
      <w:r>
        <w:rPr>
          <w:sz w:val="20"/>
          <w:szCs w:val="20"/>
        </w:rPr>
        <w:t>ded June 30, 2020, CoreCivic expensed $8.9 million, net of forfeitures, relating to RSUs ($0.9 million of which was recorded in operating expenses and $8.0 million of which was recorded in general and administrative expenses). As of June 30, 2021, approxim</w:t>
      </w:r>
      <w:r>
        <w:rPr>
          <w:sz w:val="20"/>
          <w:szCs w:val="20"/>
        </w:rPr>
        <w:t>ately 3.5 million RSUs remained outstanding and subject to vesting.</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51536061"/>
        </w:trPr>
        <w:tc>
          <w:tcPr>
            <w:tcW w:w="227" w:type="pct"/>
            <w:noWrap/>
            <w:hideMark/>
          </w:tcPr>
          <w:p w:rsidR="00000000" w:rsidRDefault="008325ED">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EARNINGS PER SHARE</w:t>
            </w:r>
          </w:p>
        </w:tc>
      </w:tr>
    </w:tbl>
    <w:p w:rsidR="00000000" w:rsidRDefault="008325ED">
      <w:pPr>
        <w:pStyle w:val="a3"/>
        <w:spacing w:before="120" w:beforeAutospacing="0" w:after="0" w:afterAutospacing="0"/>
        <w:ind w:left="476"/>
        <w:jc w:val="both"/>
        <w:rPr>
          <w:sz w:val="20"/>
          <w:szCs w:val="20"/>
        </w:rPr>
      </w:pPr>
      <w:r>
        <w:rPr>
          <w:sz w:val="20"/>
          <w:szCs w:val="20"/>
        </w:rPr>
        <w:t xml:space="preserve">Basic earnings per share is computed by dividing net income by the weighted average number of common shares outstanding during the year.  Diluted earnings per share </w:t>
      </w:r>
      <w:r>
        <w:rPr>
          <w:sz w:val="20"/>
          <w:szCs w:val="20"/>
        </w:rPr>
        <w:t>reflects the potential dilution that could occur if securities or other contracts to issue common stock were exercised or converted into common stock or resulted in the issuance of common stock that then shared in the earnings of the entity.  For CoreCivic</w:t>
      </w:r>
      <w:r>
        <w:rPr>
          <w:sz w:val="20"/>
          <w:szCs w:val="20"/>
        </w:rPr>
        <w:t>, diluted earnings per share is computed by dividing net income by the weighted average number of common shares after considering the additional dilution related to restricted stock-based awards, stock options, and Operating Partnership Units.</w:t>
      </w:r>
    </w:p>
    <w:p w:rsidR="00000000" w:rsidRDefault="008325ED">
      <w:pPr>
        <w:pStyle w:val="a3"/>
        <w:spacing w:before="240" w:beforeAutospacing="0" w:after="0" w:afterAutospacing="0"/>
        <w:jc w:val="center"/>
        <w:rPr>
          <w:sz w:val="20"/>
          <w:szCs w:val="20"/>
        </w:rPr>
      </w:pPr>
      <w:r>
        <w:rPr>
          <w:sz w:val="20"/>
          <w:szCs w:val="20"/>
        </w:rPr>
        <w:t>15</w:t>
      </w:r>
    </w:p>
    <w:p w:rsidR="00000000" w:rsidRDefault="008325ED">
      <w:pPr>
        <w:rPr>
          <w:rFonts w:eastAsia="Times New Roman"/>
        </w:rPr>
      </w:pPr>
      <w:r>
        <w:rPr>
          <w:rFonts w:eastAsia="Times New Roman"/>
        </w:rPr>
        <w:pict>
          <v:rect id="_x0000_i1041"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A reconciliation of the numerator and denominator of the basic earnings per share computation to the numerator and denominator of the diluted earnings per share computation is as follows (in thousands, except per share</w:t>
      </w:r>
      <w:r>
        <w:rPr>
          <w:sz w:val="20"/>
          <w:szCs w:val="20"/>
        </w:rPr>
        <w:t xml:space="preserve"> data):</w:t>
      </w:r>
    </w:p>
    <w:p w:rsidR="00000000" w:rsidRDefault="008325ED">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1"/>
        <w:gridCol w:w="65"/>
        <w:gridCol w:w="115"/>
        <w:gridCol w:w="665"/>
        <w:gridCol w:w="65"/>
        <w:gridCol w:w="65"/>
        <w:gridCol w:w="115"/>
        <w:gridCol w:w="665"/>
        <w:gridCol w:w="65"/>
        <w:gridCol w:w="65"/>
        <w:gridCol w:w="115"/>
        <w:gridCol w:w="732"/>
        <w:gridCol w:w="82"/>
        <w:gridCol w:w="65"/>
        <w:gridCol w:w="115"/>
        <w:gridCol w:w="665"/>
        <w:gridCol w:w="65"/>
      </w:tblGrid>
      <w:tr w:rsidR="00000000">
        <w:trPr>
          <w:divId w:val="1723674599"/>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723674599"/>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NUMERATOR</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income (loss) attributable to common stockholders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54,243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income (loss) attributable to common stockholders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54,243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Net income attributable to non-controlling interest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Diluted net income (loss) attributable to common</w:t>
            </w:r>
          </w:p>
          <w:p w:rsidR="00000000" w:rsidRDefault="008325ED">
            <w:pPr>
              <w:pStyle w:val="a3"/>
              <w:spacing w:before="0" w:beforeAutospacing="0" w:after="0" w:afterAutospacing="0"/>
              <w:ind w:left="274"/>
              <w:rPr>
                <w:color w:val="000000"/>
                <w:sz w:val="20"/>
                <w:szCs w:val="20"/>
              </w:rPr>
            </w:pPr>
            <w:r>
              <w:rPr>
                <w:color w:val="000000"/>
                <w:sz w:val="20"/>
                <w:szCs w:val="20"/>
              </w:rPr>
              <w:t>    stockholders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55,424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DENOMINATOR</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Basic:</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120,283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120,098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119,483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Diluted:</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120,283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119,630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120,098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119,483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Effect of dilutive securities: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Restricted stock-based awards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9" w:type="pct"/>
            <w:gridSpan w:val="2"/>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Non-controlling interest – Operating Partnership</w:t>
            </w:r>
          </w:p>
          <w:p w:rsidR="00000000" w:rsidRDefault="008325ED">
            <w:pPr>
              <w:pStyle w:val="a3"/>
              <w:spacing w:before="0" w:beforeAutospacing="0" w:after="0" w:afterAutospacing="0"/>
              <w:ind w:left="547"/>
              <w:rPr>
                <w:color w:val="000000"/>
                <w:sz w:val="20"/>
                <w:szCs w:val="20"/>
              </w:rPr>
            </w:pPr>
            <w:r>
              <w:rPr>
                <w:color w:val="000000"/>
                <w:sz w:val="20"/>
                <w:szCs w:val="20"/>
              </w:rPr>
              <w:t>     Units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122,059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120,974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121,715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120,850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BASIC EARNINGS (LOSS) PER SHARE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(0.92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23674599"/>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DILUTED EARNINGS (LOSS) PER SHARE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(0.92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ind w:left="476"/>
        <w:jc w:val="both"/>
        <w:rPr>
          <w:sz w:val="20"/>
          <w:szCs w:val="20"/>
        </w:rPr>
      </w:pPr>
      <w:r>
        <w:rPr>
          <w:sz w:val="20"/>
          <w:szCs w:val="20"/>
        </w:rPr>
        <w:t xml:space="preserve">Approximately 0.3 million and 0.5 </w:t>
      </w:r>
      <w:r>
        <w:rPr>
          <w:sz w:val="20"/>
          <w:szCs w:val="20"/>
        </w:rPr>
        <w:t>million stock options were excluded from the computation of diluted earnings per share for the three months ended June 30, 2021 and 2020, respectively, because they were anti-dilutive. Approximately 0.4 million and 0.5 million stock options were excluded f</w:t>
      </w:r>
      <w:r>
        <w:rPr>
          <w:sz w:val="20"/>
          <w:szCs w:val="20"/>
        </w:rPr>
        <w:t xml:space="preserve">rom the computation of diluted earnings per share for the six months ended June 30, 2021 and 2020, respectively,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10571793"/>
        </w:trPr>
        <w:tc>
          <w:tcPr>
            <w:tcW w:w="227" w:type="pct"/>
            <w:noWrap/>
            <w:hideMark/>
          </w:tcPr>
          <w:p w:rsidR="00000000" w:rsidRDefault="008325ED">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COMMITMENTS AND CONTINGENCIES</w:t>
            </w:r>
          </w:p>
        </w:tc>
      </w:tr>
    </w:tbl>
    <w:p w:rsidR="00000000" w:rsidRDefault="008325ED">
      <w:pPr>
        <w:pStyle w:val="a3"/>
        <w:spacing w:before="120" w:beforeAutospacing="0" w:after="0" w:afterAutospacing="0"/>
        <w:ind w:left="476"/>
        <w:jc w:val="both"/>
        <w:rPr>
          <w:b/>
          <w:bCs/>
          <w:sz w:val="20"/>
          <w:szCs w:val="20"/>
        </w:rPr>
      </w:pPr>
      <w:r>
        <w:rPr>
          <w:b/>
          <w:bCs/>
          <w:sz w:val="20"/>
          <w:szCs w:val="20"/>
        </w:rPr>
        <w:t>Legal Proceedings</w:t>
      </w:r>
    </w:p>
    <w:p w:rsidR="00000000" w:rsidRDefault="008325ED">
      <w:pPr>
        <w:pStyle w:val="a3"/>
        <w:spacing w:before="120" w:beforeAutospacing="0" w:after="0" w:afterAutospacing="0"/>
        <w:ind w:left="476"/>
        <w:jc w:val="both"/>
        <w:rPr>
          <w:sz w:val="20"/>
          <w:szCs w:val="20"/>
        </w:rPr>
      </w:pPr>
      <w:r>
        <w:rPr>
          <w:sz w:val="20"/>
          <w:szCs w:val="20"/>
        </w:rPr>
        <w:t xml:space="preserve">The nature of CoreCivic's business results in claims and </w:t>
      </w:r>
      <w:r>
        <w:rPr>
          <w:sz w:val="20"/>
          <w:szCs w:val="20"/>
        </w:rPr>
        <w:t>litigation alleging that it is liable for damages arising from the conduct of its employees, offenders or others.  The nature of such claims includes, but is not limited to, claims arising from employee or offender misconduct, medical malpractice, employme</w:t>
      </w:r>
      <w:r>
        <w:rPr>
          <w:sz w:val="20"/>
          <w:szCs w:val="20"/>
        </w:rPr>
        <w:t xml:space="preserve">nt matters, property loss, contractual claims, including claims regarding compliance with contract performance requirements, and personal injury or other damages resulting from contact with CoreCivic's facilities, personnel or offenders, including damages </w:t>
      </w:r>
      <w:r>
        <w:rPr>
          <w:sz w:val="20"/>
          <w:szCs w:val="20"/>
        </w:rPr>
        <w:t>arising from an offender's escape or from a disturbance at a facility.  CoreCivic maintains insurance to cover many of these claims, which may mitigate the risk that any single claim would have a material effect on CoreCivic's consolidated financial positi</w:t>
      </w:r>
      <w:r>
        <w:rPr>
          <w:sz w:val="20"/>
          <w:szCs w:val="20"/>
        </w:rPr>
        <w:t>on, results of operations, or cash flows, provided the claim is one for which coverage is available.  The combination of self-insured retentions and deductible amounts means that, in the aggregate, CoreCivic is subject to substantial self-insurance risk.  </w:t>
      </w:r>
    </w:p>
    <w:p w:rsidR="00000000" w:rsidRDefault="008325ED">
      <w:pPr>
        <w:pStyle w:val="a3"/>
        <w:spacing w:before="240" w:beforeAutospacing="0" w:after="0" w:afterAutospacing="0"/>
        <w:ind w:left="476"/>
        <w:jc w:val="both"/>
        <w:rPr>
          <w:sz w:val="20"/>
          <w:szCs w:val="20"/>
        </w:rPr>
      </w:pPr>
      <w:r>
        <w:rPr>
          <w:sz w:val="20"/>
          <w:szCs w:val="20"/>
        </w:rPr>
        <w:t>Based upon management's review of the potential claims and outstanding litigation, and based upon management's experience and history of estimating losses, and taking into consideration CoreCivic's self-insured retention amounts, management believes a los</w:t>
      </w:r>
      <w:r>
        <w:rPr>
          <w:sz w:val="20"/>
          <w:szCs w:val="20"/>
        </w:rPr>
        <w:t>s in excess of amounts already recognized would not be material to CoreCivic's financial statements.  Adversarial proceedings and litigation are, however, subject to inherent uncertainties, and unfavorable decisions and rulings resulting from legal proceed</w:t>
      </w:r>
      <w:r>
        <w:rPr>
          <w:sz w:val="20"/>
          <w:szCs w:val="20"/>
        </w:rPr>
        <w:t>ings could occur which could have a material impact on CoreCivic's consolidated financial position, results of operations, or cash flows for the period in which such decisions or rulings occur, or future periods.  Expenses associated with legal proceedings</w:t>
      </w:r>
      <w:r>
        <w:rPr>
          <w:sz w:val="20"/>
          <w:szCs w:val="20"/>
        </w:rPr>
        <w:t xml:space="preserve"> may also fluctuate from quarter to quarter based on changes in CoreCivic's assumptions, new developments, or by the effectiveness of CoreCivic's litigation and settlement strategies.  </w:t>
      </w:r>
    </w:p>
    <w:p w:rsidR="00000000" w:rsidRDefault="008325ED">
      <w:pPr>
        <w:pStyle w:val="a3"/>
        <w:spacing w:before="240" w:beforeAutospacing="0" w:after="0" w:afterAutospacing="0"/>
        <w:jc w:val="center"/>
        <w:rPr>
          <w:sz w:val="20"/>
          <w:szCs w:val="20"/>
        </w:rPr>
      </w:pPr>
      <w:r>
        <w:rPr>
          <w:sz w:val="20"/>
          <w:szCs w:val="20"/>
        </w:rPr>
        <w:t>16</w:t>
      </w:r>
    </w:p>
    <w:p w:rsidR="00000000" w:rsidRDefault="008325ED">
      <w:pPr>
        <w:rPr>
          <w:rFonts w:eastAsia="Times New Roman"/>
        </w:rPr>
      </w:pPr>
      <w:r>
        <w:rPr>
          <w:rFonts w:eastAsia="Times New Roman"/>
        </w:rPr>
        <w:pict>
          <v:rect id="_x0000_i1042"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sz w:val="20"/>
          <w:szCs w:val="20"/>
        </w:rPr>
      </w:pPr>
      <w:r>
        <w:rPr>
          <w:sz w:val="20"/>
          <w:szCs w:val="20"/>
        </w:rPr>
        <w:t>CoreCivic records a liabilit</w:t>
      </w:r>
      <w:r>
        <w:rPr>
          <w:sz w:val="20"/>
          <w:szCs w:val="20"/>
        </w:rPr>
        <w:t>y in the consolidated financial statements for loss contingencies when a loss is known or considered probable, and the amount can be reasonably estimated.  If the reasonable estimate of a known or probable loss is a range, and no amount within the range is</w:t>
      </w:r>
      <w:r>
        <w:rPr>
          <w:sz w:val="20"/>
          <w:szCs w:val="20"/>
        </w:rPr>
        <w:t xml:space="preserve"> a better estimate than any other, the minimum amount of the range is accrued.  If a loss is reasonably possible but not known or probable, and can be reasonably estimated, the estimated loss or range of loss is disclosed.  When determining the estimated l</w:t>
      </w:r>
      <w:r>
        <w:rPr>
          <w:sz w:val="20"/>
          <w:szCs w:val="20"/>
        </w:rPr>
        <w:t>oss or range of loss, significant judgment is required to estimate the amount and timing of a loss to be recorded.  Any receivable for insurance recoveries is recorded separately from the corresponding litigation reserve, and only if recovery is determined</w:t>
      </w:r>
      <w:r>
        <w:rPr>
          <w:sz w:val="20"/>
          <w:szCs w:val="20"/>
        </w:rPr>
        <w:t xml:space="preserve"> to be probable and the amount of payment can be determined.  CoreCivic does not accrue for anticipated legal fees and costs but expenses those items as incurred.  </w:t>
      </w:r>
    </w:p>
    <w:p w:rsidR="00000000" w:rsidRDefault="008325ED">
      <w:pPr>
        <w:pStyle w:val="a3"/>
        <w:spacing w:before="240" w:beforeAutospacing="0" w:after="0" w:afterAutospacing="0"/>
        <w:ind w:left="476"/>
        <w:jc w:val="both"/>
        <w:rPr>
          <w:i/>
          <w:iCs/>
          <w:sz w:val="20"/>
          <w:szCs w:val="20"/>
        </w:rPr>
      </w:pPr>
      <w:r>
        <w:rPr>
          <w:i/>
          <w:iCs/>
          <w:sz w:val="20"/>
          <w:szCs w:val="20"/>
        </w:rPr>
        <w:t>ICE Detainee Labor and Related Matters.</w:t>
      </w:r>
    </w:p>
    <w:p w:rsidR="00000000" w:rsidRDefault="008325ED">
      <w:pPr>
        <w:pStyle w:val="a3"/>
        <w:spacing w:before="0" w:beforeAutospacing="0" w:after="0" w:afterAutospacing="0"/>
        <w:ind w:left="476"/>
        <w:jc w:val="both"/>
        <w:rPr>
          <w:sz w:val="20"/>
          <w:szCs w:val="20"/>
        </w:rPr>
      </w:pPr>
      <w:r>
        <w:rPr>
          <w:sz w:val="20"/>
          <w:szCs w:val="20"/>
        </w:rPr>
        <w:t>On May 31, 2017, two former U.S. Immigration and Cu</w:t>
      </w:r>
      <w:r>
        <w:rPr>
          <w:sz w:val="20"/>
          <w:szCs w:val="20"/>
        </w:rPr>
        <w:t>stoms Enforcement ("ICE") detainees, who were detained at the Company's Otay Mesa Detention Center (“OMDC”) in San Diego, California, filed a class action lawsuit against the Company in the United States District Court for the Southern District of Californ</w:t>
      </w:r>
      <w:r>
        <w:rPr>
          <w:sz w:val="20"/>
          <w:szCs w:val="20"/>
        </w:rPr>
        <w:t>ia. The complaint alleged that the Company forces detainees to perform labor under threat of punishment in violation of state and federal anti-trafficking laws and that OMDC’s Voluntary Work Program (“VWP”) violates state labor laws including state minimum</w:t>
      </w:r>
      <w:r>
        <w:rPr>
          <w:sz w:val="20"/>
          <w:szCs w:val="20"/>
        </w:rPr>
        <w:t xml:space="preserve"> wage law. ICE requires that CoreCivic offer and operate the VWP in conformance with ICE standards and ICE prescribes the minimum rate of pay for VWP participants. The Plaintiffs seek compensatory damages, exemplary damages, restitution, penalties, and int</w:t>
      </w:r>
      <w:r>
        <w:rPr>
          <w:sz w:val="20"/>
          <w:szCs w:val="20"/>
        </w:rPr>
        <w:t>erest as well as declaratory and injunctive relief on behalf of former and current detainees. On April 1, 2020, the district court certified a nationwide anti-trafficking claims class of former and current detainees at all CoreCivic ICE detention facilitie</w:t>
      </w:r>
      <w:r>
        <w:rPr>
          <w:sz w:val="20"/>
          <w:szCs w:val="20"/>
        </w:rPr>
        <w:t>s. It also certified a state law class of former and current detainees at the Company’s ICE detention facilities in California. The court did not certify any claims for injunctive or declaratory relief. On March 10, 2021, the Ninth Circuit Court of Appeals</w:t>
      </w:r>
      <w:r>
        <w:rPr>
          <w:sz w:val="20"/>
          <w:szCs w:val="20"/>
        </w:rPr>
        <w:t xml:space="preserve"> granted CoreCivic's petition to appeal the class certification ruling.  Since this case was initially filed, four similar lawsuits have been filed in other courts in California, Texas, Maryland and Georgia. The Company disputes these allegations and inten</w:t>
      </w:r>
      <w:r>
        <w:rPr>
          <w:sz w:val="20"/>
          <w:szCs w:val="20"/>
        </w:rPr>
        <w:t>ds to take all necessary steps to vigorously defend itself against all claims.</w:t>
      </w:r>
    </w:p>
    <w:p w:rsidR="00000000" w:rsidRDefault="008325ED">
      <w:pPr>
        <w:pStyle w:val="a3"/>
        <w:spacing w:before="240" w:beforeAutospacing="0" w:after="0" w:afterAutospacing="0"/>
        <w:ind w:left="476"/>
        <w:jc w:val="both"/>
        <w:rPr>
          <w:sz w:val="20"/>
          <w:szCs w:val="20"/>
        </w:rPr>
      </w:pPr>
      <w:r>
        <w:rPr>
          <w:sz w:val="20"/>
          <w:szCs w:val="20"/>
        </w:rPr>
        <w:t xml:space="preserve">Due to the stage of this proceeding, the Company cannot reasonably predict the outcome, nor can it estimate the amount of loss or range of loss, if any, that may result.  As a result, the Company has not recorded an accrual relating to this matter at this </w:t>
      </w:r>
      <w:r>
        <w:rPr>
          <w:sz w:val="20"/>
          <w:szCs w:val="20"/>
        </w:rPr>
        <w:t>time, as losses are not considered probable or reasonably estimable at this stage of these lawsuits.</w:t>
      </w:r>
    </w:p>
    <w:p w:rsidR="00000000" w:rsidRDefault="008325ED">
      <w:pPr>
        <w:pStyle w:val="a3"/>
        <w:spacing w:before="240" w:beforeAutospacing="0" w:after="0" w:afterAutospacing="0"/>
        <w:ind w:left="476"/>
        <w:jc w:val="both"/>
        <w:rPr>
          <w:i/>
          <w:iCs/>
          <w:sz w:val="20"/>
          <w:szCs w:val="20"/>
        </w:rPr>
      </w:pPr>
      <w:r>
        <w:rPr>
          <w:i/>
          <w:iCs/>
          <w:sz w:val="20"/>
          <w:szCs w:val="20"/>
        </w:rPr>
        <w:t>Shareholder Litigation.</w:t>
      </w:r>
    </w:p>
    <w:p w:rsidR="00000000" w:rsidRDefault="008325ED">
      <w:pPr>
        <w:pStyle w:val="a3"/>
        <w:spacing w:before="0" w:beforeAutospacing="0" w:after="0" w:afterAutospacing="0"/>
        <w:ind w:left="476"/>
        <w:jc w:val="both"/>
        <w:rPr>
          <w:sz w:val="20"/>
          <w:szCs w:val="20"/>
        </w:rPr>
      </w:pPr>
      <w:r>
        <w:rPr>
          <w:sz w:val="20"/>
          <w:szCs w:val="20"/>
        </w:rPr>
        <w:t xml:space="preserve">In a memorandum to the BOP dated August 18, 2016, the Department of Justice ("DOJ") directed that, as each contract with privately </w:t>
      </w:r>
      <w:r>
        <w:rPr>
          <w:sz w:val="20"/>
          <w:szCs w:val="20"/>
        </w:rPr>
        <w:t>operated prisons reaches the end of its term, the BOP should either decline to renew that contract or substantially reduce its scope in a manner consistent with law and the overall decline of the BOP's inmate population.  Following the release of the Augus</w:t>
      </w:r>
      <w:r>
        <w:rPr>
          <w:sz w:val="20"/>
          <w:szCs w:val="20"/>
        </w:rPr>
        <w:t>t 18, 2016 DOJ memorandum, a purported securities class action lawsuit was filed on August 23, 2016 against the Company and certain of its current and former officers in the United States District Court for the Middle District of Tennessee (the "District C</w:t>
      </w:r>
      <w:r>
        <w:rPr>
          <w:sz w:val="20"/>
          <w:szCs w:val="20"/>
        </w:rPr>
        <w:t xml:space="preserve">ourt"), captioned </w:t>
      </w:r>
      <w:r>
        <w:rPr>
          <w:i/>
          <w:iCs/>
          <w:sz w:val="20"/>
          <w:szCs w:val="20"/>
        </w:rPr>
        <w:t>Grae v. Corrections Corporation of America et al.</w:t>
      </w:r>
      <w:r>
        <w:rPr>
          <w:sz w:val="20"/>
          <w:szCs w:val="20"/>
        </w:rPr>
        <w:t xml:space="preserve">, Case No. 3:16-cv-02267.  The lawsuit was brought on behalf of a putative class of shareholders who purchased or acquired the Company's securities between February 27, 2012 and August 17, </w:t>
      </w:r>
      <w:r>
        <w:rPr>
          <w:sz w:val="20"/>
          <w:szCs w:val="20"/>
        </w:rPr>
        <w:t>2016. The Plaintiffs were seeking compensatory damages and costs incurred in connection with the lawsuit. In general, the lawsuit alleged that, during this timeframe, the Company's public statements were false and/or misleading regarding the purported oper</w:t>
      </w:r>
      <w:r>
        <w:rPr>
          <w:sz w:val="20"/>
          <w:szCs w:val="20"/>
        </w:rPr>
        <w:t>ational, programming, and cost efficiency factors cited in the DOJ memorandum and, as a result, the Company's stock price was artificially inflated.  The lawsuit alleged that the publication of the DOJ memorandum on August 18, 2016 revealed the alleged fra</w:t>
      </w:r>
      <w:r>
        <w:rPr>
          <w:sz w:val="20"/>
          <w:szCs w:val="20"/>
        </w:rPr>
        <w:t>ud, causing the per share price of the Company's stock to decline, thereby causing harm to the putative class of shareholders.  </w:t>
      </w:r>
    </w:p>
    <w:p w:rsidR="00000000" w:rsidRDefault="008325ED">
      <w:pPr>
        <w:pStyle w:val="a3"/>
        <w:spacing w:before="240" w:beforeAutospacing="0" w:after="0" w:afterAutospacing="0"/>
        <w:ind w:left="476"/>
        <w:jc w:val="both"/>
        <w:rPr>
          <w:sz w:val="20"/>
          <w:szCs w:val="20"/>
        </w:rPr>
      </w:pPr>
      <w:r>
        <w:rPr>
          <w:sz w:val="20"/>
          <w:szCs w:val="20"/>
        </w:rPr>
        <w:t>On April 16, 2021, the Company reached an agreement in principle to settle the lawsuit.  The monetary terms of the settlement i</w:t>
      </w:r>
      <w:r>
        <w:rPr>
          <w:sz w:val="20"/>
          <w:szCs w:val="20"/>
        </w:rPr>
        <w:t>nclude a payment by the Company of $56.0 million in return for a dismissal of the case with prejudice and a full release of all claims against all defendants, including the Company and its current and former officers.  The proposed settlement contains no a</w:t>
      </w:r>
      <w:r>
        <w:rPr>
          <w:sz w:val="20"/>
          <w:szCs w:val="20"/>
        </w:rPr>
        <w:t>dmission of liability, wrongdoing, or responsibility by any of the defendants, including the Company, and is subject to the negotiation and execution of a definitive settlement agreement, and court approval of such definitive settlement agreement.  As a re</w:t>
      </w:r>
      <w:r>
        <w:rPr>
          <w:sz w:val="20"/>
          <w:szCs w:val="20"/>
        </w:rPr>
        <w:t>sult of the settlement, the Company recognized an expense of $54.3 million during the six months ended June 30, 2021, which is net of the remaining insurance available under the Company's policies.  </w:t>
      </w:r>
    </w:p>
    <w:p w:rsidR="00000000" w:rsidRDefault="008325ED">
      <w:pPr>
        <w:pStyle w:val="a3"/>
        <w:spacing w:before="240" w:beforeAutospacing="0" w:after="0" w:afterAutospacing="0"/>
        <w:ind w:left="476"/>
        <w:jc w:val="both"/>
        <w:rPr>
          <w:sz w:val="20"/>
          <w:szCs w:val="20"/>
        </w:rPr>
      </w:pPr>
      <w:r>
        <w:rPr>
          <w:sz w:val="20"/>
          <w:szCs w:val="20"/>
        </w:rPr>
        <w:t>The Company is also named along with several of its dire</w:t>
      </w:r>
      <w:r>
        <w:rPr>
          <w:sz w:val="20"/>
          <w:szCs w:val="20"/>
        </w:rPr>
        <w:t xml:space="preserve">ctors in six derivative lawsuits which raise similar allegations to those raised in the </w:t>
      </w:r>
      <w:r>
        <w:rPr>
          <w:i/>
          <w:iCs/>
          <w:sz w:val="20"/>
          <w:szCs w:val="20"/>
        </w:rPr>
        <w:t>Grae</w:t>
      </w:r>
      <w:r>
        <w:rPr>
          <w:sz w:val="20"/>
          <w:szCs w:val="20"/>
        </w:rPr>
        <w:t xml:space="preserve"> securities litigation.  At present, those suits are stayed pending the outcome of the </w:t>
      </w:r>
      <w:r>
        <w:rPr>
          <w:i/>
          <w:iCs/>
          <w:sz w:val="20"/>
          <w:szCs w:val="20"/>
        </w:rPr>
        <w:t xml:space="preserve">Grae </w:t>
      </w:r>
      <w:r>
        <w:rPr>
          <w:sz w:val="20"/>
          <w:szCs w:val="20"/>
        </w:rPr>
        <w:t>litigation.  The Company believes these lawsuits are entirely without me</w:t>
      </w:r>
      <w:r>
        <w:rPr>
          <w:sz w:val="20"/>
          <w:szCs w:val="20"/>
        </w:rPr>
        <w:t>rit and intends to vigorously defend against them.  The Company is unable at this stage to reasonably predict the outcome of these matters or estimate the amount of loss or range of loss, if any, that may result.  For this reason, the Company does not cons</w:t>
      </w:r>
      <w:r>
        <w:rPr>
          <w:sz w:val="20"/>
          <w:szCs w:val="20"/>
        </w:rPr>
        <w:t xml:space="preserve">ider losses probable or reasonably estimable at this stage and has not recorded an accrual relating to the derivative lawsuits.  </w:t>
      </w:r>
    </w:p>
    <w:p w:rsidR="00000000" w:rsidRDefault="008325ED">
      <w:pPr>
        <w:pStyle w:val="a3"/>
        <w:spacing w:before="240" w:beforeAutospacing="0" w:after="0" w:afterAutospacing="0"/>
        <w:jc w:val="center"/>
        <w:rPr>
          <w:sz w:val="20"/>
          <w:szCs w:val="20"/>
        </w:rPr>
      </w:pPr>
      <w:r>
        <w:rPr>
          <w:sz w:val="20"/>
          <w:szCs w:val="20"/>
        </w:rPr>
        <w:t>17</w:t>
      </w:r>
    </w:p>
    <w:p w:rsidR="00000000" w:rsidRDefault="008325ED">
      <w:pPr>
        <w:rPr>
          <w:rFonts w:eastAsia="Times New Roman"/>
        </w:rPr>
      </w:pPr>
      <w:r>
        <w:rPr>
          <w:rFonts w:eastAsia="Times New Roman"/>
        </w:rPr>
        <w:pict>
          <v:rect id="_x0000_i1043"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34319459"/>
        </w:trPr>
        <w:tc>
          <w:tcPr>
            <w:tcW w:w="227" w:type="pct"/>
            <w:noWrap/>
            <w:hideMark/>
          </w:tcPr>
          <w:p w:rsidR="00000000" w:rsidRDefault="008325ED">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INCOME TAXES</w:t>
            </w:r>
          </w:p>
        </w:tc>
      </w:tr>
    </w:tbl>
    <w:p w:rsidR="00000000" w:rsidRDefault="008325ED">
      <w:pPr>
        <w:pStyle w:val="a3"/>
        <w:spacing w:before="240" w:beforeAutospacing="0" w:after="0" w:afterAutospacing="0"/>
        <w:ind w:left="476"/>
        <w:jc w:val="both"/>
        <w:rPr>
          <w:sz w:val="20"/>
          <w:szCs w:val="20"/>
        </w:rPr>
      </w:pPr>
      <w:r>
        <w:rPr>
          <w:sz w:val="20"/>
          <w:szCs w:val="20"/>
        </w:rPr>
        <w:t>Income taxes are accounted for under the provisions of ASC 740, "In</w:t>
      </w:r>
      <w:r>
        <w:rPr>
          <w:sz w:val="20"/>
          <w:szCs w:val="20"/>
        </w:rPr>
        <w:t>come Taxes". ASC 740 generally requires CoreCivic to record deferred income taxes for the tax effect of differences between book and tax bases of its assets and liabilities. Deferred income taxes reflect the available net operating losses and the net tax e</w:t>
      </w:r>
      <w:r>
        <w:rPr>
          <w:sz w:val="20"/>
          <w:szCs w:val="20"/>
        </w:rPr>
        <w:t>ffect of temporary differences between the carrying amounts of assets and liabilities for financial reporting purposes and the amounts used for income tax purposes using enacted tax rates in effect for the year in which the differences are expected to reve</w:t>
      </w:r>
      <w:r>
        <w:rPr>
          <w:sz w:val="20"/>
          <w:szCs w:val="20"/>
        </w:rPr>
        <w:t>rse. The effect of a change in tax rates on deferred tax assets and liabilities is recognized in the statement of operations in the period that includes the enactment date.  Realization of the future tax benefits related to deferred tax assets is dependent</w:t>
      </w:r>
      <w:r>
        <w:rPr>
          <w:sz w:val="20"/>
          <w:szCs w:val="20"/>
        </w:rPr>
        <w:t xml:space="preserve"> on many factors, including CoreCivic's past earnings history, expected future earnings, the character and jurisdiction of such earnings, unsettled circumstances that, if unfavorably resolved, would adversely affect utilization of its deferred tax assets, </w:t>
      </w:r>
      <w:r>
        <w:rPr>
          <w:sz w:val="20"/>
          <w:szCs w:val="20"/>
        </w:rPr>
        <w:t>carryback and carryforward periods, and tax strategies that could potentially enhance the likelihood of realization of a deferred tax asset.</w:t>
      </w:r>
    </w:p>
    <w:p w:rsidR="00000000" w:rsidRDefault="008325ED">
      <w:pPr>
        <w:pStyle w:val="a3"/>
        <w:spacing w:before="240" w:beforeAutospacing="0" w:after="0" w:afterAutospacing="0"/>
        <w:ind w:left="476"/>
        <w:jc w:val="both"/>
        <w:rPr>
          <w:color w:val="000000"/>
          <w:sz w:val="20"/>
          <w:szCs w:val="20"/>
        </w:rPr>
      </w:pPr>
      <w:r>
        <w:rPr>
          <w:color w:val="000000"/>
          <w:sz w:val="20"/>
          <w:szCs w:val="20"/>
        </w:rPr>
        <w:t>As discussed in Note 1, the Company operated in compliance with REIT requirements for federal income tax purposes f</w:t>
      </w:r>
      <w:r>
        <w:rPr>
          <w:color w:val="000000"/>
          <w:sz w:val="20"/>
          <w:szCs w:val="20"/>
        </w:rPr>
        <w:t>rom January 1, 2013 through December 31, 2020.  During the years the Company elected REIT status, the Company was required to distribute at least 90% of its taxable income (including dividends paid to it by its TRSs) and did not pay federal income taxes on</w:t>
      </w:r>
      <w:r>
        <w:rPr>
          <w:color w:val="000000"/>
          <w:sz w:val="20"/>
          <w:szCs w:val="20"/>
        </w:rPr>
        <w:t xml:space="preserve"> the amount distributed to its stockholders.  In addition, the Company was required to meet a number of other organizational and operational requirements, which the Company continued to meet through the year ended December 31, 2020.  Most states where Core</w:t>
      </w:r>
      <w:r>
        <w:rPr>
          <w:color w:val="000000"/>
          <w:sz w:val="20"/>
          <w:szCs w:val="20"/>
        </w:rPr>
        <w:t>Civic holds investments in real estate conform to the federal rules recognizing REITs. Certain subsidiaries made an election with the Company to be treated as TRSs in conjunction with the Company's REIT election.  The TRS elections permitted CoreCivic to e</w:t>
      </w:r>
      <w:r>
        <w:rPr>
          <w:color w:val="000000"/>
          <w:sz w:val="20"/>
          <w:szCs w:val="20"/>
        </w:rPr>
        <w:t>ngage in certain business activities in which the REIT could not engage directly. A TRS is subject to federal and state income taxes on the income from these activities and therefore, CoreCivic included a provision for taxes in its consolidated financial s</w:t>
      </w:r>
      <w:r>
        <w:rPr>
          <w:color w:val="000000"/>
          <w:sz w:val="20"/>
          <w:szCs w:val="20"/>
        </w:rPr>
        <w:t>tatements even during periods it operated as a REIT.</w:t>
      </w:r>
    </w:p>
    <w:p w:rsidR="00000000" w:rsidRDefault="008325ED">
      <w:pPr>
        <w:pStyle w:val="a3"/>
        <w:spacing w:before="240" w:beforeAutospacing="0" w:after="0" w:afterAutospacing="0"/>
        <w:ind w:left="476"/>
        <w:jc w:val="both"/>
        <w:rPr>
          <w:sz w:val="20"/>
          <w:szCs w:val="20"/>
        </w:rPr>
      </w:pPr>
      <w:r>
        <w:rPr>
          <w:sz w:val="20"/>
          <w:szCs w:val="20"/>
        </w:rPr>
        <w:t>On August 5, 2020, the Company announced that the BOD unanimously approved a plan to revoke its REIT election and become a taxable C Corporation, effective January 1, 2021.  As a result, the Company is n</w:t>
      </w:r>
      <w:r>
        <w:rPr>
          <w:sz w:val="20"/>
          <w:szCs w:val="20"/>
        </w:rPr>
        <w:t>o longer required to operate under REIT rules, including the requirement to distribute at least 90% of its taxable income to its stockholders, which provides the Company with greater flexibility to use its free cash flow.  Effective January 1, 2021, the Co</w:t>
      </w:r>
      <w:r>
        <w:rPr>
          <w:sz w:val="20"/>
          <w:szCs w:val="20"/>
        </w:rPr>
        <w:t>mpany is subject to federal and state income taxes on its taxable income at applicable tax rates, and is no longer entitled to a tax deduction for dividends paid</w:t>
      </w:r>
      <w:r>
        <w:rPr>
          <w:sz w:val="23"/>
          <w:szCs w:val="23"/>
        </w:rPr>
        <w:t xml:space="preserve">. </w:t>
      </w:r>
    </w:p>
    <w:p w:rsidR="00000000" w:rsidRDefault="008325ED">
      <w:pPr>
        <w:pStyle w:val="a3"/>
        <w:spacing w:before="240" w:beforeAutospacing="0" w:after="0" w:afterAutospacing="0"/>
        <w:ind w:left="476"/>
        <w:jc w:val="both"/>
        <w:rPr>
          <w:sz w:val="20"/>
          <w:szCs w:val="20"/>
        </w:rPr>
      </w:pPr>
      <w:r>
        <w:rPr>
          <w:sz w:val="20"/>
          <w:szCs w:val="20"/>
        </w:rPr>
        <w:t>During the years in which the Company elected REIT status, CoreCivic was entitled to a deduc</w:t>
      </w:r>
      <w:r>
        <w:rPr>
          <w:sz w:val="20"/>
          <w:szCs w:val="20"/>
        </w:rPr>
        <w:t>tion for dividends paid, resulting in a substantial reduction in the amount of federal income tax expense it recognized.  During those years, substantially all of CoreCivic's income tax expense was incurred based on the earnings generated by its TRSs.  Cor</w:t>
      </w:r>
      <w:r>
        <w:rPr>
          <w:sz w:val="20"/>
          <w:szCs w:val="20"/>
        </w:rPr>
        <w:t>eCivic recorded an income tax expense of $6.5 million and an income tax benefit of $1.0 million for the three months ended June 30, 2021 and 2020, respectively.  CoreCivic recorded an income tax expense of $120.1 million and $2.8 million for the six months</w:t>
      </w:r>
      <w:r>
        <w:rPr>
          <w:sz w:val="20"/>
          <w:szCs w:val="20"/>
        </w:rPr>
        <w:t xml:space="preserve"> ended June 30, 2021 and 2020, respectively.  Income tax expense for the six months ended June 30, 2021 included $114.2 million primarily resulting from the revaluation of the Company's net deferred tax liabilities due to the completion of all significant </w:t>
      </w:r>
      <w:r>
        <w:rPr>
          <w:sz w:val="20"/>
          <w:szCs w:val="20"/>
        </w:rPr>
        <w:t>actions necessary to revoke its REIT election.  Income tax expense during the six months ended June 30, 2020 included $3.1 million that had been deferred during the construction period of the Lansing Correctional Facility, which was owned by a TRS of the C</w:t>
      </w:r>
      <w:r>
        <w:rPr>
          <w:sz w:val="20"/>
          <w:szCs w:val="20"/>
        </w:rPr>
        <w:t>ompany until it converted to a qualified REIT subsidiary ("QRS") upon completion of construction in the first quarter of 2020.  Because ownership of this facility reverts to the state of Kansas upon expiration of the</w:t>
      </w:r>
      <w:r>
        <w:rPr>
          <w:sz w:val="20"/>
          <w:szCs w:val="20"/>
        </w:rPr>
        <w:t xml:space="preserve"> </w:t>
      </w:r>
      <w:r>
        <w:rPr>
          <w:sz w:val="20"/>
          <w:szCs w:val="20"/>
        </w:rPr>
        <w:t>twenty-yea</w:t>
      </w:r>
      <w:r>
        <w:rPr>
          <w:sz w:val="20"/>
          <w:szCs w:val="20"/>
        </w:rPr>
        <w:t>r</w:t>
      </w:r>
      <w:r>
        <w:rPr>
          <w:sz w:val="20"/>
          <w:szCs w:val="20"/>
        </w:rPr>
        <w:t xml:space="preserve"> lease, the construction and</w:t>
      </w:r>
      <w:r>
        <w:rPr>
          <w:sz w:val="20"/>
          <w:szCs w:val="20"/>
        </w:rPr>
        <w:t xml:space="preserve"> subsequent lease of the facility to the State was a deemed sale for federal and state income tax purposes.  The gain on sale was reported as a deferred tax asset based on the percentage of completion method over the construction period.  This deferred tax</w:t>
      </w:r>
      <w:r>
        <w:rPr>
          <w:sz w:val="20"/>
          <w:szCs w:val="20"/>
        </w:rPr>
        <w:t xml:space="preserve"> asset was revalued to zero upon conversion of the TRS to a QRS.</w:t>
      </w:r>
    </w:p>
    <w:p w:rsidR="00000000" w:rsidRDefault="008325ED">
      <w:pPr>
        <w:pStyle w:val="a3"/>
        <w:spacing w:before="240" w:beforeAutospacing="0" w:after="0" w:afterAutospacing="0"/>
        <w:ind w:left="476"/>
        <w:jc w:val="both"/>
        <w:rPr>
          <w:sz w:val="20"/>
          <w:szCs w:val="20"/>
        </w:rPr>
      </w:pPr>
      <w:r>
        <w:rPr>
          <w:sz w:val="20"/>
          <w:szCs w:val="20"/>
        </w:rPr>
        <w:t xml:space="preserve">On March 27, 2020, President Trump signed into law the Coronavirus Aid, Relief and Economic Security Act (the “CARES Act”). The CARES Act, among other things, includes provisions relating to </w:t>
      </w:r>
      <w:r>
        <w:rPr>
          <w:sz w:val="20"/>
          <w:szCs w:val="20"/>
        </w:rPr>
        <w:t>refundable payroll tax credits, deferral of employer side social security payments, net operating loss carryback periods, alternative minimum tax credit refunds, modifications to the net interest deduction limitations and technical corrections to tax depre</w:t>
      </w:r>
      <w:r>
        <w:rPr>
          <w:sz w:val="20"/>
          <w:szCs w:val="20"/>
        </w:rPr>
        <w:t>ciation methods for qualified improvement property. The accelerated depreciation methods for qualified improvement property significantly reduced the Company's taxable income and, therefore, its distribution requirement as a REIT for 2020.  Additionally, a</w:t>
      </w:r>
      <w:r>
        <w:rPr>
          <w:sz w:val="20"/>
          <w:szCs w:val="20"/>
        </w:rPr>
        <w:t>s of December 31, 2020, the Company had deferred payment of $29.6 million of employer-side social security payments.  Half of these deferrals will be due December 31, 2021, with the other half due December 31, 2022.</w:t>
      </w:r>
    </w:p>
    <w:p w:rsidR="00000000" w:rsidRDefault="008325ED">
      <w:pPr>
        <w:pStyle w:val="a3"/>
        <w:spacing w:before="240" w:beforeAutospacing="0" w:after="0" w:afterAutospacing="0"/>
        <w:jc w:val="center"/>
        <w:rPr>
          <w:sz w:val="20"/>
          <w:szCs w:val="20"/>
        </w:rPr>
      </w:pPr>
      <w:r>
        <w:rPr>
          <w:sz w:val="20"/>
          <w:szCs w:val="20"/>
        </w:rPr>
        <w:t>18</w:t>
      </w:r>
    </w:p>
    <w:p w:rsidR="00000000" w:rsidRDefault="008325ED">
      <w:pPr>
        <w:rPr>
          <w:rFonts w:eastAsia="Times New Roman"/>
        </w:rPr>
      </w:pPr>
      <w:r>
        <w:rPr>
          <w:rFonts w:eastAsia="Times New Roman"/>
        </w:rPr>
        <w:pict>
          <v:rect id="_x0000_i1044"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ind w:left="476"/>
        <w:jc w:val="both"/>
        <w:rPr>
          <w:b/>
          <w:bCs/>
          <w:sz w:val="20"/>
          <w:szCs w:val="20"/>
        </w:rPr>
      </w:pPr>
      <w:r>
        <w:rPr>
          <w:b/>
          <w:bCs/>
          <w:sz w:val="20"/>
          <w:szCs w:val="20"/>
        </w:rPr>
        <w:t>Income Tax Contingencies</w:t>
      </w:r>
    </w:p>
    <w:p w:rsidR="00000000" w:rsidRDefault="008325ED">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w:t>
      </w:r>
      <w:r>
        <w:rPr>
          <w:color w:val="000000"/>
          <w:sz w:val="20"/>
          <w:szCs w:val="20"/>
        </w:rPr>
        <w:t xml:space="preserve"> guidance prescribed in ASC 740 establishes a recognition threshold of more likely than not that a tax position will be sustained upon examination.  The measurement attribute requires that a tax position be measured at the largest amount of benefit that is</w:t>
      </w:r>
      <w:r>
        <w:rPr>
          <w:color w:val="000000"/>
          <w:sz w:val="20"/>
          <w:szCs w:val="20"/>
        </w:rPr>
        <w:t xml:space="preserve"> greater than 50% likely of being realized upon ultimate settlement.</w:t>
      </w:r>
    </w:p>
    <w:p w:rsidR="00000000" w:rsidRDefault="008325ED">
      <w:pPr>
        <w:pStyle w:val="a3"/>
        <w:spacing w:before="240" w:beforeAutospacing="0" w:after="0" w:afterAutospacing="0"/>
        <w:ind w:left="476"/>
        <w:jc w:val="both"/>
        <w:rPr>
          <w:sz w:val="20"/>
          <w:szCs w:val="20"/>
        </w:rPr>
      </w:pPr>
      <w:r>
        <w:rPr>
          <w:sz w:val="20"/>
          <w:szCs w:val="20"/>
        </w:rPr>
        <w:t>CoreCivic had no liabilities recorded for uncertain tax positions as of June 30, 2021 and December 31, 2020.  CoreCivic recognizes interest and penalties related to unrecognized tax posit</w:t>
      </w:r>
      <w:r>
        <w:rPr>
          <w:sz w:val="20"/>
          <w:szCs w:val="20"/>
        </w:rPr>
        <w:t>ions in income tax expense. CoreCivic does not currently anticipate that the total amount of unrecognized tax positions will significantly change in the next twelve months.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24001544"/>
        </w:trPr>
        <w:tc>
          <w:tcPr>
            <w:tcW w:w="227" w:type="pct"/>
            <w:noWrap/>
            <w:hideMark/>
          </w:tcPr>
          <w:p w:rsidR="00000000" w:rsidRDefault="008325ED">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SEGMENT REPORTING</w:t>
            </w:r>
          </w:p>
        </w:tc>
      </w:tr>
    </w:tbl>
    <w:p w:rsidR="00000000" w:rsidRDefault="008325ED">
      <w:pPr>
        <w:pStyle w:val="a3"/>
        <w:spacing w:before="120" w:beforeAutospacing="0" w:after="0" w:afterAutospacing="0"/>
        <w:ind w:left="476"/>
        <w:jc w:val="both"/>
        <w:rPr>
          <w:sz w:val="20"/>
          <w:szCs w:val="20"/>
        </w:rPr>
      </w:pPr>
      <w:r>
        <w:rPr>
          <w:sz w:val="20"/>
          <w:szCs w:val="20"/>
        </w:rPr>
        <w:t>As of June 30, 2021, CoreCivic operated 47 correctional an</w:t>
      </w:r>
      <w:r>
        <w:rPr>
          <w:sz w:val="20"/>
          <w:szCs w:val="20"/>
        </w:rPr>
        <w:t>d detention facilities, 42 of which the Company owned.  In addition, CoreCivic owned and operated 26 residential reentry centers and owned 10 properties for lease to third parties.  Management views CoreCivic's operating results in three operating segments</w:t>
      </w:r>
      <w:r>
        <w:rPr>
          <w:sz w:val="20"/>
          <w:szCs w:val="20"/>
        </w:rPr>
        <w:t>, CoreCivic Safety, CoreCivic Community, and CoreCivic Properties.  CoreCivic Safety includes the operating results of those correctional and detention facilities placed into service that were owned, or controlled via a long-term lease, and managed by Core</w:t>
      </w:r>
      <w:r>
        <w:rPr>
          <w:sz w:val="20"/>
          <w:szCs w:val="20"/>
        </w:rPr>
        <w:t>Civic, as well as those correctional and detention facilities owned by a third party and managed by CoreCivic.  CoreCivic Safety also includes the operating results of TransCor America, LLC, a subsidiary of the Company that provides transportation services</w:t>
      </w:r>
      <w:r>
        <w:rPr>
          <w:sz w:val="20"/>
          <w:szCs w:val="20"/>
        </w:rPr>
        <w:t xml:space="preserve"> to governmental agencies.  CoreCivic Community includes the operating results of those residential reentry centers placed into service that were owned, or controlled via a long-term lease, and managed by CoreCivic.  CoreCivic Community also includes the o</w:t>
      </w:r>
      <w:r>
        <w:rPr>
          <w:sz w:val="20"/>
          <w:szCs w:val="20"/>
        </w:rPr>
        <w:t>perating results of the Company's electronic monitoring and case management services. CoreCivic Properties includes the operating results of those properties leased to third parties.  The operating performance of the three segments can be measured based on</w:t>
      </w:r>
      <w:r>
        <w:rPr>
          <w:sz w:val="20"/>
          <w:szCs w:val="20"/>
        </w:rPr>
        <w:t xml:space="preserve"> their net operating income.  CoreCivic defines facility net operating income as a facility's revenues less operating expenses.  </w:t>
      </w:r>
    </w:p>
    <w:p w:rsidR="00000000" w:rsidRDefault="008325ED">
      <w:pPr>
        <w:pStyle w:val="a3"/>
        <w:spacing w:before="240" w:beforeAutospacing="0" w:after="0" w:afterAutospacing="0"/>
        <w:jc w:val="center"/>
        <w:rPr>
          <w:sz w:val="20"/>
          <w:szCs w:val="20"/>
        </w:rPr>
      </w:pPr>
      <w:r>
        <w:rPr>
          <w:sz w:val="20"/>
          <w:szCs w:val="20"/>
        </w:rPr>
        <w:t>19</w:t>
      </w:r>
    </w:p>
    <w:p w:rsidR="00000000" w:rsidRDefault="008325ED">
      <w:pPr>
        <w:rPr>
          <w:rFonts w:eastAsia="Times New Roman"/>
        </w:rPr>
      </w:pPr>
      <w:r>
        <w:rPr>
          <w:rFonts w:eastAsia="Times New Roman"/>
        </w:rPr>
        <w:pict>
          <v:rect id="_x0000_i1045"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Autospacing="0"/>
        <w:ind w:left="476"/>
        <w:jc w:val="both"/>
        <w:rPr>
          <w:sz w:val="20"/>
          <w:szCs w:val="20"/>
        </w:rPr>
      </w:pPr>
      <w:r>
        <w:rPr>
          <w:sz w:val="20"/>
          <w:szCs w:val="20"/>
        </w:rPr>
        <w:t>The revenue and facility net operating income for each of the three segments and a r</w:t>
      </w:r>
      <w:r>
        <w:rPr>
          <w:sz w:val="20"/>
          <w:szCs w:val="20"/>
        </w:rPr>
        <w:t>econciliation to CoreCivic's income before income taxes is as follows for the three and six months ended June 30, 2021 and 2020 (in thousands):</w:t>
      </w:r>
    </w:p>
    <w:tbl>
      <w:tblPr>
        <w:tblW w:w="4500" w:type="pct"/>
        <w:tblCellMar>
          <w:left w:w="0" w:type="dxa"/>
          <w:right w:w="0" w:type="dxa"/>
        </w:tblCellMar>
        <w:tblLook w:val="04A0" w:firstRow="1" w:lastRow="0" w:firstColumn="1" w:lastColumn="0" w:noHBand="0" w:noVBand="1"/>
      </w:tblPr>
      <w:tblGrid>
        <w:gridCol w:w="3754"/>
        <w:gridCol w:w="67"/>
        <w:gridCol w:w="115"/>
        <w:gridCol w:w="665"/>
        <w:gridCol w:w="82"/>
        <w:gridCol w:w="67"/>
        <w:gridCol w:w="115"/>
        <w:gridCol w:w="667"/>
        <w:gridCol w:w="82"/>
        <w:gridCol w:w="67"/>
        <w:gridCol w:w="115"/>
        <w:gridCol w:w="665"/>
        <w:gridCol w:w="82"/>
        <w:gridCol w:w="67"/>
        <w:gridCol w:w="115"/>
        <w:gridCol w:w="668"/>
        <w:gridCol w:w="82"/>
      </w:tblGrid>
      <w:tr w:rsidR="00000000">
        <w:trPr>
          <w:divId w:val="17395080"/>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7395080"/>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419,880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424,117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829,649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861,882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24,929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26,004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48,587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56,603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19,732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22,483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40,987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45,162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segment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464,541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472,604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919,223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963,647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expenses: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307,280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323,739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612,707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654,476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20,024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22,201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41,124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46,650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5,668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6,906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11,942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13,860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segment operating expenses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332,972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352,846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665,773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714,986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Facility net operating income: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Safety</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112,600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100,378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216,942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207,406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Community</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4,905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7,463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9,953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Properties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14,064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15,577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29,045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31,302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facility net operating income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131,569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119,758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253,450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248,661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Other revenue (expense):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 operating expense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General and administrative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(33,228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r>
              <w:rPr>
                <w:color w:val="000000"/>
                <w:sz w:val="20"/>
                <w:szCs w:val="20"/>
              </w:rPr>
              <w:t>30,145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(62,758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(61,424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Depreciation and amortization</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(34,084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(38,619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(66,796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(76,571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Shareholder litigation expense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(54,295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Asset impairments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(11,717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r>
              <w:rPr>
                <w:b/>
                <w:bCs/>
                <w:color w:val="000000"/>
                <w:sz w:val="20"/>
                <w:szCs w:val="20"/>
              </w:rPr>
              <w:t>4,174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(12,253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(23,222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(20,996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(41,650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(43,534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Expenses associated with debt repayments</w:t>
            </w:r>
          </w:p>
          <w:p w:rsidR="00000000" w:rsidRDefault="008325ED">
            <w:pPr>
              <w:pStyle w:val="a3"/>
              <w:spacing w:before="0" w:beforeAutospacing="0" w:after="0" w:afterAutospacing="0"/>
              <w:ind w:left="274"/>
              <w:rPr>
                <w:color w:val="000000"/>
                <w:sz w:val="20"/>
                <w:szCs w:val="20"/>
              </w:rPr>
            </w:pPr>
            <w:r>
              <w:rPr>
                <w:color w:val="000000"/>
                <w:sz w:val="20"/>
                <w:szCs w:val="20"/>
              </w:rPr>
              <w:t>     and refinancing transactions</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Gain on sale of real estate assets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 income (expense)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7395080"/>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before income taxes</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22,142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21,224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10,105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58,238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120" w:beforeAutospacing="0" w:after="60" w:afterAutospacing="0"/>
        <w:ind w:left="476"/>
        <w:jc w:val="both"/>
        <w:rPr>
          <w:sz w:val="20"/>
          <w:szCs w:val="20"/>
        </w:rPr>
      </w:pPr>
      <w:r>
        <w:rPr>
          <w:sz w:val="20"/>
          <w:szCs w:val="20"/>
        </w:rPr>
        <w:t>The following table summarizes capital expenditures including accrued amounts for the three and six months ended June 30, 2021 and 2020 (in thousands):</w:t>
      </w:r>
    </w:p>
    <w:tbl>
      <w:tblPr>
        <w:tblW w:w="4500" w:type="pct"/>
        <w:tblCellMar>
          <w:left w:w="0" w:type="dxa"/>
          <w:right w:w="0" w:type="dxa"/>
        </w:tblCellMar>
        <w:tblLook w:val="04A0" w:firstRow="1" w:lastRow="0" w:firstColumn="1" w:lastColumn="0" w:noHBand="0" w:noVBand="1"/>
      </w:tblPr>
      <w:tblGrid>
        <w:gridCol w:w="3731"/>
        <w:gridCol w:w="76"/>
        <w:gridCol w:w="115"/>
        <w:gridCol w:w="669"/>
        <w:gridCol w:w="65"/>
        <w:gridCol w:w="74"/>
        <w:gridCol w:w="115"/>
        <w:gridCol w:w="670"/>
        <w:gridCol w:w="65"/>
        <w:gridCol w:w="76"/>
        <w:gridCol w:w="115"/>
        <w:gridCol w:w="691"/>
        <w:gridCol w:w="65"/>
        <w:gridCol w:w="76"/>
        <w:gridCol w:w="115"/>
        <w:gridCol w:w="692"/>
        <w:gridCol w:w="65"/>
      </w:tblGrid>
      <w:tr w:rsidR="00000000">
        <w:trPr>
          <w:divId w:val="422838918"/>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422838918"/>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422838918"/>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Capital expenditures:</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422838918"/>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13,398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6,728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18,921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13,405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422838918"/>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494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1,038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422838918"/>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2,290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3,320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3,305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99,269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422838918"/>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Corporate and other</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1,032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1,562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9,550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3,620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422838918"/>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capital expenditures</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17,214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11,994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32,860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117,332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120" w:beforeAutospacing="0" w:after="60" w:afterAutospacing="0"/>
        <w:ind w:left="476"/>
        <w:jc w:val="both"/>
        <w:rPr>
          <w:sz w:val="20"/>
          <w:szCs w:val="20"/>
        </w:rPr>
      </w:pPr>
      <w:r>
        <w:rPr>
          <w:sz w:val="20"/>
          <w:szCs w:val="20"/>
        </w:rPr>
        <w:t>The total assets are as follows (in thousands):</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1201625948"/>
        </w:trPr>
        <w:tc>
          <w:tcPr>
            <w:tcW w:w="287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 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201625948"/>
        </w:trPr>
        <w:tc>
          <w:tcPr>
            <w:tcW w:w="287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01625948"/>
        </w:trPr>
        <w:tc>
          <w:tcPr>
            <w:tcW w:w="287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2,569,361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2,589,622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01625948"/>
        </w:trPr>
        <w:tc>
          <w:tcPr>
            <w:tcW w:w="287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228,974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234,475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01625948"/>
        </w:trPr>
        <w:tc>
          <w:tcPr>
            <w:tcW w:w="287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365,770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676,374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01625948"/>
        </w:trPr>
        <w:tc>
          <w:tcPr>
            <w:tcW w:w="287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260,091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208,844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01625948"/>
        </w:trPr>
        <w:tc>
          <w:tcPr>
            <w:tcW w:w="287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3,424,196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3,709,315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3"/>
          <w:szCs w:val="23"/>
        </w:rPr>
      </w:pPr>
      <w:r>
        <w:rPr>
          <w:sz w:val="23"/>
          <w:szCs w:val="23"/>
        </w:rPr>
        <w:t> </w:t>
      </w:r>
    </w:p>
    <w:p w:rsidR="00000000" w:rsidRDefault="008325ED">
      <w:pPr>
        <w:pStyle w:val="a3"/>
        <w:spacing w:before="240" w:beforeAutospacing="0" w:after="0" w:afterAutospacing="0"/>
        <w:jc w:val="center"/>
        <w:rPr>
          <w:sz w:val="20"/>
          <w:szCs w:val="20"/>
        </w:rPr>
      </w:pPr>
      <w:r>
        <w:rPr>
          <w:sz w:val="20"/>
          <w:szCs w:val="20"/>
        </w:rPr>
        <w:t>20</w:t>
      </w:r>
    </w:p>
    <w:p w:rsidR="00000000" w:rsidRDefault="008325ED">
      <w:pPr>
        <w:rPr>
          <w:rFonts w:eastAsia="Times New Roman"/>
        </w:rPr>
      </w:pPr>
      <w:r>
        <w:rPr>
          <w:rFonts w:eastAsia="Times New Roman"/>
        </w:rPr>
        <w:pict>
          <v:rect id="_x0000_i1046"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ind w:left="1071" w:hanging="1110"/>
        <w:jc w:val="both"/>
        <w:rPr>
          <w:sz w:val="20"/>
          <w:szCs w:val="20"/>
        </w:rPr>
      </w:pPr>
      <w:r>
        <w:rPr>
          <w:sz w:val="20"/>
          <w:szCs w:val="20"/>
        </w:rPr>
        <w:t>.</w:t>
      </w:r>
    </w:p>
    <w:p w:rsidR="00000000" w:rsidRDefault="008325ED">
      <w:pPr>
        <w:pStyle w:val="a3"/>
        <w:spacing w:before="0" w:beforeAutospacing="0" w:after="0" w:afterAutospacing="0"/>
        <w:jc w:val="both"/>
        <w:rPr>
          <w:b/>
          <w:bCs/>
          <w:sz w:val="20"/>
          <w:szCs w:val="20"/>
        </w:rPr>
      </w:pPr>
      <w:r>
        <w:rPr>
          <w:b/>
          <w:bCs/>
          <w:sz w:val="20"/>
          <w:szCs w:val="20"/>
        </w:rPr>
        <w:t>ITEM 2.MANAGEMENT'S DISCUSSION AND ANALYSIS OF FINANCIAL CONDITION AND RESULTS OF OPERATIONS.</w:t>
      </w:r>
    </w:p>
    <w:p w:rsidR="00000000" w:rsidRDefault="008325ED">
      <w:pPr>
        <w:pStyle w:val="a3"/>
        <w:spacing w:before="120" w:beforeAutospacing="0" w:after="0" w:afterAutospacing="0"/>
        <w:jc w:val="both"/>
        <w:rPr>
          <w:spacing w:val="-2"/>
          <w:sz w:val="20"/>
          <w:szCs w:val="20"/>
        </w:rPr>
      </w:pPr>
      <w:r>
        <w:rPr>
          <w:spacing w:val="-2"/>
          <w:sz w:val="20"/>
          <w:szCs w:val="20"/>
        </w:rPr>
        <w:t xml:space="preserve">The following discussion should be read in conjunction with the financial statements and notes thereto appearing elsewhere in this quarterly report on Form 10-Q.  In this quarterly report on Form 10-Q, or Quarterly Report, we use the terms, the "Company," </w:t>
      </w:r>
      <w:r>
        <w:rPr>
          <w:spacing w:val="-2"/>
          <w:sz w:val="20"/>
          <w:szCs w:val="20"/>
        </w:rPr>
        <w:t xml:space="preserve">"CoreCivic," "we," "us," and "our" to refer to CoreCivic, Inc. and its subsidiaries unless context indicates otherwise. </w:t>
      </w:r>
    </w:p>
    <w:p w:rsidR="00000000" w:rsidRDefault="008325ED">
      <w:pPr>
        <w:pStyle w:val="a3"/>
        <w:spacing w:before="240" w:beforeAutospacing="0" w:after="0" w:afterAutospacing="0"/>
        <w:jc w:val="both"/>
        <w:rPr>
          <w:sz w:val="20"/>
          <w:szCs w:val="20"/>
        </w:rPr>
      </w:pPr>
      <w:r>
        <w:rPr>
          <w:sz w:val="20"/>
          <w:szCs w:val="20"/>
        </w:rPr>
        <w:t>This Quarterly Report contains statements as to our beliefs and expectations of the outcome of future events that are forward-looking s</w:t>
      </w:r>
      <w:r>
        <w:rPr>
          <w:sz w:val="20"/>
          <w:szCs w:val="20"/>
        </w:rPr>
        <w:t>tatements as defined within the meaning of the Private Securities Litigation Reform Act of 1995, as amended.  All statements other than statements of current or historical fact contained herein, including statements regarding our future financial position,</w:t>
      </w:r>
      <w:r>
        <w:rPr>
          <w:sz w:val="20"/>
          <w:szCs w:val="20"/>
        </w:rPr>
        <w:t xml:space="preserve"> business strategy, budgets, projected costs and plans, and objectives of management for future operations, are forward-looking statements.  The words "anticipate," "believe," "continue," "could," "estimate," "expect," "intend," "may," "plan," "projects," </w:t>
      </w:r>
      <w:r>
        <w:rPr>
          <w:sz w:val="20"/>
          <w:szCs w:val="20"/>
        </w:rPr>
        <w:t>"will," and similar expressions, as they relate to us, are intended to identify forward-looking statements.  These forward-looking statements are subject to risks and uncertainties that could cause actual results to differ materially from the statements ma</w:t>
      </w:r>
      <w:r>
        <w:rPr>
          <w:sz w:val="20"/>
          <w:szCs w:val="20"/>
        </w:rPr>
        <w:t>de.  These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04466929"/>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changes in government policy (including the United States Department of Justice, or DOJ, not renewing contracts as a result of President Biden’s Executive Order on</w:t>
            </w:r>
            <w:r>
              <w:rPr>
                <w:color w:val="000000"/>
                <w:sz w:val="20"/>
                <w:szCs w:val="20"/>
              </w:rPr>
              <w:t xml:space="preserve"> Reforming Our Incarceration System to Eliminate the Use of Privately Operated Criminal Detention Facilities, or the Private Prison EO) (two agencies of the DOJ, the United States Federal Bureau of Prisons, or BOP, and the United States Marshals Service, o</w:t>
            </w:r>
            <w:r>
              <w:rPr>
                <w:color w:val="000000"/>
                <w:sz w:val="20"/>
                <w:szCs w:val="20"/>
              </w:rPr>
              <w:t xml:space="preserve">r USMS, utilize our services), legislation and regulations that affect utilization of the private sector for corrections, detention, and residential reentry services, in general, or our business, in particular, including, but not limited to, the continued </w:t>
            </w:r>
            <w:r>
              <w:rPr>
                <w:color w:val="000000"/>
                <w:sz w:val="20"/>
                <w:szCs w:val="20"/>
              </w:rPr>
              <w:t>utilization of our correctional and detention facilities by the federal government, and the impact of any changes to immigration reform and sentencing laws (we do not, under longstanding policy, lobby for or against policies or legislation that would deter</w:t>
            </w:r>
            <w:r>
              <w:rPr>
                <w:color w:val="000000"/>
                <w:sz w:val="20"/>
                <w:szCs w:val="20"/>
              </w:rPr>
              <w:t>mine the basis for, or duration of, an individual's incarceration or detention);</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our ability to obtain and maintain correctional, detention, and residential reentry facility management contracts because of reasons including, but not limited to, suffi</w:t>
            </w:r>
            <w:r>
              <w:rPr>
                <w:color w:val="000000"/>
                <w:sz w:val="20"/>
                <w:szCs w:val="20"/>
              </w:rPr>
              <w:t>cient governmental appropriations, contract compliance, negative publicity and effects of inmate disturbances;</w:t>
            </w:r>
          </w:p>
        </w:tc>
      </w:tr>
    </w:tbl>
    <w:p w:rsidR="00000000" w:rsidRDefault="008325ED">
      <w:pPr>
        <w:divId w:val="15650581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6505819"/>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changes in the privatization of the corrections and detention industry, the acceptance of our services, the timing of the opening of new fa</w:t>
            </w:r>
            <w:r>
              <w:rPr>
                <w:color w:val="000000"/>
                <w:sz w:val="20"/>
                <w:szCs w:val="20"/>
              </w:rPr>
              <w:t>cilities and the commencement of new management contracts (including the extent and pace at which new contracts are utilized), as well as our ability to utilize available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general economic and market conditions, including, but not limited to, th</w:t>
            </w:r>
            <w:r>
              <w:rPr>
                <w:color w:val="000000"/>
                <w:sz w:val="20"/>
                <w:szCs w:val="20"/>
              </w:rPr>
              <w:t>e impact governmental budgets can have on our contract renewals and renegotiations, per diem rates, and occupancy;</w:t>
            </w:r>
          </w:p>
        </w:tc>
      </w:tr>
    </w:tbl>
    <w:p w:rsidR="00000000" w:rsidRDefault="008325ED">
      <w:pPr>
        <w:divId w:val="191727980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17279802"/>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fluctuations in our operating results because of, among other things, changes in occupancy levels, competition, contract renegotiations or terminations, increases in costs of operations, fluctuations in interest rates and risks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the dur</w:t>
            </w:r>
            <w:r>
              <w:rPr>
                <w:color w:val="000000"/>
                <w:sz w:val="20"/>
                <w:szCs w:val="20"/>
              </w:rPr>
              <w:t>ation of the federal government's denial of entry at the United States southern border to asylum-seekers and anyone crossing the southern border without proper documentation or authority in an effort to contain the spread of the novel coronavirus and relat</w:t>
            </w:r>
            <w:r>
              <w:rPr>
                <w:color w:val="000000"/>
                <w:sz w:val="20"/>
                <w:szCs w:val="20"/>
              </w:rPr>
              <w:t>ed variants, or COVID-19;</w:t>
            </w:r>
          </w:p>
        </w:tc>
      </w:tr>
    </w:tbl>
    <w:p w:rsidR="00000000" w:rsidRDefault="008325ED">
      <w:pPr>
        <w:divId w:val="900018402"/>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900018402"/>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government and staff responses to staff or residents testing positive for COVID-19 within public and private correctional, detention and reentry facilities, including the facilities we operate;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 xml:space="preserve">restrictions associated </w:t>
            </w:r>
            <w:r>
              <w:rPr>
                <w:color w:val="000000"/>
                <w:sz w:val="20"/>
                <w:szCs w:val="20"/>
              </w:rPr>
              <w:t>with COVID-19 that disrupt the criminal justice system, along with government policies on prosecutions and newly ordered legal restrictions that affect the number of people placed in correctional, detention, and reentry facilities, including those associat</w:t>
            </w:r>
            <w:r>
              <w:rPr>
                <w:color w:val="000000"/>
                <w:sz w:val="20"/>
                <w:szCs w:val="20"/>
              </w:rPr>
              <w:t>ed with a resurgence of COVID-19;</w:t>
            </w:r>
          </w:p>
        </w:tc>
      </w:tr>
    </w:tbl>
    <w:p w:rsidR="00000000" w:rsidRDefault="008325ED">
      <w:pPr>
        <w:divId w:val="46354261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463542615"/>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whether revoking our real estate investment trust, or REIT, election, effective January 1, 2021, and our revised capital allocation strategy can be implemented in a cost effective manner that provides the expected benefits, including facilitating our plann</w:t>
            </w:r>
            <w:r>
              <w:rPr>
                <w:color w:val="000000"/>
                <w:sz w:val="20"/>
                <w:szCs w:val="20"/>
              </w:rPr>
              <w:t>ed debt reduction initiative and planned return of capital to shareholders;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our ability to successfully identify and consummate future development and acquisition opportunities and our ability to successfully integrate the operations of our completed</w:t>
            </w:r>
            <w:r>
              <w:rPr>
                <w:color w:val="000000"/>
                <w:sz w:val="20"/>
                <w:szCs w:val="20"/>
              </w:rPr>
              <w:t xml:space="preserve"> acquisitions and realize projected returns resulting therefrom; </w:t>
            </w:r>
          </w:p>
        </w:tc>
      </w:tr>
    </w:tbl>
    <w:p w:rsidR="00000000" w:rsidRDefault="008325ED">
      <w:pPr>
        <w:divId w:val="192101480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921014809"/>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 xml:space="preserve">our ability, following our revocation of our REIT election, to identify and initiate service opportunities that were unavailable under the REIT structure;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our ability to have me</w:t>
            </w:r>
            <w:r>
              <w:rPr>
                <w:color w:val="000000"/>
                <w:sz w:val="20"/>
                <w:szCs w:val="20"/>
              </w:rPr>
              <w:t>t and maintained qualification for taxation as a REIT for the years we elected REIT status; and</w:t>
            </w:r>
          </w:p>
        </w:tc>
      </w:tr>
    </w:tbl>
    <w:p w:rsidR="00000000" w:rsidRDefault="008325ED">
      <w:pPr>
        <w:divId w:val="79019958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790199580"/>
        </w:trPr>
        <w:tc>
          <w:tcPr>
            <w:tcW w:w="227" w:type="pct"/>
            <w:noWrap/>
            <w:hideMark/>
          </w:tcPr>
          <w:p w:rsidR="00000000" w:rsidRDefault="008325ED">
            <w:pPr>
              <w:pStyle w:val="a3"/>
              <w:spacing w:before="120" w:beforeAutospacing="0" w:after="0" w:afterAutospacing="0"/>
              <w:jc w:val="both"/>
            </w:pPr>
            <w:r>
              <w:t> </w:t>
            </w:r>
          </w:p>
        </w:tc>
        <w:tc>
          <w:tcPr>
            <w:tcW w:w="227"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the availability of debt and equity financing on terms that are favorable to us, or at all.</w:t>
            </w:r>
          </w:p>
        </w:tc>
      </w:tr>
    </w:tbl>
    <w:p w:rsidR="00000000" w:rsidRDefault="008325ED">
      <w:pPr>
        <w:pStyle w:val="a3"/>
        <w:spacing w:before="240" w:beforeAutospacing="0" w:after="0" w:afterAutospacing="0"/>
        <w:jc w:val="center"/>
        <w:rPr>
          <w:sz w:val="20"/>
          <w:szCs w:val="20"/>
        </w:rPr>
      </w:pPr>
      <w:r>
        <w:rPr>
          <w:sz w:val="20"/>
          <w:szCs w:val="20"/>
        </w:rPr>
        <w:t>21</w:t>
      </w:r>
    </w:p>
    <w:p w:rsidR="00000000" w:rsidRDefault="008325ED">
      <w:pPr>
        <w:rPr>
          <w:rFonts w:eastAsia="Times New Roman"/>
        </w:rPr>
      </w:pPr>
      <w:r>
        <w:rPr>
          <w:rFonts w:eastAsia="Times New Roman"/>
        </w:rPr>
        <w:pict>
          <v:rect id="_x0000_i1047"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forward-looking statements largely on our current expectations and projections about future eve</w:t>
      </w:r>
      <w:r>
        <w:rPr>
          <w:sz w:val="20"/>
          <w:szCs w:val="20"/>
        </w:rPr>
        <w:t xml:space="preserve">nts and financial trends that we believe may affect our financial condition, results of operations, business strategy, and financial needs.  Our statements can be affected by inaccurate assumptions we might make or by known or unknown risks, uncertainties </w:t>
      </w:r>
      <w:r>
        <w:rPr>
          <w:sz w:val="20"/>
          <w:szCs w:val="20"/>
        </w:rPr>
        <w:t>and assumptions, including the risks, uncertainties, and assumptions described in "Item 1A Risk Factors" disclosed in Part II of this Quarterly Report, as well as in our Annual Report on Form 10-K for the year ended December 31, 2020 filed with the Securit</w:t>
      </w:r>
      <w:r>
        <w:rPr>
          <w:sz w:val="20"/>
          <w:szCs w:val="20"/>
        </w:rPr>
        <w:t>ies and Exchange Commission, or the SEC, on February 22, 2021, or the 2020 Form 10-K, and in other reports, documents, and other information we file with the SEC from time to time.  Readers are cautioned not to place undue reliance on these forward-looking</w:t>
      </w:r>
      <w:r>
        <w:rPr>
          <w:sz w:val="20"/>
          <w:szCs w:val="20"/>
        </w:rPr>
        <w:t xml:space="preserve"> statements, which speak only as of the date hereof.  New risks and uncertainties arise from time to time, and it is impossible for us to predict these events or how they may affect us. We undertake no obligation to publicly update or revise any forward-lo</w:t>
      </w:r>
      <w:r>
        <w:rPr>
          <w:sz w:val="20"/>
          <w:szCs w:val="20"/>
        </w:rPr>
        <w:t>oking statements made in this Quarterly Report, except as may be required by law. All subsequent written and oral forward-looking statements attributable to us or persons acting on our behalf are expressly qualified in their entirety by the cautionary stat</w:t>
      </w:r>
      <w:r>
        <w:rPr>
          <w:sz w:val="20"/>
          <w:szCs w:val="20"/>
        </w:rPr>
        <w:t>ements.</w:t>
      </w:r>
    </w:p>
    <w:p w:rsidR="00000000" w:rsidRDefault="008325ED">
      <w:pPr>
        <w:pStyle w:val="a3"/>
        <w:spacing w:before="360" w:beforeAutospacing="0" w:after="0" w:afterAutospacing="0"/>
        <w:jc w:val="both"/>
        <w:rPr>
          <w:b/>
          <w:bCs/>
          <w:sz w:val="20"/>
          <w:szCs w:val="20"/>
        </w:rPr>
      </w:pPr>
      <w:r>
        <w:rPr>
          <w:b/>
          <w:bCs/>
          <w:sz w:val="20"/>
          <w:szCs w:val="20"/>
        </w:rPr>
        <w:t>OVERVIEW</w:t>
      </w:r>
    </w:p>
    <w:p w:rsidR="00000000" w:rsidRDefault="008325ED">
      <w:pPr>
        <w:pStyle w:val="a3"/>
        <w:spacing w:before="120" w:beforeAutospacing="0" w:after="0" w:afterAutospacing="0"/>
        <w:jc w:val="both"/>
        <w:rPr>
          <w:b/>
          <w:bCs/>
          <w:sz w:val="20"/>
          <w:szCs w:val="20"/>
        </w:rPr>
      </w:pPr>
      <w:r>
        <w:rPr>
          <w:b/>
          <w:bCs/>
          <w:sz w:val="20"/>
          <w:szCs w:val="20"/>
        </w:rPr>
        <w:t>The Company</w:t>
      </w:r>
    </w:p>
    <w:p w:rsidR="00000000" w:rsidRDefault="008325ED">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w:t>
      </w:r>
      <w:r>
        <w:rPr>
          <w:sz w:val="20"/>
          <w:szCs w:val="20"/>
        </w:rPr>
        <w:t xml:space="preserve">oreCivic Properties, we provide a broad range of solutions to government partners that serve the public good through corrections and detention management, a network of residential reentry centers to help address America's recidivism crisis, and government </w:t>
      </w:r>
      <w:r>
        <w:rPr>
          <w:sz w:val="20"/>
          <w:szCs w:val="20"/>
        </w:rPr>
        <w:t xml:space="preserve">real estate solutions.  We have been a flexible and dependable partner for government for more than 35 years.  Our employees are driven by a deep sense of service, high standards of professionalism and a responsibility to help government better the public </w:t>
      </w:r>
      <w:r>
        <w:rPr>
          <w:sz w:val="20"/>
          <w:szCs w:val="20"/>
        </w:rPr>
        <w:t>good.</w:t>
      </w:r>
    </w:p>
    <w:p w:rsidR="00000000" w:rsidRDefault="008325ED">
      <w:pPr>
        <w:pStyle w:val="a3"/>
        <w:spacing w:before="240" w:beforeAutospacing="0" w:after="0" w:afterAutospacing="0"/>
        <w:jc w:val="both"/>
        <w:rPr>
          <w:sz w:val="20"/>
          <w:szCs w:val="20"/>
        </w:rPr>
      </w:pPr>
      <w:r>
        <w:rPr>
          <w:sz w:val="20"/>
          <w:szCs w:val="20"/>
        </w:rPr>
        <w:t>We are the nation's largest owner of partnership correctional, detention, and residential reentry facilities and one of the largest prison operators in the United States.  We also believe we are the largest private owner of real estate used by govern</w:t>
      </w:r>
      <w:r>
        <w:rPr>
          <w:sz w:val="20"/>
          <w:szCs w:val="20"/>
        </w:rPr>
        <w:t>ment agencies in the U.S.  As of June 30, 2021, through our CoreCivic Safety segment, we operated 47 correctional and detention facilities, 42 of which we owned, with a total design capacity of approximately 70,000 beds. Through our CoreCivic Community seg</w:t>
      </w:r>
      <w:r>
        <w:rPr>
          <w:sz w:val="20"/>
          <w:szCs w:val="20"/>
        </w:rPr>
        <w:t xml:space="preserve">ment, we owned and operated 26 residential reentry centers with a total design capacity of approximately 5,000 beds.  In addition, through our CoreCivic Properties segment, we owned 10 properties for lease to third parties and used by government agencies, </w:t>
      </w:r>
      <w:r>
        <w:rPr>
          <w:sz w:val="20"/>
          <w:szCs w:val="20"/>
        </w:rPr>
        <w:t>totaling 1.6 million square feet.  </w:t>
      </w:r>
    </w:p>
    <w:p w:rsidR="00000000" w:rsidRDefault="008325ED">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faith-base</w:t>
      </w:r>
      <w:r>
        <w:rPr>
          <w:sz w:val="20"/>
          <w:szCs w:val="20"/>
        </w:rPr>
        <w:t>d services, life skills and employment training, and substance abuse treatment.  These services are intended to help reduce recidivism and to prepare offenders for their successful reentry into society upon their release.  We also provide or make available</w:t>
      </w:r>
      <w:r>
        <w:rPr>
          <w:sz w:val="20"/>
          <w:szCs w:val="20"/>
        </w:rPr>
        <w:t xml:space="preserve"> to offenders certain health care (including medical, dental, and mental health services), food services, and work and recreational programs. </w:t>
      </w:r>
    </w:p>
    <w:p w:rsidR="00000000" w:rsidRDefault="008325ED">
      <w:pPr>
        <w:pStyle w:val="a3"/>
        <w:spacing w:before="240" w:beforeAutospacing="0" w:after="0" w:afterAutospacing="0"/>
        <w:jc w:val="both"/>
        <w:rPr>
          <w:sz w:val="20"/>
          <w:szCs w:val="20"/>
        </w:rPr>
      </w:pPr>
      <w:r>
        <w:rPr>
          <w:sz w:val="20"/>
          <w:szCs w:val="20"/>
        </w:rPr>
        <w:t>We are a Maryland corporation formed in 1983. Our principal executive offices are located at 5501 Virginia Way, B</w:t>
      </w:r>
      <w:r>
        <w:rPr>
          <w:sz w:val="20"/>
          <w:szCs w:val="20"/>
        </w:rPr>
        <w:t>rentwood, Tennessee, 37027, and our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stat</w:t>
      </w:r>
      <w:r>
        <w:rPr>
          <w:sz w:val="20"/>
          <w:szCs w:val="20"/>
        </w:rPr>
        <w:t>ements, and amendments to those reports under the Securities Exchange Act of 1934, as amended, or the Exchange Act, available on our website, free of charge, as soon as reasonably practicable after these reports are filed with or furnished to the SEC.  Inf</w:t>
      </w:r>
      <w:r>
        <w:rPr>
          <w:sz w:val="20"/>
          <w:szCs w:val="20"/>
        </w:rPr>
        <w:t>ormation contained on our website is not part of this Quarterly Report.  </w:t>
      </w:r>
    </w:p>
    <w:p w:rsidR="00000000" w:rsidRDefault="008325ED">
      <w:pPr>
        <w:pStyle w:val="a3"/>
        <w:spacing w:before="240" w:beforeAutospacing="0" w:after="0" w:afterAutospacing="0"/>
        <w:jc w:val="both"/>
        <w:rPr>
          <w:sz w:val="20"/>
          <w:szCs w:val="20"/>
        </w:rPr>
      </w:pPr>
      <w:r>
        <w:rPr>
          <w:sz w:val="20"/>
          <w:szCs w:val="20"/>
        </w:rPr>
        <w:t>We operated as a REIT from January 1, 2013 through December 31, 2020.  As a REIT, we provided services and conducted other business activities through taxable REIT subsidiaries, or T</w:t>
      </w:r>
      <w:r>
        <w:rPr>
          <w:sz w:val="20"/>
          <w:szCs w:val="20"/>
        </w:rPr>
        <w:t>RSs.  A TRS is a subsidiary of a REIT that is subject to applicable corporate income tax rates and certain qualification requirements.  Our use of TRSs enabled us to comply with REIT qualification requirements while providing correctional services at facil</w:t>
      </w:r>
      <w:r>
        <w:rPr>
          <w:sz w:val="20"/>
          <w:szCs w:val="20"/>
        </w:rPr>
        <w:t>ities we own and at facilities owned by our government partners and to engage in certain other business operations.  </w:t>
      </w:r>
    </w:p>
    <w:p w:rsidR="00000000" w:rsidRDefault="008325ED">
      <w:pPr>
        <w:pStyle w:val="a3"/>
        <w:spacing w:before="240" w:beforeAutospacing="0" w:after="0" w:afterAutospacing="0"/>
        <w:jc w:val="both"/>
        <w:rPr>
          <w:sz w:val="20"/>
          <w:szCs w:val="20"/>
        </w:rPr>
      </w:pPr>
      <w:r>
        <w:rPr>
          <w:sz w:val="20"/>
          <w:szCs w:val="20"/>
        </w:rPr>
        <w:t>As a REIT, we generally were not subject to federal income taxes on our REIT taxable income and gains that we distributed to our stockhold</w:t>
      </w:r>
      <w:r>
        <w:rPr>
          <w:sz w:val="20"/>
          <w:szCs w:val="20"/>
        </w:rPr>
        <w:t xml:space="preserve">ers, including the income derived from our real estate and dividends we earned from our TRSs. However, our TRSs were required to pay income taxes on their earnings at regular corporate income tax rates. </w:t>
      </w:r>
    </w:p>
    <w:p w:rsidR="00000000" w:rsidRDefault="008325ED">
      <w:pPr>
        <w:pStyle w:val="a3"/>
        <w:spacing w:before="240" w:beforeAutospacing="0" w:after="0" w:afterAutospacing="0"/>
        <w:jc w:val="both"/>
        <w:rPr>
          <w:sz w:val="20"/>
          <w:szCs w:val="20"/>
        </w:rPr>
      </w:pPr>
      <w:r>
        <w:rPr>
          <w:sz w:val="20"/>
          <w:szCs w:val="20"/>
        </w:rPr>
        <w:t xml:space="preserve">As a REIT, we generally were required to distribute </w:t>
      </w:r>
      <w:r>
        <w:rPr>
          <w:sz w:val="20"/>
          <w:szCs w:val="20"/>
        </w:rPr>
        <w:t>annually to our stockholders at least 90% of our REIT taxable income (determined without regard to the dividends paid deduction and excluding net capital gains). Our REIT taxable income did not typically include income earned by our TRSs except to the exte</w:t>
      </w:r>
      <w:r>
        <w:rPr>
          <w:sz w:val="20"/>
          <w:szCs w:val="20"/>
        </w:rPr>
        <w:t>nt our TRSs paid dividends to the REIT.</w:t>
      </w:r>
    </w:p>
    <w:p w:rsidR="00000000" w:rsidRDefault="008325ED">
      <w:pPr>
        <w:pStyle w:val="a3"/>
        <w:spacing w:before="240" w:beforeAutospacing="0" w:after="0" w:afterAutospacing="0"/>
        <w:jc w:val="center"/>
        <w:rPr>
          <w:sz w:val="20"/>
          <w:szCs w:val="20"/>
        </w:rPr>
      </w:pPr>
      <w:r>
        <w:rPr>
          <w:sz w:val="20"/>
          <w:szCs w:val="20"/>
        </w:rPr>
        <w:t>22</w:t>
      </w:r>
    </w:p>
    <w:p w:rsidR="00000000" w:rsidRDefault="008325ED">
      <w:pPr>
        <w:rPr>
          <w:rFonts w:eastAsia="Times New Roman"/>
        </w:rPr>
      </w:pPr>
      <w:r>
        <w:rPr>
          <w:rFonts w:eastAsia="Times New Roman"/>
        </w:rPr>
        <w:pict>
          <v:rect id="_x0000_i1048"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On August 5, 2020, we announced that our Board of Directors, or BOD, </w:t>
      </w:r>
      <w:r>
        <w:rPr>
          <w:sz w:val="20"/>
          <w:szCs w:val="20"/>
        </w:rPr>
        <w:t>unanimously approved a plan to revoke our REIT election and become a taxable C Corporation, effective January 1, 2021.  The BOD also voted unanimously to discontinue our quarterly dividend and prioritize allocating our free cash flow to reduce debt levels.</w:t>
      </w:r>
      <w:r>
        <w:rPr>
          <w:sz w:val="20"/>
          <w:szCs w:val="20"/>
        </w:rPr>
        <w:t>  As a result, we are no longer required to operate under REIT rules, including the requirement to distribute at least 90% of our taxable income to our stockholders, which provides us with greater flexibility to use our free cash flow.  Beginning January 1</w:t>
      </w:r>
      <w:r>
        <w:rPr>
          <w:sz w:val="20"/>
          <w:szCs w:val="20"/>
        </w:rPr>
        <w:t xml:space="preserve">, 2021, we are subject to federal and state income taxes on our taxable income at applicable tax rates, and are no longer entitled to a tax deduction for dividends paid. However, we believe this conversion will improve our overall credit profile and lower </w:t>
      </w:r>
      <w:r>
        <w:rPr>
          <w:sz w:val="20"/>
          <w:szCs w:val="20"/>
        </w:rPr>
        <w:t>our overall cost of capital.  Following our first priority of reducing debt, we expect to allocate a substantial portion of our free cash flow to returning capital to our shareholders and pursuing alternative growth opportunities.  This conversion will als</w:t>
      </w:r>
      <w:r>
        <w:rPr>
          <w:sz w:val="20"/>
          <w:szCs w:val="20"/>
        </w:rPr>
        <w:t xml:space="preserve">o provide us with significantly more liquidity, which will enable us to reduce our reliance on the capital markets and reduce the size of our Second Amended and Restated Credit Agreement, or Bank Credit Facility, in the future.  We continued to operate as </w:t>
      </w:r>
      <w:r>
        <w:rPr>
          <w:sz w:val="20"/>
          <w:szCs w:val="20"/>
        </w:rPr>
        <w:t xml:space="preserve">a REIT for the 2020 tax year, and existing REIT requirements and limitations, including those established by our organizational documents, remained in place until January 1, 2021.   </w:t>
      </w:r>
    </w:p>
    <w:p w:rsidR="00000000" w:rsidRDefault="008325ED">
      <w:pPr>
        <w:pStyle w:val="a3"/>
        <w:spacing w:before="240" w:beforeAutospacing="0" w:after="0" w:afterAutospacing="0"/>
        <w:jc w:val="both"/>
        <w:rPr>
          <w:sz w:val="20"/>
          <w:szCs w:val="20"/>
        </w:rPr>
      </w:pPr>
      <w:r>
        <w:rPr>
          <w:sz w:val="20"/>
          <w:szCs w:val="20"/>
        </w:rPr>
        <w:t>On January 26, 2021, President Biden issued the Private Prison EO.  The P</w:t>
      </w:r>
      <w:r>
        <w:rPr>
          <w:sz w:val="20"/>
          <w:szCs w:val="20"/>
        </w:rPr>
        <w:t>rivate Prison EO directs the Attorney General to not renew DOJ contracts with privately operated criminal detention facilities.  Two agencies of the DOJ, the BOP and the USMS, utilize our services.  The BOP houses inmates who have been convicted, and the U</w:t>
      </w:r>
      <w:r>
        <w:rPr>
          <w:sz w:val="20"/>
          <w:szCs w:val="20"/>
        </w:rPr>
        <w:t>SMS is generally responsible for detainees who are awaiting trial.  The BOP has experienced a steady decline in inmate populations over the last seven years, a trend that has been accelerated by the novel coronavirus, or COVID-19, pandemic.  We currently h</w:t>
      </w:r>
      <w:r>
        <w:rPr>
          <w:sz w:val="20"/>
          <w:szCs w:val="20"/>
        </w:rPr>
        <w:t>ave one prison contract with the BOP, accounting for 2% ($20.2 million) of our total revenue for the six months ended June 30, 2021, which expires in November 2022.  The Private Prison EO only applies to agencies that are part of the DOJ, which includes th</w:t>
      </w:r>
      <w:r>
        <w:rPr>
          <w:sz w:val="20"/>
          <w:szCs w:val="20"/>
        </w:rPr>
        <w:t>e BOP and USMS.  U.S. Immigration and Customs Enforcement, or ICE, facilities are not covered by the Private Prison EO, as ICE is an agency of the Department of Homeland Security, not the DOJ, although it is possible that the federal government could choos</w:t>
      </w:r>
      <w:r>
        <w:rPr>
          <w:sz w:val="20"/>
          <w:szCs w:val="20"/>
        </w:rPr>
        <w:t>e to take similar action on ICE facilities in the future.  </w:t>
      </w:r>
      <w:r>
        <w:rPr>
          <w:color w:val="000000"/>
          <w:spacing w:val="3"/>
          <w:sz w:val="20"/>
          <w:szCs w:val="20"/>
        </w:rPr>
        <w:t>For the six months ended June 30, 2021, USMS and ICE accounted for 23% ($214.9 million) and 29% ($271.1 million), respectively, of our total revenue.  </w:t>
      </w:r>
    </w:p>
    <w:p w:rsidR="00000000" w:rsidRDefault="008325ED">
      <w:pPr>
        <w:pStyle w:val="a3"/>
        <w:spacing w:before="240" w:beforeAutospacing="0" w:after="0" w:afterAutospacing="0"/>
        <w:jc w:val="both"/>
        <w:rPr>
          <w:sz w:val="20"/>
          <w:szCs w:val="20"/>
        </w:rPr>
      </w:pPr>
      <w:r>
        <w:rPr>
          <w:sz w:val="20"/>
          <w:szCs w:val="20"/>
        </w:rPr>
        <w:t>Unlike the BOP, the USMS does not own detenti</w:t>
      </w:r>
      <w:r>
        <w:rPr>
          <w:sz w:val="20"/>
          <w:szCs w:val="20"/>
        </w:rPr>
        <w:t xml:space="preserve">on capacity and relies on the private sector, along with various government agencies, for its detainee population. </w:t>
      </w:r>
      <w:r>
        <w:rPr>
          <w:color w:val="000000"/>
          <w:spacing w:val="3"/>
          <w:sz w:val="20"/>
          <w:szCs w:val="20"/>
        </w:rPr>
        <w:t>The USMS has indicated that it has been advised by the Office of the Deputy Attorney General not to renew existing contracts, or enter into n</w:t>
      </w:r>
      <w:r>
        <w:rPr>
          <w:color w:val="000000"/>
          <w:spacing w:val="3"/>
          <w:sz w:val="20"/>
          <w:szCs w:val="20"/>
        </w:rPr>
        <w:t>ew contracts for private detention facilities. During the second quarter of 2021, we had direct contracts with the USMS for up to 992 detainees at our 2016-bed Northeast Ohio Correctional Center and for up to approximately 96 detainees at our 664-bed Cross</w:t>
      </w:r>
      <w:r>
        <w:rPr>
          <w:color w:val="000000"/>
          <w:spacing w:val="3"/>
          <w:sz w:val="20"/>
          <w:szCs w:val="20"/>
        </w:rPr>
        <w:t>roads Correctional Center in Montana that expired and were not renewed.  On May 28, 2021, we entered into a new three-year contract with Mahoning County, Ohio to utilize up to 990 beds at our Northeast Ohio Correctional Center.  Mahoning County is responsi</w:t>
      </w:r>
      <w:r>
        <w:rPr>
          <w:color w:val="000000"/>
          <w:spacing w:val="3"/>
          <w:sz w:val="20"/>
          <w:szCs w:val="20"/>
        </w:rPr>
        <w:t>ble for County inmates and federal detainees, including USMS detainees, and the County is using the Northeast Ohio facility to address its population needs.  During the third quarter of 2021, we entered into an amendment to the contract with the state of M</w:t>
      </w:r>
      <w:r>
        <w:rPr>
          <w:color w:val="000000"/>
          <w:spacing w:val="3"/>
          <w:sz w:val="20"/>
          <w:szCs w:val="20"/>
        </w:rPr>
        <w:t>ontana to utilize all of the capacity at the Crossroads Correctional Center, including the space vacated by the USMS, and to extend the existing contract to June 30, 2023, with additional renewal options by mutual agreement through August 31, 2029.  </w:t>
      </w:r>
    </w:p>
    <w:p w:rsidR="00000000" w:rsidRDefault="008325ED">
      <w:pPr>
        <w:pStyle w:val="a3"/>
        <w:spacing w:before="240" w:beforeAutospacing="0" w:after="0" w:afterAutospacing="0"/>
        <w:jc w:val="both"/>
        <w:rPr>
          <w:color w:val="000000"/>
          <w:spacing w:val="3"/>
          <w:sz w:val="20"/>
          <w:szCs w:val="20"/>
        </w:rPr>
      </w:pPr>
      <w:r>
        <w:rPr>
          <w:color w:val="000000"/>
          <w:spacing w:val="3"/>
          <w:sz w:val="20"/>
          <w:szCs w:val="20"/>
        </w:rPr>
        <w:t>We cu</w:t>
      </w:r>
      <w:r>
        <w:rPr>
          <w:color w:val="000000"/>
          <w:spacing w:val="3"/>
          <w:sz w:val="20"/>
          <w:szCs w:val="20"/>
        </w:rPr>
        <w:t>rrently have eight detention facilities that have separate contracts where the USMS is the primary customer within the facility that all expire at various times over the next several years, with the exception of two contracts that have indefinite terms. No</w:t>
      </w:r>
      <w:r>
        <w:rPr>
          <w:color w:val="000000"/>
          <w:spacing w:val="3"/>
          <w:sz w:val="20"/>
          <w:szCs w:val="20"/>
        </w:rPr>
        <w:t>n-renewal of these contracts, or the expansion of the Private Prison EO to ICE, would have a material adverse effect on our business, financial condition, and results of operations.  As of June 30, 2021, three of the aforementioned eight contracts with the</w:t>
      </w:r>
      <w:r>
        <w:rPr>
          <w:color w:val="000000"/>
          <w:spacing w:val="3"/>
          <w:sz w:val="20"/>
          <w:szCs w:val="20"/>
        </w:rPr>
        <w:t xml:space="preserve"> USMS expire over the next twelve months.  The USMS has full access to our 600-bed West Tennessee Detention Facility and our 1,033-bed Leavenworth Detention Center under direct contracts with the USMS that expire in September 2021 and December 2021, respec</w:t>
      </w:r>
      <w:r>
        <w:rPr>
          <w:color w:val="000000"/>
          <w:spacing w:val="3"/>
          <w:sz w:val="20"/>
          <w:szCs w:val="20"/>
        </w:rPr>
        <w:t xml:space="preserve">tively.  In addition, we have a contract at our 2,672-bed Tallahatchie County Correctional Facility in Mississippi that allows the USMS to utilize available capacity that expires in June 2022.  We do not yet know if the USMS will relocate the detainees at </w:t>
      </w:r>
      <w:r>
        <w:rPr>
          <w:color w:val="000000"/>
          <w:spacing w:val="3"/>
          <w:sz w:val="20"/>
          <w:szCs w:val="20"/>
        </w:rPr>
        <w:t>these facilities, but we will continue to work with the USMS to enable it to fulfill its mission.  However, we can provide no assurance that we will be able to provide a solution that is acceptable to all parties that would be involved in such a solution.</w:t>
      </w:r>
    </w:p>
    <w:p w:rsidR="00000000" w:rsidRDefault="008325ED">
      <w:pPr>
        <w:pStyle w:val="a3"/>
        <w:spacing w:before="360" w:beforeAutospacing="0" w:after="0" w:afterAutospacing="0"/>
        <w:rPr>
          <w:b/>
          <w:bCs/>
          <w:sz w:val="20"/>
          <w:szCs w:val="20"/>
        </w:rPr>
      </w:pPr>
      <w:r>
        <w:rPr>
          <w:b/>
          <w:bCs/>
          <w:sz w:val="20"/>
          <w:szCs w:val="20"/>
        </w:rPr>
        <w:t>CRITICAL ACCOUNTING POLICIES</w:t>
      </w:r>
    </w:p>
    <w:p w:rsidR="00000000" w:rsidRDefault="008325ED">
      <w:pPr>
        <w:pStyle w:val="a3"/>
        <w:spacing w:before="120" w:beforeAutospacing="0" w:after="0" w:afterAutospacing="0"/>
        <w:jc w:val="both"/>
        <w:rPr>
          <w:sz w:val="20"/>
          <w:szCs w:val="20"/>
        </w:rPr>
      </w:pPr>
      <w:r>
        <w:rPr>
          <w:sz w:val="20"/>
          <w:szCs w:val="20"/>
        </w:rPr>
        <w:t>The consolidated financial statements in this report are prepared in conformity with U.S. generally accepted accounting principles, or GAAP.  As such, we are required to make certain estimates, judgments, and assumptions that w</w:t>
      </w:r>
      <w:r>
        <w:rPr>
          <w:sz w:val="20"/>
          <w:szCs w:val="20"/>
        </w:rPr>
        <w:t>e believe are reasonable based upon the information available. These estimates and assumptions affect the reported amounts of assets and liabilities at the date of the consolidated financial statements and the reported amounts of revenue and expenses durin</w:t>
      </w:r>
      <w:r>
        <w:rPr>
          <w:sz w:val="20"/>
          <w:szCs w:val="20"/>
        </w:rPr>
        <w:t>g the reporting period.  A summary of our significant accounting policies is described in our 2020 Form 10-K.  The significant accounting policies and estimates which we believe are the most critical to aid in fully understanding and evaluating our reporte</w:t>
      </w:r>
      <w:r>
        <w:rPr>
          <w:sz w:val="20"/>
          <w:szCs w:val="20"/>
        </w:rPr>
        <w:t>d financial results include the following:</w:t>
      </w:r>
    </w:p>
    <w:p w:rsidR="00000000" w:rsidRDefault="008325ED">
      <w:pPr>
        <w:pStyle w:val="a3"/>
        <w:spacing w:before="0" w:beforeAutospacing="0" w:after="0" w:afterAutospacing="0"/>
        <w:rPr>
          <w:i/>
          <w:iCs/>
          <w:sz w:val="20"/>
          <w:szCs w:val="20"/>
        </w:rPr>
      </w:pPr>
    </w:p>
    <w:p w:rsidR="00000000" w:rsidRDefault="008325ED">
      <w:pPr>
        <w:pStyle w:val="a3"/>
        <w:spacing w:before="240" w:beforeAutospacing="0" w:after="0" w:afterAutospacing="0"/>
        <w:jc w:val="center"/>
        <w:rPr>
          <w:sz w:val="20"/>
          <w:szCs w:val="20"/>
        </w:rPr>
      </w:pPr>
      <w:r>
        <w:rPr>
          <w:sz w:val="20"/>
          <w:szCs w:val="20"/>
        </w:rPr>
        <w:t>23</w:t>
      </w:r>
    </w:p>
    <w:p w:rsidR="00000000" w:rsidRDefault="008325ED">
      <w:pPr>
        <w:rPr>
          <w:rFonts w:eastAsia="Times New Roman"/>
        </w:rPr>
      </w:pPr>
      <w:r>
        <w:rPr>
          <w:rFonts w:eastAsia="Times New Roman"/>
        </w:rPr>
        <w:pict>
          <v:rect id="_x0000_i1049"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The primary risk we face for material asset impairment charges is associated with facilities we own.  As of June 30, 2021, we had $2.3 billion in pr</w:t>
      </w:r>
      <w:r>
        <w:rPr>
          <w:sz w:val="20"/>
          <w:szCs w:val="20"/>
        </w:rPr>
        <w:t>operty and equipment, including $130.1 million in long-lived assets, excluding equipment, at five idled CoreCivic Safety correctional facilities.  The impairment analyses we performed for each of these facilities excluded the net book value of equipment, a</w:t>
      </w:r>
      <w:r>
        <w:rPr>
          <w:sz w:val="20"/>
          <w:szCs w:val="20"/>
        </w:rPr>
        <w:t>s a substantial portion of the equipment is easily transferrable to other company-owned facilities without significant cost.  The carrying values of the five idled correctional facilities as of June 30, 2021 were as follows (in thousands):</w:t>
      </w:r>
    </w:p>
    <w:p w:rsidR="00000000" w:rsidRDefault="008325ED">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6"/>
        <w:gridCol w:w="67"/>
        <w:gridCol w:w="115"/>
        <w:gridCol w:w="761"/>
        <w:gridCol w:w="65"/>
      </w:tblGrid>
      <w:tr w:rsidR="00000000">
        <w:trPr>
          <w:divId w:val="65227039"/>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Prairie Correc</w:t>
            </w:r>
            <w:r>
              <w:rPr>
                <w:color w:val="000000"/>
                <w:sz w:val="20"/>
                <w:szCs w:val="20"/>
              </w:rPr>
              <w:t>tional Facility</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14,231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5227039"/>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Huerfano County Correctional Center</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15,565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5227039"/>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Diamondback Correctional Facility</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37,492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5227039"/>
        </w:trPr>
        <w:tc>
          <w:tcPr>
            <w:tcW w:w="40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Marion Adjustment Center</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10,957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5227039"/>
        </w:trPr>
        <w:tc>
          <w:tcPr>
            <w:tcW w:w="40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Kit Carson Correctional Center</w:t>
            </w:r>
          </w:p>
        </w:tc>
        <w:tc>
          <w:tcPr>
            <w:tcW w:w="94"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79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51,860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5227039"/>
        </w:trPr>
        <w:tc>
          <w:tcPr>
            <w:tcW w:w="401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79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130,105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As of June </w:t>
      </w:r>
      <w:r>
        <w:rPr>
          <w:sz w:val="20"/>
          <w:szCs w:val="20"/>
        </w:rPr>
        <w:t>30, 2021, we also had one idled non-core facility in our Safety segment containing 240 beds with a net book value of $3.0 million; four facilities in our Community segment, containing an aggregate of 740 beds with an aggregate net book value of $13.6 milli</w:t>
      </w:r>
      <w:r>
        <w:rPr>
          <w:sz w:val="20"/>
          <w:szCs w:val="20"/>
        </w:rPr>
        <w:t>on; and one previously leased property in our Properties segment, containing 37,000 square feet with a net book value of $6.3 million.  </w:t>
      </w:r>
    </w:p>
    <w:p w:rsidR="00000000" w:rsidRDefault="008325ED">
      <w:pPr>
        <w:pStyle w:val="a3"/>
        <w:spacing w:before="240" w:beforeAutospacing="0" w:after="0" w:afterAutospacing="0"/>
        <w:jc w:val="both"/>
        <w:rPr>
          <w:sz w:val="20"/>
          <w:szCs w:val="20"/>
        </w:rPr>
      </w:pPr>
      <w:r>
        <w:rPr>
          <w:sz w:val="20"/>
          <w:szCs w:val="20"/>
        </w:rPr>
        <w:t xml:space="preserve">We incurred operating expenses at all of these idled facilities of approximately $2.0 million and $1.9 million for the </w:t>
      </w:r>
      <w:r>
        <w:rPr>
          <w:sz w:val="20"/>
          <w:szCs w:val="20"/>
        </w:rPr>
        <w:t>period they were idle during the three months ended June 30, 2021 and 2020, respectively. We incurred operating expenses at all of these idled facilities of $4.1 million and $3.7 million for the period they were idle during the six months ended June 30, 20</w:t>
      </w:r>
      <w:r>
        <w:rPr>
          <w:sz w:val="20"/>
          <w:szCs w:val="20"/>
        </w:rPr>
        <w:t xml:space="preserve">21 and 2020, respectively. </w:t>
      </w:r>
    </w:p>
    <w:p w:rsidR="00000000" w:rsidRDefault="008325ED">
      <w:pPr>
        <w:pStyle w:val="a3"/>
        <w:spacing w:before="240" w:beforeAutospacing="0" w:after="0" w:afterAutospacing="0"/>
        <w:jc w:val="both"/>
        <w:rPr>
          <w:sz w:val="20"/>
          <w:szCs w:val="20"/>
        </w:rPr>
      </w:pPr>
      <w:r>
        <w:rPr>
          <w:sz w:val="20"/>
          <w:szCs w:val="20"/>
        </w:rPr>
        <w:t>On May 24, 2021, we completed the sale of an idled 12,000 square foot non-core property located in St. Louis, Missouri, with a net book value of $0.8 million at the time of the sale, for net proceeds of $0.6 million.  In additio</w:t>
      </w:r>
      <w:r>
        <w:rPr>
          <w:sz w:val="20"/>
          <w:szCs w:val="20"/>
        </w:rPr>
        <w:t>n, on June 25, 2021, we completed the sale of an idled 18,000 square foot non-core property, located in Philadelphia, Pennsylvania, for a price of $2.0 million, generating net proceeds of $1.8 million.   The carrying value of the Philadelphia property of $</w:t>
      </w:r>
      <w:r>
        <w:rPr>
          <w:sz w:val="20"/>
          <w:szCs w:val="20"/>
        </w:rPr>
        <w:t>1.8 million was classified as held for sale at March 31, 2021.  Pursuant to an agreement to sell the Philadelphia property, in the first quarter of 2021, we recognized an impairment charge of $1.3 million associated with this facility, based on its estimat</w:t>
      </w:r>
      <w:r>
        <w:rPr>
          <w:sz w:val="20"/>
          <w:szCs w:val="20"/>
        </w:rPr>
        <w:t>ed net realizable value less costs to sell.  Both the St. Louis and Philadelphia properties were formerly in our Properties segment.</w:t>
      </w:r>
    </w:p>
    <w:p w:rsidR="00000000" w:rsidRDefault="008325ED">
      <w:pPr>
        <w:pStyle w:val="a3"/>
        <w:spacing w:before="240" w:beforeAutospacing="0" w:after="0" w:afterAutospacing="0"/>
        <w:jc w:val="both"/>
        <w:rPr>
          <w:sz w:val="20"/>
          <w:szCs w:val="20"/>
        </w:rPr>
      </w:pPr>
      <w:r>
        <w:rPr>
          <w:sz w:val="20"/>
          <w:szCs w:val="20"/>
        </w:rPr>
        <w:t>We evaluate the recoverability of the carrying values of our long-lived assets, other than goodwill, when events suggest th</w:t>
      </w:r>
      <w:r>
        <w:rPr>
          <w:sz w:val="20"/>
          <w:szCs w:val="20"/>
        </w:rPr>
        <w:t>at an impairment may have occurred.  Such events primarily include, but are not limited to, the termination of a management contract, a significant decrease in populations within a facility we own in our Safety and Community segments that we believe will b</w:t>
      </w:r>
      <w:r>
        <w:rPr>
          <w:sz w:val="20"/>
          <w:szCs w:val="20"/>
        </w:rPr>
        <w:t>e longer than short-term, and the expiration and non-renewal of lease agreements in our Properties segment.  </w:t>
      </w:r>
    </w:p>
    <w:p w:rsidR="00000000" w:rsidRDefault="008325ED">
      <w:pPr>
        <w:pStyle w:val="a3"/>
        <w:spacing w:before="240" w:beforeAutospacing="0" w:after="0" w:afterAutospacing="0"/>
        <w:jc w:val="both"/>
        <w:rPr>
          <w:sz w:val="20"/>
          <w:szCs w:val="20"/>
        </w:rPr>
      </w:pPr>
      <w:r>
        <w:rPr>
          <w:sz w:val="20"/>
          <w:szCs w:val="20"/>
        </w:rPr>
        <w:t>We perform the impairment analyses for each of the idle facilities as well as any other properties with indicators of impairment.  Our estimates o</w:t>
      </w:r>
      <w:r>
        <w:rPr>
          <w:sz w:val="20"/>
          <w:szCs w:val="20"/>
        </w:rPr>
        <w:t>f recoverability are initially based on projected undiscounted cash flows that are comparable to historical cash flows from management contracts or lease agreements at facilities similar to the idled facilities, including historical operations for the idle</w:t>
      </w:r>
      <w:r>
        <w:rPr>
          <w:sz w:val="20"/>
          <w:szCs w:val="20"/>
        </w:rPr>
        <w:t>d facilities when such facilities were operating. Our impairment evaluations also take into consideration our historical experience in securing new management contracts to utilize correctional facilities that had been previously idled for substantial perio</w:t>
      </w:r>
      <w:r>
        <w:rPr>
          <w:sz w:val="20"/>
          <w:szCs w:val="20"/>
        </w:rPr>
        <w:t>ds of time.  Such previously idled correctional facilities are currently being operated under contracts that continue to generate cash flows resulting in the recoverability of the net book value of the previously idled facilities by material amounts. We al</w:t>
      </w:r>
      <w:r>
        <w:rPr>
          <w:sz w:val="20"/>
          <w:szCs w:val="20"/>
        </w:rPr>
        <w:t>so perform sensitivity analyses that consider reductions to such cash flows. Our sensitivity analyses include reductions in projected cash flows by as much as half of the historical cash flows generated by the respective facility as well as prolonged perio</w:t>
      </w:r>
      <w:r>
        <w:rPr>
          <w:sz w:val="20"/>
          <w:szCs w:val="20"/>
        </w:rPr>
        <w:t xml:space="preserve">ds of vacancies. </w:t>
      </w:r>
    </w:p>
    <w:p w:rsidR="00000000" w:rsidRDefault="008325ED">
      <w:pPr>
        <w:pStyle w:val="a3"/>
        <w:spacing w:before="240" w:beforeAutospacing="0" w:after="0" w:afterAutospacing="0"/>
        <w:jc w:val="both"/>
        <w:rPr>
          <w:sz w:val="20"/>
          <w:szCs w:val="20"/>
        </w:rPr>
      </w:pPr>
      <w:r>
        <w:rPr>
          <w:sz w:val="20"/>
          <w:szCs w:val="20"/>
        </w:rPr>
        <w:t>We also evaluate on a quarterly basis market developments for the potential utilization of each of these facilities in order to identify events that may cause us to reconsider our most recent assumptions.  Such events could include negoti</w:t>
      </w:r>
      <w:r>
        <w:rPr>
          <w:sz w:val="20"/>
          <w:szCs w:val="20"/>
        </w:rPr>
        <w:t>ations with a prospective customer for the utilization of an idle facility at terms significantly less favorable than those used in our most recent impairment analysis, or changes in legislation surrounding a particular facility that could impact our abili</w:t>
      </w:r>
      <w:r>
        <w:rPr>
          <w:sz w:val="20"/>
          <w:szCs w:val="20"/>
        </w:rPr>
        <w:t>ty to care for certain types of populations at such facility, or a demolition or substantial renovation of a facility.  Further, a substantial increase in the number of available beds at other facilities we own could lead to a deterioration in market condi</w:t>
      </w:r>
      <w:r>
        <w:rPr>
          <w:sz w:val="20"/>
          <w:szCs w:val="20"/>
        </w:rPr>
        <w:t xml:space="preserve">tions and cash flows that we might be able to obtain under a new contract at our idle facilities. Although they are not frequently received, an unsolicited offer to purchase any of our idle facilities at amounts that are less than the carrying value could </w:t>
      </w:r>
      <w:r>
        <w:rPr>
          <w:sz w:val="20"/>
          <w:szCs w:val="20"/>
        </w:rPr>
        <w:t xml:space="preserve">also cause us to reconsider the assumptions used in our most recent impairment analysis.   </w:t>
      </w:r>
    </w:p>
    <w:p w:rsidR="00000000" w:rsidRDefault="008325ED">
      <w:pPr>
        <w:pStyle w:val="a3"/>
        <w:spacing w:before="240" w:beforeAutospacing="0" w:after="0" w:afterAutospacing="0"/>
        <w:jc w:val="both"/>
        <w:rPr>
          <w:sz w:val="20"/>
          <w:szCs w:val="20"/>
        </w:rPr>
      </w:pPr>
      <w:r>
        <w:rPr>
          <w:sz w:val="20"/>
          <w:szCs w:val="20"/>
        </w:rPr>
        <w:t>We can provide no assurance that we will be able to secure agreements to utilize our idle properties, or that we will not incur impairment charges in the future. By</w:t>
      </w:r>
      <w:r>
        <w:rPr>
          <w:sz w:val="20"/>
          <w:szCs w:val="20"/>
        </w:rPr>
        <w:t xml:space="preserve"> their nature, these estimates contain uncertainties with respect to the extent and timing of the respective cash flows due to potential delays or material changes to historical terms and conditions in contracts with prospective customers that could impact</w:t>
      </w:r>
      <w:r>
        <w:rPr>
          <w:sz w:val="20"/>
          <w:szCs w:val="20"/>
        </w:rPr>
        <w:t xml:space="preserve"> the estimate of cash flows.  With respect to idle correctional facilities, we believe the long-term trends favor an increase in the </w:t>
      </w:r>
    </w:p>
    <w:p w:rsidR="00000000" w:rsidRDefault="008325ED">
      <w:pPr>
        <w:pStyle w:val="a3"/>
        <w:spacing w:before="240" w:beforeAutospacing="0" w:after="0" w:afterAutospacing="0"/>
        <w:jc w:val="center"/>
        <w:rPr>
          <w:sz w:val="20"/>
          <w:szCs w:val="20"/>
        </w:rPr>
      </w:pPr>
      <w:r>
        <w:rPr>
          <w:sz w:val="20"/>
          <w:szCs w:val="20"/>
        </w:rPr>
        <w:t>24</w:t>
      </w:r>
    </w:p>
    <w:p w:rsidR="00000000" w:rsidRDefault="008325ED">
      <w:pPr>
        <w:rPr>
          <w:rFonts w:eastAsia="Times New Roman"/>
        </w:rPr>
      </w:pPr>
      <w:r>
        <w:rPr>
          <w:rFonts w:eastAsia="Times New Roman"/>
        </w:rPr>
        <w:pict>
          <v:rect id="_x0000_i1050"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utilization of our correctional facilities and management services.  This belief is based on our experience in working with governmental agencies faced with significant budgetary challenges, which is a primary contribu</w:t>
      </w:r>
      <w:r>
        <w:rPr>
          <w:sz w:val="20"/>
          <w:szCs w:val="20"/>
        </w:rPr>
        <w:t>ting factor to the lack of appropriated funding over the past decade to build new bed capacity by the federal and state governments with which we partner. Due to a variety of factors, the lead time to negotiate contracts with our federal and state partners</w:t>
      </w:r>
      <w:r>
        <w:rPr>
          <w:sz w:val="20"/>
          <w:szCs w:val="20"/>
        </w:rPr>
        <w:t xml:space="preserve"> to utilize idle bed capacity at correctional facilities is generally lengthy.</w:t>
      </w:r>
    </w:p>
    <w:p w:rsidR="00000000" w:rsidRDefault="008325ED">
      <w:pPr>
        <w:pStyle w:val="a3"/>
        <w:spacing w:before="240" w:beforeAutospacing="0" w:after="0" w:afterAutospacing="0"/>
        <w:jc w:val="both"/>
        <w:rPr>
          <w:i/>
          <w:iCs/>
          <w:sz w:val="20"/>
          <w:szCs w:val="20"/>
        </w:rPr>
      </w:pPr>
      <w:r>
        <w:rPr>
          <w:i/>
          <w:iCs/>
          <w:sz w:val="20"/>
          <w:szCs w:val="20"/>
        </w:rPr>
        <w:t>Self-funded insurance reserves</w:t>
      </w:r>
      <w:r>
        <w:rPr>
          <w:sz w:val="20"/>
          <w:szCs w:val="20"/>
        </w:rPr>
        <w:t>.  As of June 30, 2021, we had $46.4 million in accrued liabilities for employee health, workers' compensation, and automobile insurance claims.  W</w:t>
      </w:r>
      <w:r>
        <w:rPr>
          <w:sz w:val="20"/>
          <w:szCs w:val="20"/>
        </w:rPr>
        <w:t>e are significantly self-insured for employee health, workers' compensation, and automobile liability insurance claims.  As such, our insurance expense is largely dependent on claims experience and our ability to control our claims.  We have consistently a</w:t>
      </w:r>
      <w:r>
        <w:rPr>
          <w:sz w:val="20"/>
          <w:szCs w:val="20"/>
        </w:rPr>
        <w:t>ccrued the estimated liability for employee health insurance claims based on our history of claims experience and the estimated time lag between the incident date and the date we pay the claims.  We have accrued the estimated liability for workers' compens</w:t>
      </w:r>
      <w:r>
        <w:rPr>
          <w:sz w:val="20"/>
          <w:szCs w:val="20"/>
        </w:rPr>
        <w:t>ation claims based on an actuarial valuation of the outstanding liabilities, discounted to the net present value of the outstanding liabilities, using a combination of actuarial methods used to project ultimate losses, and our automobile insurance claims b</w:t>
      </w:r>
      <w:r>
        <w:rPr>
          <w:sz w:val="20"/>
          <w:szCs w:val="20"/>
        </w:rPr>
        <w:t>ased on estimated development factors on claims incurred. The liability for employee health, workers' compensation, and automobile insurance includes estimates for both claims incurred and for claims incurred but not reported.  These estimates could change</w:t>
      </w:r>
      <w:r>
        <w:rPr>
          <w:sz w:val="20"/>
          <w:szCs w:val="20"/>
        </w:rPr>
        <w:t xml:space="preserve"> in the future.  It is possible that future cash flows and results of operations could be materially affected by changes in our assumptions, new developments, or by the effectiveness of our strategies.</w:t>
      </w:r>
    </w:p>
    <w:p w:rsidR="00000000" w:rsidRDefault="008325ED">
      <w:pPr>
        <w:pStyle w:val="a3"/>
        <w:spacing w:before="240" w:beforeAutospacing="0" w:after="0" w:afterAutospacing="0"/>
        <w:jc w:val="both"/>
        <w:rPr>
          <w:i/>
          <w:iCs/>
          <w:sz w:val="20"/>
          <w:szCs w:val="20"/>
        </w:rPr>
      </w:pPr>
      <w:r>
        <w:rPr>
          <w:i/>
          <w:iCs/>
          <w:sz w:val="20"/>
          <w:szCs w:val="20"/>
        </w:rPr>
        <w:t>Legal reserves.</w:t>
      </w:r>
      <w:r>
        <w:rPr>
          <w:sz w:val="20"/>
          <w:szCs w:val="20"/>
        </w:rPr>
        <w:t>  As of June </w:t>
      </w:r>
      <w:r>
        <w:rPr>
          <w:sz w:val="20"/>
          <w:szCs w:val="20"/>
        </w:rPr>
        <w:t>30, 2021, we had $9.1 million in accrued liabilities under the provisions of ASC Subtopic 450-20, "Loss Contingencies," related to certain claims and legal proceedings in which we are involved.  We have accrued our best estimate of the probable costs for t</w:t>
      </w:r>
      <w:r>
        <w:rPr>
          <w:sz w:val="20"/>
          <w:szCs w:val="20"/>
        </w:rPr>
        <w:t>he resolution of these claims, if estimable.  In addition, we are subject to current and potential future claims and legal proceedings for which little or no accrual has been reflected because our current assessment of the potential exposure is nominal, or</w:t>
      </w:r>
      <w:r>
        <w:rPr>
          <w:sz w:val="20"/>
          <w:szCs w:val="20"/>
        </w:rPr>
        <w:t xml:space="preserve"> because we cannot reasonably estimate the amount of loss or range of loss, if any, that may result.  These estimates have been developed in consultation with our General Counsel's office and, as appropriate, outside counsel handling these matters, and are</w:t>
      </w:r>
      <w:r>
        <w:rPr>
          <w:sz w:val="20"/>
          <w:szCs w:val="20"/>
        </w:rPr>
        <w:t xml:space="preserve"> based upon an analysis of potential results, assuming a combination of litigation and settlement strategies.  It is possible that future cash flows and results of operations could be materially affected by changes in our assumptions, new developments, or </w:t>
      </w:r>
      <w:r>
        <w:rPr>
          <w:sz w:val="20"/>
          <w:szCs w:val="20"/>
        </w:rPr>
        <w:t>by the effectiveness of our litigation and settlement strategies.</w:t>
      </w:r>
    </w:p>
    <w:p w:rsidR="00000000" w:rsidRDefault="008325ED">
      <w:pPr>
        <w:pStyle w:val="a3"/>
        <w:spacing w:before="240" w:beforeAutospacing="0" w:after="0" w:afterAutospacing="0"/>
        <w:jc w:val="center"/>
        <w:rPr>
          <w:sz w:val="20"/>
          <w:szCs w:val="20"/>
        </w:rPr>
      </w:pPr>
      <w:r>
        <w:rPr>
          <w:sz w:val="20"/>
          <w:szCs w:val="20"/>
        </w:rPr>
        <w:t>25</w:t>
      </w:r>
    </w:p>
    <w:p w:rsidR="00000000" w:rsidRDefault="008325ED">
      <w:pPr>
        <w:rPr>
          <w:rFonts w:eastAsia="Times New Roman"/>
        </w:rPr>
      </w:pPr>
      <w:r>
        <w:rPr>
          <w:rFonts w:eastAsia="Times New Roman"/>
        </w:rPr>
        <w:pict>
          <v:rect id="_x0000_i1051"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jc w:val="both"/>
        <w:rPr>
          <w:b/>
          <w:bCs/>
          <w:sz w:val="20"/>
          <w:szCs w:val="20"/>
        </w:rPr>
      </w:pPr>
      <w:r>
        <w:rPr>
          <w:b/>
          <w:bCs/>
          <w:sz w:val="20"/>
          <w:szCs w:val="20"/>
        </w:rPr>
        <w:t>RESULTS OF OPERATIONS</w:t>
      </w:r>
    </w:p>
    <w:p w:rsidR="00000000" w:rsidRDefault="008325ED">
      <w:pPr>
        <w:pStyle w:val="a3"/>
        <w:spacing w:before="120" w:beforeAutospacing="0" w:after="0" w:afterAutospacing="0"/>
        <w:jc w:val="both"/>
        <w:rPr>
          <w:sz w:val="20"/>
          <w:szCs w:val="20"/>
        </w:rPr>
      </w:pPr>
      <w:r>
        <w:rPr>
          <w:sz w:val="20"/>
          <w:szCs w:val="20"/>
        </w:rPr>
        <w:t>Our results of operations are impacted by the number of correctional and detention facilities we operated, including 42 we own</w:t>
      </w:r>
      <w:r>
        <w:rPr>
          <w:sz w:val="20"/>
          <w:szCs w:val="20"/>
        </w:rPr>
        <w:t>ed and five owned by our government partners (CoreCivic Safety), the number of residential reentry centers we owned and operated (CoreCivic Community), the number of facilities we leased to other operators (CoreCivic Properties), and the facilities we owne</w:t>
      </w:r>
      <w:r>
        <w:rPr>
          <w:sz w:val="20"/>
          <w:szCs w:val="20"/>
        </w:rPr>
        <w:t xml:space="preserve">d that were not in operation.  The following table sets forth the changes in the number of facilities operated for the periods presented: </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74"/>
        <w:gridCol w:w="65"/>
        <w:gridCol w:w="1001"/>
        <w:gridCol w:w="65"/>
        <w:gridCol w:w="66"/>
        <w:gridCol w:w="562"/>
        <w:gridCol w:w="82"/>
        <w:gridCol w:w="65"/>
        <w:gridCol w:w="121"/>
        <w:gridCol w:w="917"/>
        <w:gridCol w:w="82"/>
        <w:gridCol w:w="65"/>
        <w:gridCol w:w="105"/>
        <w:gridCol w:w="799"/>
        <w:gridCol w:w="82"/>
        <w:gridCol w:w="65"/>
        <w:gridCol w:w="66"/>
        <w:gridCol w:w="442"/>
        <w:gridCol w:w="82"/>
      </w:tblGrid>
      <w:tr w:rsidR="00000000">
        <w:trPr>
          <w:divId w:val="1830444973"/>
        </w:trPr>
        <w:tc>
          <w:tcPr>
            <w:tcW w:w="217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Effective</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150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r>
      <w:tr w:rsidR="00000000">
        <w:trPr>
          <w:divId w:val="1830444973"/>
        </w:trPr>
        <w:tc>
          <w:tcPr>
            <w:tcW w:w="217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Date</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r>
      <w:tr w:rsidR="00000000">
        <w:trPr>
          <w:divId w:val="1830444973"/>
        </w:trPr>
        <w:tc>
          <w:tcPr>
            <w:tcW w:w="217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Facilities as of December 31, 2019</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Acquisition of a portfolio of government-</w:t>
            </w:r>
          </w:p>
          <w:p w:rsidR="00000000" w:rsidRDefault="008325ED">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Commencement of the Lansing Correctional</w:t>
            </w:r>
          </w:p>
          <w:p w:rsidR="00000000" w:rsidRDefault="008325ED">
            <w:pPr>
              <w:pStyle w:val="a3"/>
              <w:spacing w:before="0" w:beforeAutospacing="0" w:after="0" w:afterAutospacing="0"/>
              <w:rPr>
                <w:color w:val="000000"/>
                <w:sz w:val="20"/>
                <w:szCs w:val="20"/>
              </w:rPr>
            </w:pPr>
            <w:r>
              <w:rPr>
                <w:color w:val="000000"/>
                <w:sz w:val="20"/>
                <w:szCs w:val="20"/>
              </w:rPr>
              <w:t>   Facility lease</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8325ED">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January 2020</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an idled residential reentry center in Arizona</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April 2020</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an idled non-core facility in Tennessee</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May 2020</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Expiration of a managed-only contract in</w:t>
            </w:r>
          </w:p>
          <w:p w:rsidR="00000000" w:rsidRDefault="008325ED">
            <w:pPr>
              <w:pStyle w:val="a3"/>
              <w:spacing w:before="0" w:beforeAutospacing="0" w:after="0" w:afterAutospacing="0"/>
              <w:rPr>
                <w:color w:val="000000"/>
                <w:sz w:val="20"/>
                <w:szCs w:val="20"/>
              </w:rPr>
            </w:pPr>
            <w:r>
              <w:rPr>
                <w:color w:val="000000"/>
                <w:sz w:val="20"/>
                <w:szCs w:val="20"/>
              </w:rPr>
              <w:t>   Tennessee</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October 2020</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Expiration of a managed-only contract in</w:t>
            </w:r>
          </w:p>
          <w:p w:rsidR="00000000" w:rsidRDefault="008325ED">
            <w:pPr>
              <w:pStyle w:val="a3"/>
              <w:spacing w:before="0" w:beforeAutospacing="0" w:after="0" w:afterAutospacing="0"/>
              <w:rPr>
                <w:color w:val="000000"/>
                <w:sz w:val="20"/>
                <w:szCs w:val="20"/>
              </w:rPr>
            </w:pPr>
            <w:r>
              <w:rPr>
                <w:color w:val="000000"/>
                <w:sz w:val="20"/>
                <w:szCs w:val="20"/>
              </w:rPr>
              <w:t>   Tennessee</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December 2020</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 portfolio of government-</w:t>
            </w:r>
          </w:p>
          <w:p w:rsidR="00000000" w:rsidRDefault="008325ED">
            <w:pPr>
              <w:pStyle w:val="a3"/>
              <w:spacing w:before="0" w:beforeAutospacing="0" w:after="0" w:afterAutospacing="0"/>
              <w:rPr>
                <w:color w:val="000000"/>
                <w:sz w:val="20"/>
                <w:szCs w:val="20"/>
              </w:rPr>
            </w:pPr>
            <w:r>
              <w:rPr>
                <w:color w:val="000000"/>
                <w:sz w:val="20"/>
                <w:szCs w:val="20"/>
              </w:rPr>
              <w:t>   leased properties</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December 2020</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Facilities as of December 31, 2020</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Termination of contract and lease of a</w:t>
            </w:r>
          </w:p>
          <w:p w:rsidR="00000000" w:rsidRDefault="008325ED">
            <w:pPr>
              <w:pStyle w:val="a3"/>
              <w:spacing w:before="0" w:beforeAutospacing="0" w:after="0" w:afterAutospacing="0"/>
              <w:rPr>
                <w:color w:val="000000"/>
                <w:sz w:val="20"/>
                <w:szCs w:val="20"/>
              </w:rPr>
            </w:pPr>
            <w:r>
              <w:rPr>
                <w:color w:val="000000"/>
                <w:sz w:val="20"/>
                <w:szCs w:val="20"/>
              </w:rPr>
              <w:t>   Colorado reentry center</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January 2021</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an idled government-leased</w:t>
            </w:r>
          </w:p>
          <w:p w:rsidR="00000000" w:rsidRDefault="008325ED">
            <w:pPr>
              <w:pStyle w:val="a3"/>
              <w:spacing w:before="0" w:beforeAutospacing="0" w:after="0" w:afterAutospacing="0"/>
              <w:rPr>
                <w:color w:val="000000"/>
                <w:sz w:val="20"/>
                <w:szCs w:val="20"/>
              </w:rPr>
            </w:pPr>
            <w:r>
              <w:rPr>
                <w:color w:val="000000"/>
                <w:sz w:val="20"/>
                <w:szCs w:val="20"/>
              </w:rPr>
              <w:t>   property in Missouri</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two leased properties in</w:t>
            </w:r>
          </w:p>
          <w:p w:rsidR="00000000" w:rsidRDefault="008325ED">
            <w:pPr>
              <w:pStyle w:val="a3"/>
              <w:spacing w:before="0" w:beforeAutospacing="0" w:after="0" w:afterAutospacing="0"/>
              <w:rPr>
                <w:color w:val="000000"/>
                <w:sz w:val="20"/>
                <w:szCs w:val="20"/>
              </w:rPr>
            </w:pPr>
            <w:r>
              <w:rPr>
                <w:color w:val="000000"/>
                <w:sz w:val="20"/>
                <w:szCs w:val="20"/>
              </w:rPr>
              <w:t>   Florida and Ohio</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May 2021</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 government-leased</w:t>
            </w:r>
          </w:p>
          <w:p w:rsidR="00000000" w:rsidRDefault="008325ED">
            <w:pPr>
              <w:pStyle w:val="a3"/>
              <w:spacing w:before="0" w:beforeAutospacing="0" w:after="0" w:afterAutospacing="0"/>
              <w:rPr>
                <w:color w:val="000000"/>
                <w:sz w:val="20"/>
                <w:szCs w:val="20"/>
              </w:rPr>
            </w:pPr>
            <w:r>
              <w:rPr>
                <w:color w:val="000000"/>
                <w:sz w:val="20"/>
                <w:szCs w:val="20"/>
              </w:rPr>
              <w:t>   property in Maryland</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Sale of an idled property in Pennsylvania</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center"/>
              <w:rPr>
                <w:color w:val="000000"/>
                <w:sz w:val="20"/>
                <w:szCs w:val="20"/>
              </w:rPr>
            </w:pPr>
            <w:r>
              <w:rPr>
                <w:color w:val="000000"/>
                <w:sz w:val="20"/>
                <w:szCs w:val="20"/>
              </w:rPr>
              <w:t>June 2021</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1"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830444973"/>
        </w:trPr>
        <w:tc>
          <w:tcPr>
            <w:tcW w:w="217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Facilities as of June 30, 2021</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1"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
                <w:szCs w:val="2"/>
              </w:rPr>
            </w:pPr>
            <w:r>
              <w:rPr>
                <w:b/>
                <w:bCs/>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160" w:beforeAutospacing="0" w:after="0" w:afterAutospacing="0"/>
        <w:jc w:val="both"/>
        <w:rPr>
          <w:b/>
          <w:bCs/>
          <w:sz w:val="20"/>
          <w:szCs w:val="20"/>
        </w:rPr>
      </w:pPr>
      <w:r>
        <w:rPr>
          <w:b/>
          <w:bCs/>
          <w:sz w:val="20"/>
          <w:szCs w:val="20"/>
        </w:rPr>
        <w:t>Three and Six Months Ended June 30, 2021 Compared to the Three and Six Months Ended June 30, 2020</w:t>
      </w:r>
    </w:p>
    <w:p w:rsidR="00000000" w:rsidRDefault="008325ED">
      <w:pPr>
        <w:pStyle w:val="a3"/>
        <w:spacing w:before="240" w:beforeAutospacing="0" w:after="0" w:afterAutospacing="0"/>
        <w:jc w:val="both"/>
        <w:rPr>
          <w:sz w:val="20"/>
          <w:szCs w:val="20"/>
        </w:rPr>
      </w:pPr>
      <w:r>
        <w:rPr>
          <w:sz w:val="20"/>
          <w:szCs w:val="20"/>
        </w:rPr>
        <w:t>Net income attributable to common stockholders was $15.6 million, or $0.13 per diluted share, for the three months ended June 30, 2021, c</w:t>
      </w:r>
      <w:r>
        <w:rPr>
          <w:sz w:val="20"/>
          <w:szCs w:val="20"/>
        </w:rPr>
        <w:t>ompared with net income attributable to common stockholders of $22.2 million, or $0.18 per diluted share, for the three months ended June 30, 2020. Net loss attributable to common stockholders was $109.9 million, or $0.92 per diluted share, for the six mon</w:t>
      </w:r>
      <w:r>
        <w:rPr>
          <w:sz w:val="20"/>
          <w:szCs w:val="20"/>
        </w:rPr>
        <w:t>ths ended June 30, 2021, compared with net income attributable to common stockholders of $54.2 million, or $0.45 per diluted share, for the six months ended June 30, 2020.   Financial results for the three months ended June 30, 2021 reflected a gain on the</w:t>
      </w:r>
      <w:r>
        <w:rPr>
          <w:sz w:val="20"/>
          <w:szCs w:val="20"/>
        </w:rPr>
        <w:t xml:space="preserve"> sale of real estate assets amounting to $38.8 million, $52.2 million of expenses associated with debt repayments and refinancing transactions, $2.9 million of asset impairments, $2.6 million of charges related to the settlement agreement reached during Ap</w:t>
      </w:r>
      <w:r>
        <w:rPr>
          <w:sz w:val="20"/>
          <w:szCs w:val="20"/>
        </w:rPr>
        <w:t>ril 2021 in connection with shareholder litigation, and $0.8 million of incremental expenses directly associated with COVID-19 (reflected in operating expenses). Financial results for the six months ended June 30, 2021 also included charges of $54.3 millio</w:t>
      </w:r>
      <w:r>
        <w:rPr>
          <w:sz w:val="20"/>
          <w:szCs w:val="20"/>
        </w:rPr>
        <w:t>n related to the shareholder litigation settlement, $2.4 million of incremental expenses directly associated with COVID-19 (reflected in operating expenses), and $4.2 million of asset impairments.  In addition, financial results for the six months ended Ju</w:t>
      </w:r>
      <w:r>
        <w:rPr>
          <w:sz w:val="20"/>
          <w:szCs w:val="20"/>
        </w:rPr>
        <w:t>ne 30, 2021 reflected an income tax charge of $120.1 million, including $114.2 million for income taxes associated with the change in corporate tax structure and other special tax items, compared with income tax expense of $2.8 million during the first six</w:t>
      </w:r>
      <w:r>
        <w:rPr>
          <w:sz w:val="20"/>
          <w:szCs w:val="20"/>
        </w:rPr>
        <w:t xml:space="preserve"> months of 2020, when the Company qualified as a REIT. </w:t>
      </w:r>
    </w:p>
    <w:p w:rsidR="00000000" w:rsidRDefault="008325ED">
      <w:pPr>
        <w:pStyle w:val="a3"/>
        <w:spacing w:before="240" w:beforeAutospacing="0" w:after="0" w:afterAutospacing="0"/>
        <w:jc w:val="both"/>
        <w:rPr>
          <w:sz w:val="20"/>
          <w:szCs w:val="20"/>
        </w:rPr>
      </w:pPr>
      <w:r>
        <w:rPr>
          <w:sz w:val="20"/>
          <w:szCs w:val="20"/>
        </w:rPr>
        <w:t>Financial results for the three months ended June 30, 2020 reflected several special items, including $8.2 million of expenses associated with COVID-19, $11.7 million of asset impairments, $0.3 million for the evaluation of corporate structure alternatives</w:t>
      </w:r>
      <w:r>
        <w:rPr>
          <w:sz w:val="20"/>
          <w:szCs w:val="20"/>
        </w:rPr>
        <w:t>, and a gain on sale of assets of $2.8 million.  In addition to the special items reflected in the financial results for the three months ended June 30, 2020, financial results for the six months ended June 30, 2020 also included a non-recurring deferred t</w:t>
      </w:r>
      <w:r>
        <w:rPr>
          <w:sz w:val="20"/>
          <w:szCs w:val="20"/>
        </w:rPr>
        <w:t>ax expense of $3.1 million reported during the first quarter of 2020.  </w:t>
      </w:r>
    </w:p>
    <w:p w:rsidR="00000000" w:rsidRDefault="008325ED">
      <w:pPr>
        <w:pStyle w:val="a3"/>
        <w:spacing w:before="240" w:beforeAutospacing="0" w:after="0" w:afterAutospacing="0"/>
        <w:jc w:val="center"/>
        <w:rPr>
          <w:sz w:val="20"/>
          <w:szCs w:val="20"/>
        </w:rPr>
      </w:pPr>
      <w:r>
        <w:rPr>
          <w:sz w:val="20"/>
          <w:szCs w:val="20"/>
        </w:rPr>
        <w:t>26</w:t>
      </w:r>
    </w:p>
    <w:p w:rsidR="00000000" w:rsidRDefault="008325ED">
      <w:pPr>
        <w:rPr>
          <w:rFonts w:eastAsia="Times New Roman"/>
        </w:rPr>
      </w:pPr>
      <w:r>
        <w:rPr>
          <w:rFonts w:eastAsia="Times New Roman"/>
        </w:rPr>
        <w:pict>
          <v:rect id="_x0000_i1052"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jc w:val="both"/>
        <w:rPr>
          <w:b/>
          <w:bCs/>
          <w:sz w:val="20"/>
          <w:szCs w:val="20"/>
        </w:rPr>
      </w:pPr>
      <w:r>
        <w:rPr>
          <w:b/>
          <w:bCs/>
          <w:sz w:val="20"/>
          <w:szCs w:val="20"/>
        </w:rPr>
        <w:t>Our Current Operations</w:t>
      </w:r>
    </w:p>
    <w:p w:rsidR="00000000" w:rsidRDefault="008325ED">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704988370"/>
        </w:trPr>
        <w:tc>
          <w:tcPr>
            <w:tcW w:w="201" w:type="pct"/>
            <w:noWrap/>
            <w:hideMark/>
          </w:tcPr>
          <w:p w:rsidR="00000000" w:rsidRDefault="008325ED">
            <w:pPr>
              <w:pStyle w:val="a3"/>
              <w:spacing w:before="120" w:beforeAutospacing="0" w:after="0" w:afterAutospacing="0"/>
              <w:jc w:val="both"/>
            </w:pPr>
            <w:r>
              <w:t> </w:t>
            </w:r>
          </w:p>
        </w:tc>
        <w:tc>
          <w:tcPr>
            <w:tcW w:w="166"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CoreCivic Safety segment, consisting of the 47 correctional and detention facilities that are owned, or controlled via a long-term lease, and managed by CoreCivic, as well as those correctional and detention facilities owned by third parties but managed by</w:t>
            </w:r>
            <w:r>
              <w:rPr>
                <w:color w:val="000000"/>
                <w:sz w:val="20"/>
                <w:szCs w:val="20"/>
              </w:rPr>
              <w:t xml:space="preserve"> CoreCivic. CoreCivic Safety also includes the operating results of our subsidiary that provides transportation services to governmental agencies, TransCor America, LLC, or TransCor.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8325ED">
            <w:pPr>
              <w:pStyle w:val="a3"/>
              <w:spacing w:before="120" w:beforeAutospacing="0" w:after="0" w:afterAutospacing="0"/>
              <w:jc w:val="both"/>
            </w:pPr>
            <w:r>
              <w:t> </w:t>
            </w:r>
          </w:p>
        </w:tc>
        <w:tc>
          <w:tcPr>
            <w:tcW w:w="166"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CoreCivic Community segment, consisting of the 26 residential reent</w:t>
            </w:r>
            <w:r>
              <w:rPr>
                <w:color w:val="000000"/>
                <w:sz w:val="20"/>
                <w:szCs w:val="20"/>
              </w:rPr>
              <w:t>ry centers that are owned, or controlled via a long-term lease, and managed by CoreCivic.  CoreCivic Community also includes the operating results of our electronic monitoring and case management services.</w:t>
            </w:r>
          </w:p>
        </w:tc>
      </w:tr>
    </w:tbl>
    <w:p w:rsidR="00000000" w:rsidRDefault="008325ED">
      <w:pPr>
        <w:divId w:val="2042825641"/>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2042825641"/>
        </w:trPr>
        <w:tc>
          <w:tcPr>
            <w:tcW w:w="201" w:type="pct"/>
            <w:noWrap/>
            <w:hideMark/>
          </w:tcPr>
          <w:p w:rsidR="00000000" w:rsidRDefault="008325ED">
            <w:pPr>
              <w:pStyle w:val="a3"/>
              <w:spacing w:before="120" w:beforeAutospacing="0" w:after="0" w:afterAutospacing="0"/>
              <w:jc w:val="both"/>
            </w:pPr>
            <w:r>
              <w:t> </w:t>
            </w:r>
          </w:p>
        </w:tc>
        <w:tc>
          <w:tcPr>
            <w:tcW w:w="166" w:type="pct"/>
            <w:noWrap/>
            <w:hideMark/>
          </w:tcPr>
          <w:p w:rsidR="00000000" w:rsidRDefault="008325ED">
            <w:pPr>
              <w:pStyle w:val="a3"/>
              <w:spacing w:before="120" w:beforeAutospacing="0" w:after="0" w:afterAutospacing="0"/>
              <w:jc w:val="both"/>
              <w:rPr>
                <w:sz w:val="20"/>
                <w:szCs w:val="20"/>
              </w:rPr>
            </w:pPr>
            <w:r>
              <w:rPr>
                <w:sz w:val="20"/>
                <w:szCs w:val="20"/>
              </w:rPr>
              <w:t>•</w:t>
            </w:r>
          </w:p>
        </w:tc>
        <w:tc>
          <w:tcPr>
            <w:tcW w:w="0" w:type="auto"/>
            <w:hideMark/>
          </w:tcPr>
          <w:p w:rsidR="00000000" w:rsidRDefault="008325ED">
            <w:pPr>
              <w:pStyle w:val="a3"/>
              <w:spacing w:before="120" w:beforeAutospacing="0" w:after="0" w:afterAutospacing="0"/>
              <w:jc w:val="both"/>
            </w:pPr>
            <w:r>
              <w:rPr>
                <w:color w:val="000000"/>
                <w:sz w:val="20"/>
                <w:szCs w:val="20"/>
              </w:rPr>
              <w:t>CoreCivic Properties segment, consisting of the 10 real estate properties owned by CoreCivic for lease to third parties and used by government agencies.</w:t>
            </w:r>
          </w:p>
        </w:tc>
      </w:tr>
    </w:tbl>
    <w:p w:rsidR="00000000" w:rsidRDefault="008325ED">
      <w:pPr>
        <w:pStyle w:val="a3"/>
        <w:shd w:val="clear" w:color="auto" w:fill="FFFFFF"/>
        <w:spacing w:before="0" w:beforeAutospacing="0" w:after="0" w:afterAutospacing="0"/>
        <w:rPr>
          <w:sz w:val="20"/>
          <w:szCs w:val="20"/>
        </w:rPr>
      </w:pPr>
      <w:r>
        <w:rPr>
          <w:sz w:val="20"/>
          <w:szCs w:val="20"/>
        </w:rPr>
        <w:t> </w:t>
      </w:r>
    </w:p>
    <w:p w:rsidR="00000000" w:rsidRDefault="008325ED">
      <w:pPr>
        <w:pStyle w:val="a3"/>
        <w:shd w:val="clear" w:color="auto" w:fill="FFFFFF"/>
        <w:spacing w:before="0" w:beforeAutospacing="0" w:after="0" w:afterAutospacing="0"/>
        <w:jc w:val="both"/>
        <w:rPr>
          <w:color w:val="000000"/>
          <w:sz w:val="20"/>
          <w:szCs w:val="20"/>
        </w:rPr>
      </w:pPr>
      <w:r>
        <w:rPr>
          <w:color w:val="000000"/>
          <w:sz w:val="20"/>
          <w:szCs w:val="20"/>
        </w:rPr>
        <w:t>For the three and six months ended June 30, 2021 and 2020, our total segment net operating income, w</w:t>
      </w:r>
      <w:r>
        <w:rPr>
          <w:color w:val="000000"/>
          <w:sz w:val="20"/>
          <w:szCs w:val="20"/>
        </w:rPr>
        <w:t>hich we define as facility revenue (including interest income associated with finance leases) less operating expenses, was divided among our three business segments as follows:</w:t>
      </w:r>
    </w:p>
    <w:p w:rsidR="00000000" w:rsidRDefault="008325ED">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188"/>
        <w:gridCol w:w="65"/>
        <w:gridCol w:w="65"/>
        <w:gridCol w:w="590"/>
        <w:gridCol w:w="215"/>
        <w:gridCol w:w="65"/>
        <w:gridCol w:w="65"/>
        <w:gridCol w:w="509"/>
        <w:gridCol w:w="182"/>
        <w:gridCol w:w="65"/>
        <w:gridCol w:w="65"/>
        <w:gridCol w:w="682"/>
        <w:gridCol w:w="215"/>
        <w:gridCol w:w="65"/>
        <w:gridCol w:w="65"/>
        <w:gridCol w:w="531"/>
        <w:gridCol w:w="182"/>
      </w:tblGrid>
      <w:tr w:rsidR="00000000">
        <w:trPr>
          <w:divId w:val="1416777879"/>
        </w:trPr>
        <w:tc>
          <w:tcPr>
            <w:tcW w:w="194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40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143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416777879"/>
        </w:trPr>
        <w:tc>
          <w:tcPr>
            <w:tcW w:w="194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8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1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9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2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416777879"/>
        </w:trPr>
        <w:tc>
          <w:tcPr>
            <w:tcW w:w="194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Segment: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6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7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416777879"/>
        </w:trPr>
        <w:tc>
          <w:tcPr>
            <w:tcW w:w="194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Safety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84.1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16777879"/>
        </w:trPr>
        <w:tc>
          <w:tcPr>
            <w:tcW w:w="194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Community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6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6"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7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416777879"/>
        </w:trPr>
        <w:tc>
          <w:tcPr>
            <w:tcW w:w="194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Properties</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6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6"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7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bl>
    <w:p w:rsidR="00000000" w:rsidRDefault="008325ED">
      <w:pPr>
        <w:pStyle w:val="a3"/>
        <w:spacing w:before="360" w:beforeAutospacing="0" w:after="0" w:afterAutospacing="0"/>
        <w:jc w:val="both"/>
        <w:rPr>
          <w:b/>
          <w:bCs/>
          <w:i/>
          <w:iCs/>
          <w:sz w:val="20"/>
          <w:szCs w:val="20"/>
        </w:rPr>
      </w:pPr>
      <w:r>
        <w:rPr>
          <w:b/>
          <w:bCs/>
          <w:i/>
          <w:iCs/>
          <w:sz w:val="20"/>
          <w:szCs w:val="20"/>
        </w:rPr>
        <w:t>Facility Operations</w:t>
      </w:r>
    </w:p>
    <w:p w:rsidR="00000000" w:rsidRDefault="008325ED">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venue we generate and expenses we incur for one offender for one calendar day.  Revenue and expenses per compensated man-day are computed by dividing facility revenue and expenses by the total number of compensated man-days during the period.  A compensate</w:t>
      </w:r>
      <w:r>
        <w:rPr>
          <w:sz w:val="20"/>
          <w:szCs w:val="20"/>
        </w:rPr>
        <w:t>d man-day represents a calendar day for which we are paid for the occupancy of an offender. We believe the measurement is useful because we are compensated for operating and managing facilities at an offender per diem rate based upon actual or minimum guar</w:t>
      </w:r>
      <w:r>
        <w:rPr>
          <w:sz w:val="20"/>
          <w:szCs w:val="20"/>
        </w:rPr>
        <w:t>anteed occupancy levels.  We also measure our costs on a per compensated man-day basis, which is largely dependent upon the number of offenders we accommodate.  Further, per compensated man-day measurements are also used to estimate our potential profitabi</w:t>
      </w:r>
      <w:r>
        <w:rPr>
          <w:sz w:val="20"/>
          <w:szCs w:val="20"/>
        </w:rPr>
        <w:t>lity based on certain occupancy levels relative to design capacity.  Revenue and expenses per compensated man-day for all of the correctional, detention, and residential reentry facilities placed into service that we owned or managed, exclusive of those he</w:t>
      </w:r>
      <w:r>
        <w:rPr>
          <w:sz w:val="20"/>
          <w:szCs w:val="20"/>
        </w:rPr>
        <w:t>ld for lease, and for TransCor were as follows for the three and six months ended June 30, 2021 and 2020:</w:t>
      </w:r>
    </w:p>
    <w:p w:rsidR="00000000" w:rsidRDefault="008325E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631793861"/>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631793861"/>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631793861"/>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89.39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83.40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89.59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82.64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46.95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47.25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48.28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46.32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18.45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16.57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16.46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65.40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63.82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66.30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62.78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23.99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19.58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23.29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19.86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631793861"/>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71.6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70.7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76.9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631793861"/>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74,889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77,803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75,062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77,911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31793861"/>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53,610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58,280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53,105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59,949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center"/>
        <w:rPr>
          <w:sz w:val="20"/>
          <w:szCs w:val="20"/>
        </w:rPr>
      </w:pPr>
      <w:r>
        <w:rPr>
          <w:sz w:val="20"/>
          <w:szCs w:val="20"/>
        </w:rPr>
        <w:t>27</w:t>
      </w:r>
    </w:p>
    <w:p w:rsidR="00000000" w:rsidRDefault="008325ED">
      <w:pPr>
        <w:rPr>
          <w:rFonts w:eastAsia="Times New Roman"/>
        </w:rPr>
      </w:pPr>
      <w:r>
        <w:rPr>
          <w:rFonts w:eastAsia="Times New Roman"/>
        </w:rPr>
        <w:pict>
          <v:rect id="_x0000_i1053"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jc w:val="both"/>
        <w:rPr>
          <w:i/>
          <w:iCs/>
          <w:sz w:val="20"/>
          <w:szCs w:val="20"/>
        </w:rPr>
      </w:pPr>
      <w:r>
        <w:rPr>
          <w:i/>
          <w:iCs/>
          <w:sz w:val="20"/>
          <w:szCs w:val="20"/>
        </w:rPr>
        <w:t>Revenue</w:t>
      </w:r>
    </w:p>
    <w:p w:rsidR="00000000" w:rsidRDefault="008325ED">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correctional, detention, and residential reentry facilities, as well as the revenue we generate from TransCor and our electronic m</w:t>
      </w:r>
      <w:r>
        <w:rPr>
          <w:sz w:val="20"/>
          <w:szCs w:val="20"/>
        </w:rPr>
        <w:t xml:space="preserve">onitoring and case management services.  Total revenue also consists of lease revenue we generate through CoreCivic Properties from facilities we lease to third-party operators.  The following table reflects the components of revenue for the three and six </w:t>
      </w:r>
      <w:r>
        <w:rPr>
          <w:sz w:val="20"/>
          <w:szCs w:val="20"/>
        </w:rPr>
        <w:t>months ended June 30, 2021 and 2020 (in millions):</w:t>
      </w:r>
    </w:p>
    <w:p w:rsidR="00000000" w:rsidRDefault="008325E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047798475"/>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047798475"/>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047798475"/>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047798475"/>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246.2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146.3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19.9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(36.7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444.8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19.7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047798475"/>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047798475"/>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464.6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472.6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0"/>
        <w:gridCol w:w="65"/>
        <w:gridCol w:w="115"/>
        <w:gridCol w:w="659"/>
        <w:gridCol w:w="65"/>
        <w:gridCol w:w="65"/>
        <w:gridCol w:w="115"/>
        <w:gridCol w:w="646"/>
        <w:gridCol w:w="65"/>
        <w:gridCol w:w="65"/>
        <w:gridCol w:w="116"/>
        <w:gridCol w:w="644"/>
        <w:gridCol w:w="82"/>
        <w:gridCol w:w="65"/>
        <w:gridCol w:w="66"/>
        <w:gridCol w:w="643"/>
        <w:gridCol w:w="249"/>
      </w:tblGrid>
      <w:tr w:rsidR="00000000">
        <w:trPr>
          <w:divId w:val="1520121122"/>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20121122"/>
        </w:trPr>
        <w:tc>
          <w:tcPr>
            <w:tcW w:w="252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2012112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Management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2012112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Federal</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518.1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497.5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State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290.1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328.5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Local</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Other</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Total management revenue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878.2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918.4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(40.2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Lease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41.0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45.2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20121122"/>
        </w:trPr>
        <w:tc>
          <w:tcPr>
            <w:tcW w:w="252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Other revenue</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20121122"/>
        </w:trPr>
        <w:tc>
          <w:tcPr>
            <w:tcW w:w="252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revenue</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919.3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963.7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(44.4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 xml:space="preserve">The $5.3 million, or 1.2%, decrease in total management revenue for the three months ended June 30, 2021 as compared with the same period in 2020 was primarily a result of a decrease in revenue of approximately $35.4 million caused primarily by a decrease </w:t>
      </w:r>
      <w:r>
        <w:rPr>
          <w:sz w:val="20"/>
          <w:szCs w:val="20"/>
        </w:rPr>
        <w:t>in the average daily compensated population from 2020 to 2021.  The $40.2 million, or 4.4%, decrease in total management revenue for the six months ended June 30, 2021 as compared with the same period in 2020 was primarily a result of a decrease in revenue</w:t>
      </w:r>
      <w:r>
        <w:rPr>
          <w:sz w:val="20"/>
          <w:szCs w:val="20"/>
        </w:rPr>
        <w:t xml:space="preserve"> of approximately $107.3 million caused primarily by a decrease in the average daily compensated population from 2020 to 2021, including the effect of one fewer day of operations in 2021 due to a leap year in 2020. The decrease in management revenue in bot</w:t>
      </w:r>
      <w:r>
        <w:rPr>
          <w:sz w:val="20"/>
          <w:szCs w:val="20"/>
        </w:rPr>
        <w:t>h the three- and six-month periods was partially offset by an increase in revenue of approximately $29.2 million and $66.9 million, respectively, driven primarily by an increase of 7.2% and 8.4%, respectively, in average revenue per compensated man-day. Th</w:t>
      </w:r>
      <w:r>
        <w:rPr>
          <w:sz w:val="20"/>
          <w:szCs w:val="20"/>
        </w:rPr>
        <w:t xml:space="preserve">e increase in average revenue per compensated man-day in both periods resulted from (i) lower population levels which are charged at a higher average per diem for contracts under a tiered structure, (ii) compensation for the assumption of medical services </w:t>
      </w:r>
      <w:r>
        <w:rPr>
          <w:sz w:val="20"/>
          <w:szCs w:val="20"/>
        </w:rPr>
        <w:t>at one of our detention facilities, (iii) the effect of per diem increases at several of our facilities, as well as (iv) a higher mix of federal populations at higher per diem rates.  These increases were net of the effect of the amended inter-governmental</w:t>
      </w:r>
      <w:r>
        <w:rPr>
          <w:sz w:val="20"/>
          <w:szCs w:val="20"/>
        </w:rPr>
        <w:t xml:space="preserve"> service agreement, or IGSA, associated with our South Texas Family Residential Center, which was effective beginning in the fourth quarter of 2020, as further described hereafter. Revenue generated from our electronic monitoring and case management servic</w:t>
      </w:r>
      <w:r>
        <w:rPr>
          <w:sz w:val="20"/>
          <w:szCs w:val="20"/>
        </w:rPr>
        <w:t xml:space="preserve">es during the three and six months ended June 30, 2021 increased $0.9 million and $0.2 million, respectively, from the comparable periods in the prior year. </w:t>
      </w:r>
    </w:p>
    <w:p w:rsidR="00000000" w:rsidRDefault="008325ED">
      <w:pPr>
        <w:pStyle w:val="a3"/>
        <w:spacing w:before="240" w:beforeAutospacing="0" w:after="0" w:afterAutospacing="0"/>
        <w:jc w:val="both"/>
        <w:rPr>
          <w:sz w:val="20"/>
          <w:szCs w:val="20"/>
        </w:rPr>
      </w:pPr>
      <w:r>
        <w:rPr>
          <w:sz w:val="20"/>
          <w:szCs w:val="20"/>
        </w:rPr>
        <w:t>Average daily compensated population decreased 4,670, or 8.0%, to 53,610 during the three months e</w:t>
      </w:r>
      <w:r>
        <w:rPr>
          <w:sz w:val="20"/>
          <w:szCs w:val="20"/>
        </w:rPr>
        <w:t>nded June 30, 2021 compared to 58,280 during the three months ended June 30, 2020. Average daily compensated population decreased 6,844, or 11.4%, to 53,105 during the six months ended June 30, 2021 compared to 59,949 during the six months ended June 30, 2</w:t>
      </w:r>
      <w:r>
        <w:rPr>
          <w:sz w:val="20"/>
          <w:szCs w:val="20"/>
        </w:rPr>
        <w:t>020.  Average daily compensated population decreased primarily as a result of government actions to help prevent the spread of COVID-19, which only impacted a portion of the 2020 period. The decrease in average daily compensated population was also a resul</w:t>
      </w:r>
      <w:r>
        <w:rPr>
          <w:sz w:val="20"/>
          <w:szCs w:val="20"/>
        </w:rPr>
        <w:t>t of the contract terminations at the 1,348-</w:t>
      </w:r>
    </w:p>
    <w:p w:rsidR="00000000" w:rsidRDefault="008325ED">
      <w:pPr>
        <w:pStyle w:val="a3"/>
        <w:spacing w:before="240" w:beforeAutospacing="0" w:after="0" w:afterAutospacing="0"/>
        <w:jc w:val="center"/>
        <w:rPr>
          <w:sz w:val="20"/>
          <w:szCs w:val="20"/>
        </w:rPr>
      </w:pPr>
      <w:r>
        <w:rPr>
          <w:sz w:val="20"/>
          <w:szCs w:val="20"/>
        </w:rPr>
        <w:t>28</w:t>
      </w:r>
    </w:p>
    <w:p w:rsidR="00000000" w:rsidRDefault="008325ED">
      <w:pPr>
        <w:rPr>
          <w:rFonts w:eastAsia="Times New Roman"/>
        </w:rPr>
      </w:pPr>
      <w:r>
        <w:rPr>
          <w:rFonts w:eastAsia="Times New Roman"/>
        </w:rPr>
        <w:pict>
          <v:rect id="_x0000_i1054"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bed Metro-Davidson County Detention Facility and the 1,046-bed Silverdale Detention Center, both managed-only facilities, in the fourth quarter of 2020. </w:t>
      </w:r>
    </w:p>
    <w:p w:rsidR="00000000" w:rsidRDefault="008325ED">
      <w:pPr>
        <w:pStyle w:val="a3"/>
        <w:spacing w:before="240" w:beforeAutospacing="0" w:after="0" w:afterAutospacing="0"/>
        <w:jc w:val="both"/>
        <w:rPr>
          <w:sz w:val="20"/>
          <w:szCs w:val="20"/>
        </w:rPr>
      </w:pPr>
      <w:r>
        <w:rPr>
          <w:sz w:val="20"/>
          <w:szCs w:val="20"/>
        </w:rPr>
        <w:t>The solutions we</w:t>
      </w:r>
      <w:r>
        <w:rPr>
          <w:sz w:val="20"/>
          <w:szCs w:val="20"/>
        </w:rPr>
        <w:t xml:space="preserve"> provide to our federal customers, including primarily ICE, the USMS, and the BOP, continue to be a significant component of our business. The federal customers in our Safety and Community segments generated approximately 57% and 52% of our total revenue f</w:t>
      </w:r>
      <w:r>
        <w:rPr>
          <w:sz w:val="20"/>
          <w:szCs w:val="20"/>
        </w:rPr>
        <w:t>or the three months ended June 30, 2021 and 2020, respectively, increasing $17.4 million, or 7.1%, during the three months ended June 30, 2021 as compared with the same period in 2020. The federal customers in our Safety and Community segments generated ap</w:t>
      </w:r>
      <w:r>
        <w:rPr>
          <w:sz w:val="20"/>
          <w:szCs w:val="20"/>
        </w:rPr>
        <w:t xml:space="preserve">proximately 56% and 52% of our total revenue for the six months ended June 30, 2021 and 2020, respectively, increasing $20.6 million, or 4.1%, during the six months ended June 30, 2021 as compared with the same period in 2020. </w:t>
      </w:r>
    </w:p>
    <w:p w:rsidR="00000000" w:rsidRDefault="008325ED">
      <w:pPr>
        <w:pStyle w:val="a3"/>
        <w:spacing w:before="240" w:beforeAutospacing="0" w:after="0" w:afterAutospacing="0"/>
        <w:jc w:val="both"/>
        <w:rPr>
          <w:sz w:val="20"/>
          <w:szCs w:val="20"/>
        </w:rPr>
      </w:pPr>
      <w:r>
        <w:rPr>
          <w:sz w:val="20"/>
          <w:szCs w:val="20"/>
        </w:rPr>
        <w:t>The decision near the end of</w:t>
      </w:r>
      <w:r>
        <w:rPr>
          <w:sz w:val="20"/>
          <w:szCs w:val="20"/>
        </w:rPr>
        <w:t xml:space="preserve"> the first quarter of 2020 by the federal government to deny entry at the United States southern border to asylum-seekers and anyone crossing the southern border without proper documentation or authority in an effort to contain the spread of COVID-19 resul</w:t>
      </w:r>
      <w:r>
        <w:rPr>
          <w:sz w:val="20"/>
          <w:szCs w:val="20"/>
        </w:rPr>
        <w:t>ted in a reduction in people being apprehended and detained by ICE.  Revenue from ICE declined to $542.0 million during 2020 from $579.5 million during 2019.  The financial impact was somewhat mitigated by fixed monthly payments from ICE at certain facilit</w:t>
      </w:r>
      <w:r>
        <w:rPr>
          <w:sz w:val="20"/>
          <w:szCs w:val="20"/>
        </w:rPr>
        <w:t xml:space="preserve">ies, to ensure ICE has adequate bed capacity in the event of a surge in the future.  Since February 2021, however, we have begun to experience monthly increases in the number of people detained by ICE in our facilities. The number of people apprehended by </w:t>
      </w:r>
      <w:r>
        <w:rPr>
          <w:sz w:val="20"/>
          <w:szCs w:val="20"/>
        </w:rPr>
        <w:t>ICE could increase once the policy of denying entry at the United States southern border to asylum-seekers and anyone crossing the southern border without proper documentation or authority is reversed. During the three and six months ended June 30, 2021, r</w:t>
      </w:r>
      <w:r>
        <w:rPr>
          <w:sz w:val="20"/>
          <w:szCs w:val="20"/>
        </w:rPr>
        <w:t>evenue from ICE was $139.6 million and $271.1 million, respectively, compared to $135.7 million and $273.6 million during the three and six months ended June 30, 2020.  </w:t>
      </w:r>
    </w:p>
    <w:p w:rsidR="00000000" w:rsidRDefault="008325ED">
      <w:pPr>
        <w:pStyle w:val="a3"/>
        <w:spacing w:before="240" w:beforeAutospacing="0" w:after="0" w:afterAutospacing="0"/>
        <w:jc w:val="both"/>
        <w:rPr>
          <w:sz w:val="20"/>
          <w:szCs w:val="20"/>
        </w:rPr>
      </w:pPr>
      <w:r>
        <w:rPr>
          <w:sz w:val="20"/>
          <w:szCs w:val="20"/>
        </w:rPr>
        <w:t>State revenues from contracts at correctional, detention, and residential reentry faci</w:t>
      </w:r>
      <w:r>
        <w:rPr>
          <w:sz w:val="20"/>
          <w:szCs w:val="20"/>
        </w:rPr>
        <w:t>lities that we operate decreased $15.6 million, or 9.6%, from the second quarter of 2020 to the second quarter of 2021. State revenues decreased $38.4 million, or 11.7%, from the six months ended June 30, 2020 to the comparable period in 2021.  State reven</w:t>
      </w:r>
      <w:r>
        <w:rPr>
          <w:sz w:val="20"/>
          <w:szCs w:val="20"/>
        </w:rPr>
        <w:t xml:space="preserve">ues primarily decreased in both periods as a result of the effect of an overall decline in state inmate populations resulting from government actions to help prevent the spread of COVID-19.  In addition, the decrease in state revenues was also a result of </w:t>
      </w:r>
      <w:r>
        <w:rPr>
          <w:sz w:val="20"/>
          <w:szCs w:val="20"/>
        </w:rPr>
        <w:t>the decrease in Oklahoma state inmate populations, primarily at our 1,600-bed Cimarron Correctional Facility, as further described hereafter, and due to the anticipated transfer of Mississippi state inmate populations from our Tallahatchie County Correctio</w:t>
      </w:r>
      <w:r>
        <w:rPr>
          <w:sz w:val="20"/>
          <w:szCs w:val="20"/>
        </w:rPr>
        <w:t>nal Facility occupied under an emergency contract signed during the first quarter of 2020 back to the state of Mississippi during the first quarter of 2021, also as further described hereafter. In addition, the decrease in state revenues in the six-month p</w:t>
      </w:r>
      <w:r>
        <w:rPr>
          <w:sz w:val="20"/>
          <w:szCs w:val="20"/>
        </w:rPr>
        <w:t>eriod was also a result of one fewer day of operations due to a leap year in 2020. The decrease in state revenues was partially offset by the revenue generated by a new contract with the state of Idaho at our Saguaro Correctional Facility in Arizona, as fu</w:t>
      </w:r>
      <w:r>
        <w:rPr>
          <w:sz w:val="20"/>
          <w:szCs w:val="20"/>
        </w:rPr>
        <w:t>rther described hereafter, as well as per diem increases under numerous other state contracts</w:t>
      </w:r>
      <w:r>
        <w:rPr>
          <w:b/>
          <w:bCs/>
          <w:sz w:val="20"/>
          <w:szCs w:val="20"/>
        </w:rPr>
        <w:t xml:space="preserve">. </w:t>
      </w:r>
    </w:p>
    <w:p w:rsidR="00000000" w:rsidRDefault="008325ED">
      <w:pPr>
        <w:pStyle w:val="a3"/>
        <w:spacing w:before="240" w:beforeAutospacing="0" w:after="0" w:afterAutospacing="0"/>
        <w:jc w:val="both"/>
        <w:rPr>
          <w:sz w:val="20"/>
          <w:szCs w:val="20"/>
        </w:rPr>
      </w:pPr>
      <w:r>
        <w:rPr>
          <w:sz w:val="20"/>
          <w:szCs w:val="20"/>
        </w:rPr>
        <w:t>During the third quarter of 2020, largely due to a lower number of inmate populations in the state of Oklahoma resulting from COVID-19, combined with the conseq</w:t>
      </w:r>
      <w:r>
        <w:rPr>
          <w:sz w:val="20"/>
          <w:szCs w:val="20"/>
        </w:rPr>
        <w:t>uential impact of COVID-19 on the State's budget, we agreed with the State to idle our 1,600-bed Cimarron Correctional Facility.  We also transferred the remaining resident populations at our 390-bed Tulsa Transitional Center to Oklahoma's system, idling t</w:t>
      </w:r>
      <w:r>
        <w:rPr>
          <w:sz w:val="20"/>
          <w:szCs w:val="20"/>
        </w:rPr>
        <w:t xml:space="preserve">he Tulsa facility during the third quarter of 2020.  We ultimately did not idle the Cimarron facility because we subsequently entered into a new contract under an IGSA between the city of Cushing, Oklahoma and the USMS to quickly repurpose the facility to </w:t>
      </w:r>
      <w:r>
        <w:rPr>
          <w:sz w:val="20"/>
          <w:szCs w:val="20"/>
        </w:rPr>
        <w:t>serve a federal need.  From the beginning of the pandemic at the end of the first quarter of 2020 to June 30, 2021, excluding the closure of our Cimarron facility to Oklahoma inmate populations, our state populations declined by approximately 4,800 inmates</w:t>
      </w:r>
      <w:r>
        <w:rPr>
          <w:sz w:val="20"/>
          <w:szCs w:val="20"/>
        </w:rPr>
        <w:t>, or 14.9%, predominantly due to government actions to help prevent the spread of COVID-19.</w:t>
      </w:r>
    </w:p>
    <w:p w:rsidR="00000000" w:rsidRDefault="008325ED">
      <w:pPr>
        <w:pStyle w:val="a3"/>
        <w:spacing w:before="240" w:beforeAutospacing="0" w:after="0" w:afterAutospacing="0"/>
        <w:jc w:val="both"/>
        <w:rPr>
          <w:sz w:val="20"/>
          <w:szCs w:val="20"/>
        </w:rPr>
      </w:pPr>
      <w:r>
        <w:rPr>
          <w:sz w:val="20"/>
          <w:szCs w:val="20"/>
        </w:rPr>
        <w:t>Local revenues from contracts at correctional, detention, and residential reentry facilities that we operate decreased $7.3 million, or 36.7%, from the second quart</w:t>
      </w:r>
      <w:r>
        <w:rPr>
          <w:sz w:val="20"/>
          <w:szCs w:val="20"/>
        </w:rPr>
        <w:t>er of 2020 to the second quarter of 2021.  Local revenues decreased $20.5 million, or 45.1%, from the six months ended June 30, 2020 to the six months ended June 30, 2021.  The decrease in local revenues in both periods is primarily a result of the contrac</w:t>
      </w:r>
      <w:r>
        <w:rPr>
          <w:sz w:val="20"/>
          <w:szCs w:val="20"/>
        </w:rPr>
        <w:t xml:space="preserve">t terminations at the 1,348-bed Metro-Davidson County Detention Facility and the 1,046-bed Silverdale Detention Center, both managed-only facilities, in the fourth quarter of 2020, as further described hereafter.  Local revenues also decreased as a result </w:t>
      </w:r>
      <w:r>
        <w:rPr>
          <w:sz w:val="20"/>
          <w:szCs w:val="20"/>
        </w:rPr>
        <w:t>of an overall decline in local inmate populations resulting from government actions to help prevent the spread of COVID-19, mostly at our CoreCivic Community facilities.</w:t>
      </w:r>
    </w:p>
    <w:p w:rsidR="00000000" w:rsidRDefault="008325ED">
      <w:pPr>
        <w:pStyle w:val="a3"/>
        <w:spacing w:before="240" w:beforeAutospacing="0" w:after="0" w:afterAutospacing="0"/>
        <w:jc w:val="both"/>
        <w:rPr>
          <w:sz w:val="20"/>
          <w:szCs w:val="20"/>
        </w:rPr>
      </w:pPr>
      <w:r>
        <w:rPr>
          <w:sz w:val="20"/>
          <w:szCs w:val="20"/>
        </w:rPr>
        <w:t xml:space="preserve">The $2.8 million, or 12.4%, decrease in lease revenue from the second quarter of 2020 </w:t>
      </w:r>
      <w:r>
        <w:rPr>
          <w:sz w:val="20"/>
          <w:szCs w:val="20"/>
        </w:rPr>
        <w:t>to the comparable period in 2021, and the $4.2 million, or 9.3%, decrease in lease revenue from the six months ended June 30, 2020 to the comparable period in 2021 were both primarily a result of the sale of 42 non-core government-leased properties in Dece</w:t>
      </w:r>
      <w:r>
        <w:rPr>
          <w:sz w:val="20"/>
          <w:szCs w:val="20"/>
        </w:rPr>
        <w:t>mber 2020 and, to a lesser extent, the sale of three additional actively leased properties during the second quarter of 2021, both as further described hereafter.  The decrease in lease revenue was net of the lease revenue generated from the commencement o</w:t>
      </w:r>
      <w:r>
        <w:rPr>
          <w:sz w:val="20"/>
          <w:szCs w:val="20"/>
        </w:rPr>
        <w:t>f the lease of the 656-bed Southeast Correctional Complex in Wheelwright, Kentucky in the third quarter of 2020, also as further described hereafter.  </w:t>
      </w:r>
    </w:p>
    <w:p w:rsidR="00000000" w:rsidRDefault="008325ED">
      <w:pPr>
        <w:pStyle w:val="a3"/>
        <w:spacing w:before="240" w:beforeAutospacing="0" w:after="0" w:afterAutospacing="0"/>
        <w:jc w:val="both"/>
        <w:rPr>
          <w:sz w:val="20"/>
          <w:szCs w:val="20"/>
        </w:rPr>
      </w:pPr>
      <w:r>
        <w:rPr>
          <w:sz w:val="20"/>
          <w:szCs w:val="20"/>
        </w:rPr>
        <w:t> </w:t>
      </w:r>
    </w:p>
    <w:p w:rsidR="00000000" w:rsidRDefault="008325ED">
      <w:pPr>
        <w:pStyle w:val="a3"/>
        <w:spacing w:before="240" w:beforeAutospacing="0" w:after="0" w:afterAutospacing="0"/>
        <w:jc w:val="center"/>
        <w:rPr>
          <w:sz w:val="20"/>
          <w:szCs w:val="20"/>
        </w:rPr>
      </w:pPr>
      <w:r>
        <w:rPr>
          <w:sz w:val="20"/>
          <w:szCs w:val="20"/>
        </w:rPr>
        <w:t>29</w:t>
      </w:r>
    </w:p>
    <w:p w:rsidR="00000000" w:rsidRDefault="008325ED">
      <w:pPr>
        <w:rPr>
          <w:rFonts w:eastAsia="Times New Roman"/>
        </w:rPr>
      </w:pPr>
      <w:r>
        <w:rPr>
          <w:rFonts w:eastAsia="Times New Roman"/>
        </w:rPr>
        <w:pict>
          <v:rect id="_x0000_i1055"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We cannot predict government responses to an increase in s</w:t>
      </w:r>
      <w:r>
        <w:rPr>
          <w:sz w:val="20"/>
          <w:szCs w:val="20"/>
        </w:rPr>
        <w:t>taff or residents testing positive for COVID-19 within public and private correctional, detention and reentry facilities, nor can we predict COVID-19 related restrictions on individuals, businesses, and services that disrupt the criminal justice system.  F</w:t>
      </w:r>
      <w:r>
        <w:rPr>
          <w:sz w:val="20"/>
          <w:szCs w:val="20"/>
        </w:rPr>
        <w:t xml:space="preserve">urther, we cannot predict government policies on prosecutions and legal restrictions as a result of COVID-19 that affect the number of people placed in correctional, detention, and reentry facilities. </w:t>
      </w:r>
    </w:p>
    <w:p w:rsidR="00000000" w:rsidRDefault="008325ED">
      <w:pPr>
        <w:pStyle w:val="a3"/>
        <w:spacing w:before="240" w:beforeAutospacing="0" w:after="0" w:afterAutospacing="0"/>
        <w:jc w:val="both"/>
        <w:rPr>
          <w:sz w:val="20"/>
          <w:szCs w:val="20"/>
        </w:rPr>
      </w:pPr>
      <w:r>
        <w:rPr>
          <w:sz w:val="20"/>
          <w:szCs w:val="20"/>
        </w:rPr>
        <w:t>COVID-19 notwithstanding, we believe the long-term gro</w:t>
      </w:r>
      <w:r>
        <w:rPr>
          <w:sz w:val="20"/>
          <w:szCs w:val="20"/>
        </w:rPr>
        <w:t xml:space="preserve">wth opportunities of our business remain attractive as government agencies consider their emergent needs (including capacity to help mitigate the spread of infectious disease), as well as the efficiency and offender programming opportunities we provide as </w:t>
      </w:r>
      <w:r>
        <w:rPr>
          <w:sz w:val="20"/>
          <w:szCs w:val="20"/>
        </w:rPr>
        <w:t>flexible solutions to satisfy our partners' needs.  Further, several of our existing state partners, as well as prospective state partners, have been experiencing growth in offender populations and overcrowded conditions, are considering alternative correc</w:t>
      </w:r>
      <w:r>
        <w:rPr>
          <w:sz w:val="20"/>
          <w:szCs w:val="20"/>
        </w:rPr>
        <w:t>tional capacity for their aged and inefficient infrastructure, or are seeking cost savings by utilizing the private sector, which could result in increased future demand for the solutions we provide.</w:t>
      </w:r>
    </w:p>
    <w:p w:rsidR="00000000" w:rsidRDefault="008325ED">
      <w:pPr>
        <w:pStyle w:val="a3"/>
        <w:spacing w:before="360" w:beforeAutospacing="0" w:after="0" w:afterAutospacing="0"/>
        <w:jc w:val="both"/>
        <w:rPr>
          <w:i/>
          <w:iCs/>
          <w:sz w:val="20"/>
          <w:szCs w:val="20"/>
        </w:rPr>
      </w:pPr>
      <w:r>
        <w:rPr>
          <w:i/>
          <w:iCs/>
          <w:sz w:val="20"/>
          <w:szCs w:val="20"/>
        </w:rPr>
        <w:t>Operating Expenses</w:t>
      </w:r>
    </w:p>
    <w:p w:rsidR="00000000" w:rsidRDefault="008325ED">
      <w:pPr>
        <w:pStyle w:val="a3"/>
        <w:spacing w:before="120" w:beforeAutospacing="0" w:after="0" w:afterAutospacing="0"/>
        <w:jc w:val="both"/>
        <w:rPr>
          <w:sz w:val="20"/>
          <w:szCs w:val="20"/>
        </w:rPr>
      </w:pPr>
      <w:r>
        <w:rPr>
          <w:sz w:val="20"/>
          <w:szCs w:val="20"/>
        </w:rPr>
        <w:t>Operating expenses totaled $333.1 mil</w:t>
      </w:r>
      <w:r>
        <w:rPr>
          <w:sz w:val="20"/>
          <w:szCs w:val="20"/>
        </w:rPr>
        <w:t>lion and $352.9 million for the three months ended June 30, 2021 and 2020, respectively, while operating expenses for the six months ended June 30, 2021 and 2020 totaled $666.0 million and $715.2 million, respectively. Operating expenses consist of those e</w:t>
      </w:r>
      <w:r>
        <w:rPr>
          <w:sz w:val="20"/>
          <w:szCs w:val="20"/>
        </w:rPr>
        <w:t>xpenses incurred in the operation and management of correctional, detention, and residential reentry facilities, as well as those expenses incurred in the operations of TransCor and our electronic monitoring and case management services.  Operating expense</w:t>
      </w:r>
      <w:r>
        <w:rPr>
          <w:sz w:val="20"/>
          <w:szCs w:val="20"/>
        </w:rPr>
        <w:t>s also consist of those expenses incurred in the operation of facilities we lease to third-party operators.  </w:t>
      </w:r>
    </w:p>
    <w:p w:rsidR="00000000" w:rsidRDefault="008325ED">
      <w:pPr>
        <w:pStyle w:val="a3"/>
        <w:spacing w:before="240" w:beforeAutospacing="0" w:after="0" w:afterAutospacing="0"/>
        <w:jc w:val="both"/>
        <w:rPr>
          <w:sz w:val="20"/>
          <w:szCs w:val="20"/>
        </w:rPr>
      </w:pPr>
      <w:r>
        <w:rPr>
          <w:sz w:val="20"/>
          <w:szCs w:val="20"/>
        </w:rPr>
        <w:t>Expenses incurred by CoreCivic Safety and CoreCivic Community in connection with the operation and management of our correctional, detention, and residential reentry facilities, as well as those incurred in the operations of TransCor and our electronic mon</w:t>
      </w:r>
      <w:r>
        <w:rPr>
          <w:sz w:val="20"/>
          <w:szCs w:val="20"/>
        </w:rPr>
        <w:t>itoring and case management services, decreased $18.6 million, or 5.4%, during the second quarter of 2021 when compared with the same period in 2020. Expenses incurred by these segments decreased $47.3 million, or 6.7%, during the six months ended June 20,</w:t>
      </w:r>
      <w:r>
        <w:rPr>
          <w:sz w:val="20"/>
          <w:szCs w:val="20"/>
        </w:rPr>
        <w:t xml:space="preserve"> 2021, when compared to the same period in 2020.  Similar to our management revenue, there were several factors that contributed to the decrease in operating expenses incurred in these segments.  Operating expenses decreased primarily as a result of lower </w:t>
      </w:r>
      <w:r>
        <w:rPr>
          <w:sz w:val="20"/>
          <w:szCs w:val="20"/>
        </w:rPr>
        <w:t>staffing and service levels that were consistent with the lower occupancy levels during the COVID-19 pandemic. Incremental expenses associated with COVID-19 also decreased during both the three- and six-month periods.  We incurred $6.3 million of hero bonu</w:t>
      </w:r>
      <w:r>
        <w:rPr>
          <w:sz w:val="20"/>
          <w:szCs w:val="20"/>
        </w:rPr>
        <w:t>ses for our facility staff during the second quarter of 2020.  The decrease in operating expenses was also a result of the contract terminations at the 1,348-bed Metro-Davidson County Detention Facility and the 1,046-bed Silverdale Detention Center, both m</w:t>
      </w:r>
      <w:r>
        <w:rPr>
          <w:sz w:val="20"/>
          <w:szCs w:val="20"/>
        </w:rPr>
        <w:t xml:space="preserve">anaged-only facilities, in the fourth quarter of 2020. The decrease in operating expenses during the six-month period was also a result of one fewer day of operations in 2021 due to a leap year in 2020. </w:t>
      </w:r>
    </w:p>
    <w:p w:rsidR="00000000" w:rsidRDefault="008325ED">
      <w:pPr>
        <w:pStyle w:val="a3"/>
        <w:spacing w:before="240" w:beforeAutospacing="0" w:after="0" w:afterAutospacing="0"/>
        <w:jc w:val="both"/>
        <w:rPr>
          <w:sz w:val="20"/>
          <w:szCs w:val="20"/>
        </w:rPr>
      </w:pPr>
      <w:r>
        <w:rPr>
          <w:sz w:val="20"/>
          <w:szCs w:val="20"/>
        </w:rPr>
        <w:t xml:space="preserve">Total expenses per compensated man-day increased to </w:t>
      </w:r>
      <w:r>
        <w:rPr>
          <w:sz w:val="20"/>
          <w:szCs w:val="20"/>
        </w:rPr>
        <w:t>$65.40 during the three months ended June 30, 2021 from $63.82 during the three months ended June 30, 2020, and increased to $66.30 during the six months ended June 30, 2021 from $62.78 during the same period in the prior year.  Fixed expenses per compensa</w:t>
      </w:r>
      <w:r>
        <w:rPr>
          <w:sz w:val="20"/>
          <w:szCs w:val="20"/>
        </w:rPr>
        <w:t>ted man-day decreased to $46.95 during the three months ended June 30, 2021 from $47.25 during the same period in the prior year, and increased to $48.28 during the six months ended June 30, 2021 from $46.32 during the same period in the prior year.  We ha</w:t>
      </w:r>
      <w:r>
        <w:rPr>
          <w:sz w:val="20"/>
          <w:szCs w:val="20"/>
        </w:rPr>
        <w:t>ve experienced labor shortages and wage pressures in many markets across the country, and have provided wage increases to remain competitive, including increases to most of our facility staff during the third quarter of 2020. Recruiting has been particular</w:t>
      </w:r>
      <w:r>
        <w:rPr>
          <w:sz w:val="20"/>
          <w:szCs w:val="20"/>
        </w:rPr>
        <w:t>ly challenging during the pandemic due to the front-line nature of the services we provide.  Further, we have incurred, and expect to continue to incur, incremental expenses in the short-term to help ensure sufficient staffing levels under unique and chall</w:t>
      </w:r>
      <w:r>
        <w:rPr>
          <w:sz w:val="20"/>
          <w:szCs w:val="20"/>
        </w:rPr>
        <w:t>enging working conditions.  Incremental expenses include, but may not be limited to, incentive payments to our line and field staff, additional paid time off, as well as expenses to procure personal protective equipment and other supplies.  During the thre</w:t>
      </w:r>
      <w:r>
        <w:rPr>
          <w:sz w:val="20"/>
          <w:szCs w:val="20"/>
        </w:rPr>
        <w:t>e months ended June 30, 2021 and 2020, we incurred $0.8 million and $8.2 million respectively of incremental expenses associated with COVID-19. During the six months ended June 30, 2021 and 2020, we incurred $2.4 million and $8.2 million, respectively of i</w:t>
      </w:r>
      <w:r>
        <w:rPr>
          <w:sz w:val="20"/>
          <w:szCs w:val="20"/>
        </w:rPr>
        <w:t>ncremental expenses associated with COVID-19. The incremental expenses associated with COVID-19 during 2020 included $6.3 million of hero bonuses.  There were no hero bonuses associated with COVID-19 paid during 2021.  The decrease in hero bonuses contribu</w:t>
      </w:r>
      <w:r>
        <w:rPr>
          <w:sz w:val="20"/>
          <w:szCs w:val="20"/>
        </w:rPr>
        <w:t>ted to the decrease in fixed expenses per compensated man-day during the three months ended June 30, 2021 compared to the same period in 2020 and partially offset the increase in fixed expenses per compensated man-day during the six month period.  </w:t>
      </w:r>
    </w:p>
    <w:p w:rsidR="00000000" w:rsidRDefault="008325ED">
      <w:pPr>
        <w:pStyle w:val="a3"/>
        <w:spacing w:before="240" w:beforeAutospacing="0" w:after="0" w:afterAutospacing="0"/>
        <w:jc w:val="both"/>
        <w:rPr>
          <w:sz w:val="20"/>
          <w:szCs w:val="20"/>
        </w:rPr>
      </w:pPr>
      <w:r>
        <w:rPr>
          <w:sz w:val="20"/>
          <w:szCs w:val="20"/>
        </w:rPr>
        <w:t>We cont</w:t>
      </w:r>
      <w:r>
        <w:rPr>
          <w:sz w:val="20"/>
          <w:szCs w:val="20"/>
        </w:rPr>
        <w:t>inually monitor compensation levels very closely along with overall economic conditions and will set wage levels necessary to help ensure the long-term success of our business.  Further, we continually evaluate the structure of our employee benefits packag</w:t>
      </w:r>
      <w:r>
        <w:rPr>
          <w:sz w:val="20"/>
          <w:szCs w:val="20"/>
        </w:rPr>
        <w:t>e and training programs to ensure we are better able to attract and retain our employees. As mentioned, recruiting and retaining staff has become particularly challenging in the current employment market for us and for the corrections and detention industr</w:t>
      </w:r>
      <w:r>
        <w:rPr>
          <w:sz w:val="20"/>
          <w:szCs w:val="20"/>
        </w:rPr>
        <w:t xml:space="preserve">y as a whole. An inability to attract and retain sufficient personnel could prevent us from caring for additional residential populations for government agencies in need of additional capacity due to over-crowding or an inability to adequately staff their </w:t>
      </w:r>
      <w:r>
        <w:rPr>
          <w:sz w:val="20"/>
          <w:szCs w:val="20"/>
        </w:rPr>
        <w:t>facilities. An inability to attract and retain sufficient personnel in our existing facilities could also cause our government partners to assess liquidated damages, reduce our residential populations, or in extreme circumstances, cancel our contracts. Sal</w:t>
      </w:r>
      <w:r>
        <w:rPr>
          <w:sz w:val="20"/>
          <w:szCs w:val="20"/>
        </w:rPr>
        <w:t xml:space="preserve">aries and benefits represent the most significant component </w:t>
      </w:r>
    </w:p>
    <w:p w:rsidR="00000000" w:rsidRDefault="008325ED">
      <w:pPr>
        <w:pStyle w:val="a3"/>
        <w:spacing w:before="240" w:beforeAutospacing="0" w:after="0" w:afterAutospacing="0"/>
        <w:jc w:val="center"/>
        <w:rPr>
          <w:sz w:val="20"/>
          <w:szCs w:val="20"/>
        </w:rPr>
      </w:pPr>
      <w:r>
        <w:rPr>
          <w:sz w:val="20"/>
          <w:szCs w:val="20"/>
        </w:rPr>
        <w:t>30</w:t>
      </w:r>
    </w:p>
    <w:p w:rsidR="00000000" w:rsidRDefault="008325ED">
      <w:pPr>
        <w:rPr>
          <w:rFonts w:eastAsia="Times New Roman"/>
        </w:rPr>
      </w:pPr>
      <w:r>
        <w:rPr>
          <w:rFonts w:eastAsia="Times New Roman"/>
        </w:rPr>
        <w:pict>
          <v:rect id="_x0000_i1056"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of our operating expenses, representing approximately 60% of our total operating expenses for the first six months of 2021 and 61% of our total operating </w:t>
      </w:r>
      <w:r>
        <w:rPr>
          <w:sz w:val="20"/>
          <w:szCs w:val="20"/>
        </w:rPr>
        <w:t xml:space="preserve">expenses during the same period in 2020. </w:t>
      </w:r>
    </w:p>
    <w:p w:rsidR="00000000" w:rsidRDefault="008325ED">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decreased $1.2 million, or 17.9%, during the second quarter of 2021 when compared with the same pe</w:t>
      </w:r>
      <w:r>
        <w:rPr>
          <w:sz w:val="20"/>
          <w:szCs w:val="20"/>
        </w:rPr>
        <w:t>riod in 2020, and decreased $1.9 million, or 13.8%, during the six months ended June 30, 2021 when compared with the same period in 2020. The decrease in expenses in this segment was primarily a result of the sale of 42 non-core government-leased propertie</w:t>
      </w:r>
      <w:r>
        <w:rPr>
          <w:sz w:val="20"/>
          <w:szCs w:val="20"/>
        </w:rPr>
        <w:t xml:space="preserve">s in December 2020 and, to a lesser extent, the sale of an additional three actively leased properties in the second quarter of 2021, both as further described hereafter. </w:t>
      </w:r>
    </w:p>
    <w:p w:rsidR="00000000" w:rsidRDefault="008325ED">
      <w:pPr>
        <w:pStyle w:val="a3"/>
        <w:spacing w:before="240" w:beforeAutospacing="0" w:after="0" w:afterAutospacing="0"/>
        <w:jc w:val="both"/>
        <w:rPr>
          <w:i/>
          <w:iCs/>
          <w:sz w:val="20"/>
          <w:szCs w:val="20"/>
        </w:rPr>
      </w:pPr>
      <w:r>
        <w:rPr>
          <w:i/>
          <w:iCs/>
          <w:sz w:val="20"/>
          <w:szCs w:val="20"/>
        </w:rPr>
        <w:t>Facility Management Contracts</w:t>
      </w:r>
    </w:p>
    <w:p w:rsidR="00000000" w:rsidRDefault="008325ED">
      <w:pPr>
        <w:pStyle w:val="a3"/>
        <w:spacing w:before="120" w:beforeAutospacing="0" w:after="0" w:afterAutospacing="0"/>
        <w:jc w:val="both"/>
        <w:rPr>
          <w:sz w:val="20"/>
          <w:szCs w:val="20"/>
        </w:rPr>
      </w:pPr>
      <w:r>
        <w:rPr>
          <w:sz w:val="20"/>
          <w:szCs w:val="20"/>
        </w:rPr>
        <w:t>We enter into facility management contracts to provide</w:t>
      </w:r>
      <w:r>
        <w:rPr>
          <w:sz w:val="20"/>
          <w:szCs w:val="20"/>
        </w:rPr>
        <w:t xml:space="preserve"> bed capacity and management services to governmental entities in our CoreCivic Safety and CoreCivic Community segments for terms typically ranging from three to five years, with additional renewal periods at the option of the contracting governmental agen</w:t>
      </w:r>
      <w:r>
        <w:rPr>
          <w:sz w:val="20"/>
          <w:szCs w:val="20"/>
        </w:rPr>
        <w:t>cy. Accordingly, a substantial portion of our facility management contracts are scheduled to expire each year, notwithstanding contractual renewal options that a government agency may exercise. Although we generally expect these customers to exercise renew</w:t>
      </w:r>
      <w:r>
        <w:rPr>
          <w:sz w:val="20"/>
          <w:szCs w:val="20"/>
        </w:rPr>
        <w:t xml:space="preserve">al options or negotiate new contracts with us, one or more of these contracts may not be renewed by the corresponding governmental agency.  Further, our government partners can generally terminate our management contracts for non-appropriation of funds or </w:t>
      </w:r>
      <w:r>
        <w:rPr>
          <w:sz w:val="20"/>
          <w:szCs w:val="20"/>
        </w:rPr>
        <w:t xml:space="preserve">for convenience. </w:t>
      </w:r>
    </w:p>
    <w:p w:rsidR="00000000" w:rsidRDefault="008325ED">
      <w:pPr>
        <w:pStyle w:val="a3"/>
        <w:spacing w:before="240" w:beforeAutospacing="0" w:after="0" w:afterAutospacing="0"/>
        <w:jc w:val="both"/>
        <w:rPr>
          <w:sz w:val="20"/>
          <w:szCs w:val="20"/>
        </w:rPr>
      </w:pPr>
      <w:r>
        <w:rPr>
          <w:sz w:val="20"/>
          <w:szCs w:val="20"/>
        </w:rPr>
        <w:t>Additionally, the Private Prison EO issued by President Biden on January 26, 2021, directs the Attorney General to not renew DOJ contracts with privately operated criminal detention facilities.  Two agencies of the DOJ, the BOP and the US</w:t>
      </w:r>
      <w:r>
        <w:rPr>
          <w:sz w:val="20"/>
          <w:szCs w:val="20"/>
        </w:rPr>
        <w:t>MS, utilize our services.  The BOP houses inmates who have been convicted, and the USMS is generally responsible for detainees who are awaiting trial.  The BOP has experienced a steady decline in inmate populations over the last seven years, a trend that h</w:t>
      </w:r>
      <w:r>
        <w:rPr>
          <w:sz w:val="20"/>
          <w:szCs w:val="20"/>
        </w:rPr>
        <w:t>as been accelerated by the COVID-19 pandemic.  We currently have one prison contract with the BOP, accounting for 2% ($20.2 million) of our total revenue for the six months ended June 30, 2021, which expires in November 2022.  The Private Prison EO only ap</w:t>
      </w:r>
      <w:r>
        <w:rPr>
          <w:sz w:val="20"/>
          <w:szCs w:val="20"/>
        </w:rPr>
        <w:t>plies to agencies that are part of the DOJ, which includes the BOP and USMS.  ICE facilities are not covered by the Private Prison EO, as ICE is an agency of the Department of Homeland Security, not the DOJ, although it is possible that the federal governm</w:t>
      </w:r>
      <w:r>
        <w:rPr>
          <w:sz w:val="20"/>
          <w:szCs w:val="20"/>
        </w:rPr>
        <w:t>ent could choose to take similar action on ICE facilities in the future.  </w:t>
      </w:r>
      <w:r>
        <w:rPr>
          <w:color w:val="000000"/>
          <w:spacing w:val="3"/>
          <w:sz w:val="20"/>
          <w:szCs w:val="20"/>
        </w:rPr>
        <w:t>For the six months ended June 30, 2021, USMS and ICE accounted for 23% ($214.9 million) and 29% ($271.1 million), respectively, of our total revenue.  </w:t>
      </w:r>
    </w:p>
    <w:p w:rsidR="00000000" w:rsidRDefault="008325ED">
      <w:pPr>
        <w:pStyle w:val="a3"/>
        <w:spacing w:before="240" w:beforeAutospacing="0" w:after="0" w:afterAutospacing="0"/>
        <w:jc w:val="both"/>
        <w:rPr>
          <w:sz w:val="20"/>
          <w:szCs w:val="20"/>
        </w:rPr>
      </w:pPr>
      <w:r>
        <w:rPr>
          <w:sz w:val="20"/>
          <w:szCs w:val="20"/>
        </w:rPr>
        <w:t xml:space="preserve">Unlike the BOP, the USMS does </w:t>
      </w:r>
      <w:r>
        <w:rPr>
          <w:sz w:val="20"/>
          <w:szCs w:val="20"/>
        </w:rPr>
        <w:t xml:space="preserve">not own detention capacity and relies on the private sector, along with various government agencies, for its detainee population. </w:t>
      </w:r>
      <w:r>
        <w:rPr>
          <w:color w:val="000000"/>
          <w:spacing w:val="3"/>
          <w:sz w:val="20"/>
          <w:szCs w:val="20"/>
        </w:rPr>
        <w:t xml:space="preserve">The USMS has indicated that it has been advised by the Office of the Deputy Attorney General not to renew existing contracts, </w:t>
      </w:r>
      <w:r>
        <w:rPr>
          <w:color w:val="000000"/>
          <w:spacing w:val="3"/>
          <w:sz w:val="20"/>
          <w:szCs w:val="20"/>
        </w:rPr>
        <w:t>or enter into new contracts for private detention facilities. During the second quarter of 2021, we had direct contracts with the USMS for up to 992 detainees at our 2016-bed Northeast Ohio Correctional Center and for up to approximately 96 detainees at ou</w:t>
      </w:r>
      <w:r>
        <w:rPr>
          <w:color w:val="000000"/>
          <w:spacing w:val="3"/>
          <w:sz w:val="20"/>
          <w:szCs w:val="20"/>
        </w:rPr>
        <w:t>r 664-bed Crossroads Correctional Center in Montana that expired and were not renewed.  On May 28, 2021, we entered into a new three-year contract with Mahoning County, Ohio to utilize up to 990 beds at our Northeast Ohio Correctional Center.  Mahoning Cou</w:t>
      </w:r>
      <w:r>
        <w:rPr>
          <w:color w:val="000000"/>
          <w:spacing w:val="3"/>
          <w:sz w:val="20"/>
          <w:szCs w:val="20"/>
        </w:rPr>
        <w:t>nty is responsible for County inmates and federal detainees, including USMS detainees, and the County is using the Northeast Ohio facility to address its population needs.  During the third quarter of 2021, we entered into an amendment to the contract with</w:t>
      </w:r>
      <w:r>
        <w:rPr>
          <w:color w:val="000000"/>
          <w:spacing w:val="3"/>
          <w:sz w:val="20"/>
          <w:szCs w:val="20"/>
        </w:rPr>
        <w:t xml:space="preserve"> the state of Montana to utilize all of the capacity at the Crossroads Correctional Center, including the space vacated by the USMS, and to extend the existing contract to June 30, 2023, with additional renewal options by mutual agreement through August 31</w:t>
      </w:r>
      <w:r>
        <w:rPr>
          <w:color w:val="000000"/>
          <w:spacing w:val="3"/>
          <w:sz w:val="20"/>
          <w:szCs w:val="20"/>
        </w:rPr>
        <w:t>, 2029.  </w:t>
      </w:r>
    </w:p>
    <w:p w:rsidR="00000000" w:rsidRDefault="008325ED">
      <w:pPr>
        <w:pStyle w:val="a3"/>
        <w:spacing w:before="240" w:beforeAutospacing="0" w:after="0" w:afterAutospacing="0"/>
        <w:jc w:val="both"/>
        <w:rPr>
          <w:color w:val="000000"/>
          <w:spacing w:val="3"/>
          <w:sz w:val="20"/>
          <w:szCs w:val="20"/>
        </w:rPr>
      </w:pPr>
      <w:r>
        <w:rPr>
          <w:color w:val="000000"/>
          <w:spacing w:val="3"/>
          <w:sz w:val="20"/>
          <w:szCs w:val="20"/>
        </w:rPr>
        <w:t>We currently have eight detention facilities that have separate contracts where the USMS is the primary customer within the facility that all expire at various times over the next several years, with the exception of two contracts that have indef</w:t>
      </w:r>
      <w:r>
        <w:rPr>
          <w:color w:val="000000"/>
          <w:spacing w:val="3"/>
          <w:sz w:val="20"/>
          <w:szCs w:val="20"/>
        </w:rPr>
        <w:t>inite terms. Non-renewal of these contracts, or the expansion of such a similar order to ICE, would have a material adverse effect on our business, financial condition, and results of operations.  As of June 30, 2021, three of the aforementioned eight cont</w:t>
      </w:r>
      <w:r>
        <w:rPr>
          <w:color w:val="000000"/>
          <w:spacing w:val="3"/>
          <w:sz w:val="20"/>
          <w:szCs w:val="20"/>
        </w:rPr>
        <w:t>racts with the USMS expire over the next twelve months.  The USMS has full access to our 600-bed West Tennessee Detention Facility and our 1,033-bed Leavenworth Detention Center under direct contracts with the USMS that expire in September 2021 and Decembe</w:t>
      </w:r>
      <w:r>
        <w:rPr>
          <w:color w:val="000000"/>
          <w:spacing w:val="3"/>
          <w:sz w:val="20"/>
          <w:szCs w:val="20"/>
        </w:rPr>
        <w:t>r 2021, respectively.  In addition, we have a contract at our 2,672-bed Tallahatchie County Correctional Facility in Mississippi that allows the USMS to utilize available capacity that expires in June 2022.  We do not yet know if the USMS will relocate the</w:t>
      </w:r>
      <w:r>
        <w:rPr>
          <w:color w:val="000000"/>
          <w:spacing w:val="3"/>
          <w:sz w:val="20"/>
          <w:szCs w:val="20"/>
        </w:rPr>
        <w:t xml:space="preserve"> detainees at these facilities, but we will continue to work with the USMS to enable it to fulfill its mission.  However, we can provide no assurance that we will be able to provide a solution that is acceptable to all parties that would be involved in suc</w:t>
      </w:r>
      <w:r>
        <w:rPr>
          <w:color w:val="000000"/>
          <w:spacing w:val="3"/>
          <w:sz w:val="20"/>
          <w:szCs w:val="20"/>
        </w:rPr>
        <w:t>h a solution.</w:t>
      </w:r>
    </w:p>
    <w:p w:rsidR="00000000" w:rsidRDefault="008325ED">
      <w:pPr>
        <w:pStyle w:val="a3"/>
        <w:spacing w:before="240" w:beforeAutospacing="0" w:after="0" w:afterAutospacing="0"/>
        <w:jc w:val="both"/>
        <w:rPr>
          <w:sz w:val="20"/>
          <w:szCs w:val="20"/>
        </w:rPr>
      </w:pPr>
      <w:r>
        <w:rPr>
          <w:sz w:val="20"/>
          <w:szCs w:val="20"/>
        </w:rPr>
        <w:t>We expect our managed-only contract for the 1,030-bed Marion County Jail in Indianapolis, Indiana to be terminated and operations to be transitioned to Marion County.  Marion County is constructing a replacement facility that is currently exp</w:t>
      </w:r>
      <w:r>
        <w:rPr>
          <w:sz w:val="20"/>
          <w:szCs w:val="20"/>
        </w:rPr>
        <w:t xml:space="preserve">ected to be complete near the end of 2021.  The County intends to redevelop the property where the Marion County Jail is located, and we received notice in the second quarter of 2021 that the County intends to terminate the contract effective December 31, </w:t>
      </w:r>
      <w:r>
        <w:rPr>
          <w:sz w:val="20"/>
          <w:szCs w:val="20"/>
        </w:rPr>
        <w:t xml:space="preserve">2021.  As a result of this expected contract termination, during the second quarter of 2021, we recognized an asset impairment charge of $2.9 million for goodwill and </w:t>
      </w:r>
    </w:p>
    <w:p w:rsidR="00000000" w:rsidRDefault="008325ED">
      <w:pPr>
        <w:pStyle w:val="a3"/>
        <w:spacing w:before="240" w:beforeAutospacing="0" w:after="0" w:afterAutospacing="0"/>
        <w:jc w:val="center"/>
        <w:rPr>
          <w:sz w:val="20"/>
          <w:szCs w:val="20"/>
        </w:rPr>
      </w:pPr>
      <w:r>
        <w:rPr>
          <w:sz w:val="20"/>
          <w:szCs w:val="20"/>
        </w:rPr>
        <w:t>31</w:t>
      </w:r>
    </w:p>
    <w:p w:rsidR="00000000" w:rsidRDefault="008325ED">
      <w:pPr>
        <w:rPr>
          <w:rFonts w:eastAsia="Times New Roman"/>
        </w:rPr>
      </w:pPr>
      <w:r>
        <w:rPr>
          <w:rFonts w:eastAsia="Times New Roman"/>
        </w:rPr>
        <w:pict>
          <v:rect id="_x0000_i1057"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other assets associated with this managed-only</w:t>
      </w:r>
      <w:r>
        <w:rPr>
          <w:sz w:val="20"/>
          <w:szCs w:val="20"/>
        </w:rPr>
        <w:t xml:space="preserve"> facility's reporting unit.</w:t>
      </w:r>
      <w:r>
        <w:t>  </w:t>
      </w:r>
      <w:r>
        <w:rPr>
          <w:sz w:val="20"/>
          <w:szCs w:val="20"/>
        </w:rPr>
        <w:t>During the six months ended June 30, 2021 and 2020, facility net operating income, or facility revenues less operating expenses, from this contract was $2.0 million and $1.3 million, respectively.</w:t>
      </w:r>
    </w:p>
    <w:p w:rsidR="00000000" w:rsidRDefault="008325ED">
      <w:pPr>
        <w:pStyle w:val="a3"/>
        <w:spacing w:before="240" w:beforeAutospacing="0" w:after="0" w:afterAutospacing="0"/>
        <w:jc w:val="both"/>
        <w:rPr>
          <w:sz w:val="20"/>
          <w:szCs w:val="20"/>
        </w:rPr>
      </w:pPr>
      <w:r>
        <w:rPr>
          <w:sz w:val="20"/>
          <w:szCs w:val="20"/>
        </w:rPr>
        <w:t>Based on information available</w:t>
      </w:r>
      <w:r>
        <w:rPr>
          <w:sz w:val="20"/>
          <w:szCs w:val="20"/>
        </w:rPr>
        <w:t xml:space="preserve"> as of the date of this Quarterly Report, other than the contracts with the USMS at our West Tennessee, Leavenworth, and Tallahatchie facilities previously mentioned, for which future utilization by the USMS is uncertain, and at the managed-only Marion Cou</w:t>
      </w:r>
      <w:r>
        <w:rPr>
          <w:sz w:val="20"/>
          <w:szCs w:val="20"/>
        </w:rPr>
        <w:t>nty Jail, we believe we will renew all other contracts with our government partners that have expired or are scheduled to expire within the next twelve months that could have a material adverse impact on our financial statements.  We believe our renewal ra</w:t>
      </w:r>
      <w:r>
        <w:rPr>
          <w:sz w:val="20"/>
          <w:szCs w:val="20"/>
        </w:rPr>
        <w:t xml:space="preserve">te on existing contracts remains high due to a variety of reasons including, but not limited to, the constrained supply of available beds within the U.S. correctional system, our ownership of the majority of the beds we operate, and the cost effectiveness </w:t>
      </w:r>
      <w:r>
        <w:rPr>
          <w:sz w:val="20"/>
          <w:szCs w:val="20"/>
        </w:rPr>
        <w:t>of the services we provide.  However, we cannot assure we will continue to achieve such renewal rates in the future.  The three contracts with the USMS mentioned above generated management revenue of $45.2 million during the six months ended June 30, 2021.</w:t>
      </w:r>
      <w:r>
        <w:rPr>
          <w:sz w:val="20"/>
          <w:szCs w:val="20"/>
        </w:rPr>
        <w:t xml:space="preserve"> </w:t>
      </w:r>
    </w:p>
    <w:p w:rsidR="00000000" w:rsidRDefault="008325ED">
      <w:pPr>
        <w:pStyle w:val="a3"/>
        <w:spacing w:before="160" w:beforeAutospacing="0" w:after="0" w:afterAutospacing="0"/>
        <w:jc w:val="both"/>
        <w:rPr>
          <w:i/>
          <w:iCs/>
          <w:sz w:val="20"/>
          <w:szCs w:val="20"/>
        </w:rPr>
      </w:pPr>
      <w:r>
        <w:rPr>
          <w:i/>
          <w:iCs/>
          <w:sz w:val="20"/>
          <w:szCs w:val="20"/>
        </w:rPr>
        <w:t xml:space="preserve">CoreCivic Safety </w:t>
      </w:r>
    </w:p>
    <w:p w:rsidR="00000000" w:rsidRDefault="008325ED">
      <w:pPr>
        <w:pStyle w:val="a3"/>
        <w:spacing w:before="120" w:beforeAutospacing="0" w:after="0" w:afterAutospacing="0"/>
        <w:jc w:val="both"/>
        <w:rPr>
          <w:sz w:val="20"/>
          <w:szCs w:val="20"/>
        </w:rPr>
      </w:pPr>
      <w:r>
        <w:rPr>
          <w:sz w:val="20"/>
          <w:szCs w:val="20"/>
        </w:rPr>
        <w:t>CoreCivic Safety includes the operating results of the correctional and detention facilities that we operated during each period.  Total revenue generated by CoreCivic Safety decreased $4.2 million, or 1.0%, from $424.1 million during t</w:t>
      </w:r>
      <w:r>
        <w:rPr>
          <w:sz w:val="20"/>
          <w:szCs w:val="20"/>
        </w:rPr>
        <w:t>he three months ended June 30, 2020 to $419.9 million during the three months ended June 30, 2021, and decreased $32.2 million, or 3.7%, from $861.9 million during the six months ended June 30, 2020 to $829.6 million during the six months ended June 30, 20</w:t>
      </w:r>
      <w:r>
        <w:rPr>
          <w:sz w:val="20"/>
          <w:szCs w:val="20"/>
        </w:rPr>
        <w:t>21. CoreCivic Safety's facility net operating income increased $12.2 million, or 12.2%, from $100.4 million during the three months ended June 30, 2020 to $112.6 million during the three months ended June 30, 2021, and increased $9.5 million, or 4.6%, from</w:t>
      </w:r>
      <w:r>
        <w:rPr>
          <w:sz w:val="20"/>
          <w:szCs w:val="20"/>
        </w:rPr>
        <w:t xml:space="preserve"> $207.4 million during the six months ended June 30, 2020 to $216.9 million during the six months ended June 30, 2021. During the three and six months ended June 30, 2021, CoreCivic Safety generated 84.2% and 84.1%, respectively, of our total segment net o</w:t>
      </w:r>
      <w:r>
        <w:rPr>
          <w:sz w:val="20"/>
          <w:szCs w:val="20"/>
        </w:rPr>
        <w:t xml:space="preserve">perating income, compared with 82.3% and 82.1%, respectively, during the three and six months ended June 30, 2020. </w:t>
      </w:r>
    </w:p>
    <w:p w:rsidR="00000000" w:rsidRDefault="008325ED">
      <w:pPr>
        <w:pStyle w:val="a3"/>
        <w:spacing w:before="240" w:beforeAutospacing="0" w:after="0" w:afterAutospacing="0"/>
        <w:jc w:val="both"/>
        <w:rPr>
          <w:sz w:val="20"/>
          <w:szCs w:val="20"/>
        </w:rPr>
      </w:pPr>
      <w:r>
        <w:rPr>
          <w:sz w:val="20"/>
          <w:szCs w:val="20"/>
        </w:rPr>
        <w:t>The following table displays the revenue and expenses per compensated man-day for CoreCivic Safety's correctional and detention facilities p</w:t>
      </w:r>
      <w:r>
        <w:rPr>
          <w:sz w:val="20"/>
          <w:szCs w:val="20"/>
        </w:rPr>
        <w:t>laced into service that we own and manage and for the facilities we manage but do not own, inclusive of the transportation services provided by TransCor:</w:t>
      </w:r>
    </w:p>
    <w:p w:rsidR="00000000" w:rsidRDefault="008325E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5"/>
        <w:gridCol w:w="215"/>
        <w:gridCol w:w="65"/>
        <w:gridCol w:w="115"/>
        <w:gridCol w:w="565"/>
        <w:gridCol w:w="182"/>
        <w:gridCol w:w="65"/>
        <w:gridCol w:w="115"/>
        <w:gridCol w:w="575"/>
        <w:gridCol w:w="215"/>
        <w:gridCol w:w="65"/>
        <w:gridCol w:w="115"/>
        <w:gridCol w:w="584"/>
        <w:gridCol w:w="182"/>
      </w:tblGrid>
      <w:tr w:rsidR="00000000">
        <w:trPr>
          <w:divId w:val="556860822"/>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556860822"/>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CoreCivic Safety Facilities:</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90.88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84.72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91.06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84.03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47.49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47.62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48.71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46.87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19.02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18.54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16.94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66.51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64.67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67.25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63.81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24.37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20.05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23.81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20.22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26.1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72.5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75.8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71.9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77.6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556860822"/>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72,555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70,003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72,622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556860822"/>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50,772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55,010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50,336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56,355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120" w:beforeAutospacing="0" w:after="0" w:afterAutospacing="0"/>
        <w:jc w:val="both"/>
        <w:rPr>
          <w:color w:val="000000"/>
          <w:sz w:val="20"/>
          <w:szCs w:val="20"/>
        </w:rPr>
      </w:pPr>
      <w:r>
        <w:rPr>
          <w:color w:val="000000"/>
          <w:sz w:val="20"/>
          <w:szCs w:val="20"/>
        </w:rPr>
        <w:t>As previously mentioned, the government's actions to help prevent the spread of COVID-19 were the primary factor in the reduction of average compensated populations in the CoreCivic Safety segment from the three and six month periods ended June 30, 2020 to</w:t>
      </w:r>
      <w:r>
        <w:rPr>
          <w:color w:val="000000"/>
          <w:sz w:val="20"/>
          <w:szCs w:val="20"/>
        </w:rPr>
        <w:t xml:space="preserve"> the comparable periods in 2021.  The improvement in operating margins during the three and six months ended June 30, 2021 primarily resulted from a reduction in salaries and benefits, including as a result of the hero bonuses paid in the second quarter of</w:t>
      </w:r>
      <w:r>
        <w:rPr>
          <w:color w:val="000000"/>
          <w:sz w:val="20"/>
          <w:szCs w:val="20"/>
        </w:rPr>
        <w:t xml:space="preserve"> 2020, as previously described herein.  Further, in an effort to mitigate the spread of COVID-19 and at the direction of our government partners, we significantly reduced the level of movement within our facilities, enabling us to more efficiently manage o</w:t>
      </w:r>
      <w:r>
        <w:rPr>
          <w:color w:val="000000"/>
          <w:sz w:val="20"/>
          <w:szCs w:val="20"/>
        </w:rPr>
        <w:t>ur staffing.  We intend to work with our government partners and follow national and local health standards in reinstating normal movement within our facilities. The improvement in operating margins also resulted from increases in average revenue per compe</w:t>
      </w:r>
      <w:r>
        <w:rPr>
          <w:color w:val="000000"/>
          <w:sz w:val="20"/>
          <w:szCs w:val="20"/>
        </w:rPr>
        <w:t xml:space="preserve">nsated man-day during the three and six month periods ended June 30, 2021 of 7.3% and 8.4%, respectively, compared with the prior year periods.  Average revenue per compensated man-day increased as a result of the factors previously described herein.  The </w:t>
      </w:r>
      <w:r>
        <w:rPr>
          <w:color w:val="000000"/>
          <w:sz w:val="20"/>
          <w:szCs w:val="20"/>
        </w:rPr>
        <w:t>factors contributing to an improvement in our operating margins were partially offset by the impact of lower occupancy levels.  </w:t>
      </w:r>
    </w:p>
    <w:p w:rsidR="00000000" w:rsidRDefault="008325ED">
      <w:pPr>
        <w:pStyle w:val="a3"/>
        <w:spacing w:before="240" w:beforeAutospacing="0" w:after="0" w:afterAutospacing="0"/>
        <w:jc w:val="both"/>
        <w:rPr>
          <w:sz w:val="20"/>
          <w:szCs w:val="20"/>
        </w:rPr>
      </w:pPr>
      <w:r>
        <w:rPr>
          <w:sz w:val="20"/>
          <w:szCs w:val="20"/>
        </w:rPr>
        <w:t>On September 15, 2020, we announced that we entered into a new contract under an IGSA between the city of Cushing, Oklahoma and</w:t>
      </w:r>
      <w:r>
        <w:rPr>
          <w:sz w:val="20"/>
          <w:szCs w:val="20"/>
        </w:rPr>
        <w:t xml:space="preserve"> the USMS to utilize our 1,600-bed Cimarron Correctional Facility. We had previously announced our intention to idle the Cimarron facility during the third quarter of 2020, predominantly due to a lower number of inmate populations from the state of Oklahom</w:t>
      </w:r>
      <w:r>
        <w:rPr>
          <w:sz w:val="20"/>
          <w:szCs w:val="20"/>
        </w:rPr>
        <w:t xml:space="preserve">a resulting </w:t>
      </w:r>
    </w:p>
    <w:p w:rsidR="00000000" w:rsidRDefault="008325ED">
      <w:pPr>
        <w:pStyle w:val="a3"/>
        <w:spacing w:before="240" w:beforeAutospacing="0" w:after="0" w:afterAutospacing="0"/>
        <w:jc w:val="center"/>
        <w:rPr>
          <w:sz w:val="20"/>
          <w:szCs w:val="20"/>
        </w:rPr>
      </w:pPr>
      <w:r>
        <w:rPr>
          <w:sz w:val="20"/>
          <w:szCs w:val="20"/>
        </w:rPr>
        <w:t>32</w:t>
      </w:r>
    </w:p>
    <w:p w:rsidR="00000000" w:rsidRDefault="008325ED">
      <w:pPr>
        <w:rPr>
          <w:rFonts w:eastAsia="Times New Roman"/>
        </w:rPr>
      </w:pPr>
      <w:r>
        <w:rPr>
          <w:rFonts w:eastAsia="Times New Roman"/>
        </w:rPr>
        <w:pict>
          <v:rect id="_x0000_i1058"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from COVID-19, combined with the consequential impact of COVID-19 on the State's budget. The new management contract commenced on September 15, 2020, and has an initial term of three years, with unlimit</w:t>
      </w:r>
      <w:r>
        <w:rPr>
          <w:sz w:val="20"/>
          <w:szCs w:val="20"/>
        </w:rPr>
        <w:t>ed 24-month extension options thereafter upon mutual agreement.  As of June 30, 2021, we cared for 838 USMS detainees at the Cimarron facility.  During the six months ended June 30, 2021, this facility generated facility net operating income of $3.6 millio</w:t>
      </w:r>
      <w:r>
        <w:rPr>
          <w:sz w:val="20"/>
          <w:szCs w:val="20"/>
        </w:rPr>
        <w:t>n, and during the six months ended June 30, 2020, this facility incurred a net operating loss of $0.6 million.  </w:t>
      </w:r>
    </w:p>
    <w:p w:rsidR="00000000" w:rsidRDefault="008325ED">
      <w:pPr>
        <w:pStyle w:val="a3"/>
        <w:spacing w:before="240" w:beforeAutospacing="0" w:after="0" w:afterAutospacing="0"/>
        <w:jc w:val="both"/>
        <w:rPr>
          <w:sz w:val="20"/>
          <w:szCs w:val="20"/>
        </w:rPr>
      </w:pPr>
      <w:r>
        <w:rPr>
          <w:sz w:val="20"/>
          <w:szCs w:val="20"/>
        </w:rPr>
        <w:t>On January 9, 2020, we announced that we entered into a new emergency contract with the state of Mississippi to care for up to 375 of Mississip</w:t>
      </w:r>
      <w:r>
        <w:rPr>
          <w:sz w:val="20"/>
          <w:szCs w:val="20"/>
        </w:rPr>
        <w:t xml:space="preserve">pi's inmates at our Tallahatchie facility, to assist the State with significant challenges in its correctional system.  The contract had a term of ninety days, which the State could extend for up to two additional ninety-day terms.  The State subsequently </w:t>
      </w:r>
      <w:r>
        <w:rPr>
          <w:sz w:val="20"/>
          <w:szCs w:val="20"/>
        </w:rPr>
        <w:t>expanded the contract to 1,000 inmates during the second quarter of 2020, and extended the contract through April 2021, but no longer needed the capacity and transferred the inmates back to the State during the first quarter of 2021.  During the six months</w:t>
      </w:r>
      <w:r>
        <w:rPr>
          <w:sz w:val="20"/>
          <w:szCs w:val="20"/>
        </w:rPr>
        <w:t xml:space="preserve"> ended June 30, 2021 and 2020, management revenue from this contract was $0.2 million and $7.2 million, respectively. </w:t>
      </w:r>
    </w:p>
    <w:p w:rsidR="00000000" w:rsidRDefault="008325ED">
      <w:pPr>
        <w:pStyle w:val="a3"/>
        <w:spacing w:before="240" w:beforeAutospacing="0" w:after="0" w:afterAutospacing="0"/>
        <w:jc w:val="both"/>
        <w:rPr>
          <w:sz w:val="20"/>
          <w:szCs w:val="20"/>
        </w:rPr>
      </w:pPr>
      <w:r>
        <w:rPr>
          <w:sz w:val="20"/>
          <w:szCs w:val="20"/>
        </w:rPr>
        <w:t>Effective August 1, 2019, we were awarded a new contract with the Kansas Department of Corrections, or KDOC, to care for offenders at our</w:t>
      </w:r>
      <w:r>
        <w:rPr>
          <w:sz w:val="20"/>
          <w:szCs w:val="20"/>
        </w:rPr>
        <w:t xml:space="preserve"> 1,896-bed Saguaro Correctional Facility in Arizona, where we also care for inmates from Hawaii and Nevada</w:t>
      </w:r>
      <w:r>
        <w:rPr>
          <w:color w:val="000000"/>
          <w:sz w:val="20"/>
          <w:szCs w:val="20"/>
        </w:rPr>
        <w:t>.  We accepted 120 offenders from the KDOC in October 2019.  </w:t>
      </w:r>
      <w:r>
        <w:rPr>
          <w:color w:val="000000"/>
          <w:sz w:val="20"/>
          <w:szCs w:val="20"/>
        </w:rPr>
        <w:t>During the first six months of 2020, we generated $1.6 million of revenue from the KDOC under this contract.  During the second quarter of 2020, this contract was extended through July 2021.  However, due to available capacity in the state of Kansas, parti</w:t>
      </w:r>
      <w:r>
        <w:rPr>
          <w:color w:val="000000"/>
          <w:sz w:val="20"/>
          <w:szCs w:val="20"/>
        </w:rPr>
        <w:t>ally as a result of the completion of construction of our Lansing Correctional Facility, these inmates were returned to the State in December 2020.  During the third quarter of 2020, we were also awarded a new contract with the Idaho Department of Correcti</w:t>
      </w:r>
      <w:r>
        <w:rPr>
          <w:color w:val="000000"/>
          <w:sz w:val="20"/>
          <w:szCs w:val="20"/>
        </w:rPr>
        <w:t>on, or IDOC, to care for up to 1,200 adult male offenders at the Saguaro facility. Subject to available capacity, we may also care for IDOC offenders at our 4,128-bed Central Arizona Florence Correctional Complex under terms of the contract.  The new manag</w:t>
      </w:r>
      <w:r>
        <w:rPr>
          <w:color w:val="000000"/>
          <w:sz w:val="20"/>
          <w:szCs w:val="20"/>
        </w:rPr>
        <w:t>ement contract with the IDOC commenced on August 18, 2020, and has an initial term of five years, with unlimited extension options thereafter upon mutual agreement.  During the first six months of 2021, we generated $5.4 million of revenue from the IDOC un</w:t>
      </w:r>
      <w:r>
        <w:rPr>
          <w:color w:val="000000"/>
          <w:sz w:val="20"/>
          <w:szCs w:val="20"/>
        </w:rPr>
        <w:t>der this contract.  As of June 30, 2021, we cared for 373 IDOC offenders at our Saguaro facility.</w:t>
      </w:r>
    </w:p>
    <w:p w:rsidR="00000000" w:rsidRDefault="008325ED">
      <w:pPr>
        <w:pStyle w:val="a3"/>
        <w:spacing w:before="240" w:beforeAutospacing="0" w:after="0" w:afterAutospacing="0"/>
        <w:jc w:val="both"/>
        <w:rPr>
          <w:sz w:val="20"/>
          <w:szCs w:val="20"/>
        </w:rPr>
      </w:pPr>
      <w:r>
        <w:rPr>
          <w:sz w:val="20"/>
          <w:szCs w:val="20"/>
        </w:rPr>
        <w:t>In September 2020, the term of the amended IGSA between the city of Dilley, Texas and ICE to care for up to 2,400 individuals at our South Texas Family Reside</w:t>
      </w:r>
      <w:r>
        <w:rPr>
          <w:sz w:val="20"/>
          <w:szCs w:val="20"/>
        </w:rPr>
        <w:t>ntial Center, a facility we lease in Dilley, Texas, was extended from September 2021 to September 2026.  ICE's termination rights, which permit ICE to terminate the agreement for convenience or non-appropriation of funds, without penalty, by providing us w</w:t>
      </w:r>
      <w:r>
        <w:rPr>
          <w:sz w:val="20"/>
          <w:szCs w:val="20"/>
        </w:rPr>
        <w:t xml:space="preserve">ith at least a 60-day notice, were unchanged under the extension.  </w:t>
      </w:r>
      <w:r>
        <w:rPr>
          <w:color w:val="000000"/>
          <w:sz w:val="20"/>
          <w:szCs w:val="20"/>
        </w:rPr>
        <w:t xml:space="preserve">As a result of extending the amortization period for the deferred revenue associated with the amended IGSA over the extended term of the agreement, the non-cash revenue associated with the </w:t>
      </w:r>
      <w:r>
        <w:rPr>
          <w:color w:val="000000"/>
          <w:sz w:val="20"/>
          <w:szCs w:val="20"/>
        </w:rPr>
        <w:t xml:space="preserve">amended IGSA decreased by approximately $2.7 million per quarter, from $3.4 million to $0.7 million, effective beginning in the fourth quarter of 2020.  </w:t>
      </w:r>
      <w:r>
        <w:rPr>
          <w:sz w:val="20"/>
          <w:szCs w:val="20"/>
        </w:rPr>
        <w:t>Concurrent with the extension of the amended IGSA, the lease with the third-party lessor for the site w</w:t>
      </w:r>
      <w:r>
        <w:rPr>
          <w:sz w:val="20"/>
          <w:szCs w:val="20"/>
        </w:rPr>
        <w:t xml:space="preserve">as also extended through September 2026. Other terms of the extended lease agreement were unchanged and provide us with the ability to terminate the lease if ICE terminates the amended IGSA associated with the facility. </w:t>
      </w:r>
    </w:p>
    <w:p w:rsidR="00000000" w:rsidRDefault="008325ED">
      <w:pPr>
        <w:pStyle w:val="a3"/>
        <w:spacing w:before="240" w:beforeAutospacing="0" w:after="0" w:afterAutospacing="0"/>
        <w:jc w:val="both"/>
        <w:rPr>
          <w:sz w:val="20"/>
          <w:szCs w:val="20"/>
        </w:rPr>
      </w:pPr>
      <w:r>
        <w:rPr>
          <w:sz w:val="20"/>
          <w:szCs w:val="20"/>
        </w:rPr>
        <w:t>During the third quarter of 2020, w</w:t>
      </w:r>
      <w:r>
        <w:rPr>
          <w:sz w:val="20"/>
          <w:szCs w:val="20"/>
        </w:rPr>
        <w:t>e provided notice to the local counties utilizing the Silverdale Detention Center and the Metro-Davidson County Detention Facility, both in Tennessee, of our intent to terminate the contracts at these managed-only facilities.  We transitioned operations of</w:t>
      </w:r>
      <w:r>
        <w:rPr>
          <w:sz w:val="20"/>
          <w:szCs w:val="20"/>
        </w:rPr>
        <w:t xml:space="preserve"> the Metro facility in October 2020, and transitioned operations of the Silverdale facility in December 2020.  During the time we operated these two facilities in 2020, they collectively incurred a net operating loss of $4.7 million, including a net operat</w:t>
      </w:r>
      <w:r>
        <w:rPr>
          <w:sz w:val="20"/>
          <w:szCs w:val="20"/>
        </w:rPr>
        <w:t>ing loss of $2.3 million during the first six months of 2020.  As a result of these expected contract terminations, during the second quarter of 2020, we also recognized goodwill impairments of $2.0 million associated with these two managed-only facilities</w:t>
      </w:r>
      <w:r>
        <w:rPr>
          <w:sz w:val="20"/>
          <w:szCs w:val="20"/>
        </w:rPr>
        <w:t>' reporting units.</w:t>
      </w:r>
    </w:p>
    <w:p w:rsidR="00000000" w:rsidRDefault="008325ED">
      <w:pPr>
        <w:pStyle w:val="a3"/>
        <w:spacing w:before="240" w:beforeAutospacing="0" w:after="0" w:afterAutospacing="0"/>
        <w:jc w:val="both"/>
        <w:rPr>
          <w:sz w:val="20"/>
          <w:szCs w:val="20"/>
        </w:rPr>
      </w:pPr>
      <w:r>
        <w:rPr>
          <w:sz w:val="20"/>
          <w:szCs w:val="20"/>
        </w:rPr>
        <w:t>California Assembly Bill 32, or AB32, became effective January 1, 2020.  AB32 generally prohibits new contracts and renewals of existing contracts between private, for-profit entities and government agencies for the operation of detentio</w:t>
      </w:r>
      <w:r>
        <w:rPr>
          <w:sz w:val="20"/>
          <w:szCs w:val="20"/>
        </w:rPr>
        <w:t>n facilities within the state of California, and prohibits the utilization of detention centers operated by private, for-profit entities by the state of California effective January 1, 2028.  AB32 does not apply to facilities leased from private, for-profi</w:t>
      </w:r>
      <w:r>
        <w:rPr>
          <w:sz w:val="20"/>
          <w:szCs w:val="20"/>
        </w:rPr>
        <w:t>t entities, such as our California City Correctional Center. The U.S. Government and The GEO Group, Inc. both filed lawsuits against the state of California challenging the enforceability of AB32 under applicable law.  On October 8, 2020, US District Judge</w:t>
      </w:r>
      <w:r>
        <w:rPr>
          <w:sz w:val="20"/>
          <w:szCs w:val="20"/>
        </w:rPr>
        <w:t xml:space="preserve"> Janis Sammartino allowed AB32 to block future BOP and ICE contracts and renewals, while determining that AB32 could not block future USMS contracts and renewals.  Judge Sammartino also acknowledged that the State has agreed it will not use AB32 to block f</w:t>
      </w:r>
      <w:r>
        <w:rPr>
          <w:sz w:val="20"/>
          <w:szCs w:val="20"/>
        </w:rPr>
        <w:t>ederal, state, or local residential reentry center contracts. Both the U.S. Government and The GEO Group, Inc. have appealed Judge Sammartino's ruling to the Ninth Circuit Court of Appeals.  </w:t>
      </w:r>
    </w:p>
    <w:p w:rsidR="00000000" w:rsidRDefault="008325ED">
      <w:pPr>
        <w:pStyle w:val="a3"/>
        <w:spacing w:before="240" w:beforeAutospacing="0" w:after="0" w:afterAutospacing="0"/>
        <w:jc w:val="both"/>
        <w:rPr>
          <w:sz w:val="20"/>
          <w:szCs w:val="20"/>
        </w:rPr>
      </w:pPr>
      <w:r>
        <w:rPr>
          <w:sz w:val="20"/>
          <w:szCs w:val="20"/>
        </w:rPr>
        <w:t>In the event AB32 is implemented so as to prohibit ICE</w:t>
      </w:r>
      <w:r>
        <w:rPr>
          <w:sz w:val="20"/>
          <w:szCs w:val="20"/>
        </w:rPr>
        <w:noBreakHyphen/>
        <w:t>contracte</w:t>
      </w:r>
      <w:r>
        <w:rPr>
          <w:sz w:val="20"/>
          <w:szCs w:val="20"/>
        </w:rPr>
        <w:t>d private detention facilities, the federal government could be prohibited from renewing its contract for us to operate our 1,994-bed Otay Mesa Detention Center, which is currently scheduled to expire in December 2024.  A potential non-renewal of our contr</w:t>
      </w:r>
      <w:r>
        <w:rPr>
          <w:sz w:val="20"/>
          <w:szCs w:val="20"/>
        </w:rPr>
        <w:t>act to operate the Otay Mesa Detention Center could have a significant impact on our results of operations and cash flows at the time of non-renewal.</w:t>
      </w:r>
    </w:p>
    <w:p w:rsidR="00000000" w:rsidRDefault="008325ED">
      <w:pPr>
        <w:pStyle w:val="a3"/>
        <w:spacing w:before="240" w:beforeAutospacing="0" w:after="0" w:afterAutospacing="0"/>
        <w:jc w:val="center"/>
        <w:rPr>
          <w:sz w:val="20"/>
          <w:szCs w:val="20"/>
        </w:rPr>
      </w:pPr>
      <w:r>
        <w:rPr>
          <w:sz w:val="20"/>
          <w:szCs w:val="20"/>
        </w:rPr>
        <w:t>33</w:t>
      </w:r>
    </w:p>
    <w:p w:rsidR="00000000" w:rsidRDefault="008325ED">
      <w:pPr>
        <w:rPr>
          <w:rFonts w:eastAsia="Times New Roman"/>
        </w:rPr>
      </w:pPr>
      <w:r>
        <w:rPr>
          <w:rFonts w:eastAsia="Times New Roman"/>
        </w:rPr>
        <w:pict>
          <v:rect id="_x0000_i1059"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jc w:val="both"/>
        <w:rPr>
          <w:i/>
          <w:iCs/>
          <w:sz w:val="20"/>
          <w:szCs w:val="20"/>
        </w:rPr>
      </w:pPr>
      <w:r>
        <w:rPr>
          <w:i/>
          <w:iCs/>
          <w:sz w:val="20"/>
          <w:szCs w:val="20"/>
        </w:rPr>
        <w:t xml:space="preserve">CoreCivic Community </w:t>
      </w:r>
    </w:p>
    <w:p w:rsidR="00000000" w:rsidRDefault="008325ED">
      <w:pPr>
        <w:pStyle w:val="a3"/>
        <w:spacing w:before="120" w:beforeAutospacing="0" w:after="0" w:afterAutospacing="0"/>
        <w:jc w:val="both"/>
        <w:rPr>
          <w:sz w:val="20"/>
          <w:szCs w:val="20"/>
        </w:rPr>
      </w:pPr>
      <w:r>
        <w:rPr>
          <w:sz w:val="20"/>
          <w:szCs w:val="20"/>
        </w:rPr>
        <w:t xml:space="preserve">CoreCivic Community includes the operating </w:t>
      </w:r>
      <w:r>
        <w:rPr>
          <w:sz w:val="20"/>
          <w:szCs w:val="20"/>
        </w:rPr>
        <w:t>results of the residential reentry centers that we operated during each period, along with the operating results of our electronic monitoring and case management services.  Total revenue generated by CoreCivic Community decreased $1.1 million, or 4.1%, fro</w:t>
      </w:r>
      <w:r>
        <w:rPr>
          <w:sz w:val="20"/>
          <w:szCs w:val="20"/>
        </w:rPr>
        <w:t>m $26.0 million during the three months ended June 30, 2020 to $24.9 million during the three months ended June 30, 2021, and decreased $8.0 million, or 14.2%, from $56.6 million during the six months ended June 30, 2020 to $48.6 million during the six mon</w:t>
      </w:r>
      <w:r>
        <w:rPr>
          <w:sz w:val="20"/>
          <w:szCs w:val="20"/>
        </w:rPr>
        <w:t>ths ended June 30, 2021. CoreCivic Community's facility net operating income increased $1.1 million, or 29.0%, from $3.8 million during the three months ended June 30, 2020 to $4.9 million during the three months ended June 30, 2021, and decreased $2.5 mil</w:t>
      </w:r>
      <w:r>
        <w:rPr>
          <w:sz w:val="20"/>
          <w:szCs w:val="20"/>
        </w:rPr>
        <w:t>lion, or 25.0%, from $10.0 million during the six months ended June 30, 2020 to $7.5 million during the six months ended June 30, 2021. During the three and six months ended June 30, 2021, CoreCivic Community generated 3.6% and 2.9%, respectively, of our t</w:t>
      </w:r>
      <w:r>
        <w:rPr>
          <w:sz w:val="20"/>
          <w:szCs w:val="20"/>
        </w:rPr>
        <w:t>otal segment net operating income, compared with 3.1% and 4.0%, respectively, during the three and six months ended June 30, 2020.  </w:t>
      </w:r>
    </w:p>
    <w:p w:rsidR="00000000" w:rsidRDefault="008325ED">
      <w:pPr>
        <w:pStyle w:val="a3"/>
        <w:spacing w:before="240" w:beforeAutospacing="0" w:after="0" w:afterAutospacing="0"/>
        <w:jc w:val="both"/>
        <w:rPr>
          <w:sz w:val="20"/>
          <w:szCs w:val="20"/>
        </w:rPr>
      </w:pPr>
      <w:r>
        <w:rPr>
          <w:sz w:val="20"/>
          <w:szCs w:val="20"/>
        </w:rPr>
        <w:t>The following table displays the revenue and expenses per compensated man-day for CoreCivic Community's residential reentry</w:t>
      </w:r>
      <w:r>
        <w:rPr>
          <w:sz w:val="20"/>
          <w:szCs w:val="20"/>
        </w:rPr>
        <w:t xml:space="preserve"> facilities placed into service that we own and manage, but exclusive of the electronic monitoring and case management services given that revenue is not generated on a per compensated man-day basis for these services:</w:t>
      </w:r>
    </w:p>
    <w:p w:rsidR="00000000" w:rsidRDefault="008325ED">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72"/>
        <w:gridCol w:w="65"/>
        <w:gridCol w:w="115"/>
        <w:gridCol w:w="561"/>
        <w:gridCol w:w="215"/>
        <w:gridCol w:w="65"/>
        <w:gridCol w:w="115"/>
        <w:gridCol w:w="562"/>
        <w:gridCol w:w="182"/>
        <w:gridCol w:w="65"/>
        <w:gridCol w:w="115"/>
        <w:gridCol w:w="582"/>
        <w:gridCol w:w="215"/>
        <w:gridCol w:w="65"/>
        <w:gridCol w:w="115"/>
        <w:gridCol w:w="584"/>
        <w:gridCol w:w="182"/>
      </w:tblGrid>
      <w:tr w:rsidR="00000000">
        <w:trPr>
          <w:divId w:val="796997170"/>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2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151"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796997170"/>
        </w:trPr>
        <w:tc>
          <w:tcPr>
            <w:tcW w:w="2503"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2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b/>
                <w:bCs/>
                <w:color w:val="000000"/>
                <w:sz w:val="20"/>
                <w:szCs w:val="20"/>
              </w:rPr>
            </w:pPr>
            <w:r>
              <w:rPr>
                <w:b/>
                <w:bCs/>
                <w:color w:val="000000"/>
                <w:sz w:val="20"/>
                <w:szCs w:val="20"/>
              </w:rPr>
              <w:t>CoreCivic Community Facilities:</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Revenue per compensated man-day</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62.84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61.08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62.92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60.74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expenses per compensated man-day: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Fixed expense</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37.42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41.12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40.57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37.69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Variable expense</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8.33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8.42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8.91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547"/>
              <w:rPr>
                <w:color w:val="000000"/>
                <w:sz w:val="20"/>
                <w:szCs w:val="20"/>
              </w:rPr>
            </w:pPr>
            <w:r>
              <w:rPr>
                <w:color w:val="000000"/>
                <w:sz w:val="20"/>
                <w:szCs w:val="20"/>
              </w:rPr>
              <w:t>Total</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45.75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49.54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49.14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46.60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income per compensated man-day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17.09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56"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11.54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13.78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47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14.14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Operating margin</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21.9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occupancy</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58.1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54.7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67.9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796997170"/>
        </w:trPr>
        <w:tc>
          <w:tcPr>
            <w:tcW w:w="2503"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available beds</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4,886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5,248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5,059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5,289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796997170"/>
        </w:trPr>
        <w:tc>
          <w:tcPr>
            <w:tcW w:w="2503"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Average compensated population</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2,838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56"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3,270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2,769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47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3,594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360" w:beforeAutospacing="0" w:after="0" w:afterAutospacing="0"/>
        <w:jc w:val="both"/>
        <w:rPr>
          <w:sz w:val="20"/>
          <w:szCs w:val="20"/>
        </w:rPr>
      </w:pPr>
      <w:r>
        <w:rPr>
          <w:sz w:val="20"/>
          <w:szCs w:val="20"/>
        </w:rPr>
        <w:t>Operating margins in the CoreCivic Community segment during the three months ended June 30, 2021 were positively impacted by the reduction in incremental expenses associated with COVID-19, including hero bonuses, partially offset by the reduction in averag</w:t>
      </w:r>
      <w:r>
        <w:rPr>
          <w:sz w:val="20"/>
          <w:szCs w:val="20"/>
        </w:rPr>
        <w:t>e compensated population.  Operating margins in the CoreCivic Community segment during the first six months of 2021 were negatively impacted by the reduction in average compensated population, partially offset by the reduction in incremental expenses assoc</w:t>
      </w:r>
      <w:r>
        <w:rPr>
          <w:sz w:val="20"/>
          <w:szCs w:val="20"/>
        </w:rPr>
        <w:t>iated with COVID-19.  The average compensated population reduction in both periods was primarily driven by COVID-19, including a decline in utilization from the states of Oklahoma and Colorado because of COVID-19, which led to the consolidation of resident</w:t>
      </w:r>
      <w:r>
        <w:rPr>
          <w:sz w:val="20"/>
          <w:szCs w:val="20"/>
        </w:rPr>
        <w:t xml:space="preserve">s located in the respective states, and the closure of several of our residential reentry facilities. The 200-bed Oklahoma City Transitional Center in Oklahoma and the 60-bed Columbine Facility in Colorado closed in the second quarter of 2020, the 390-bed </w:t>
      </w:r>
      <w:r>
        <w:rPr>
          <w:sz w:val="20"/>
          <w:szCs w:val="20"/>
        </w:rPr>
        <w:t>Tulsa Transitional Center in Oklahoma closed in the third quarter of 2020, and the 90-bed Ulster Facility in Colorado closed in the second quarter of 2021.  Operating margins in both the three- and six-month periods were also negatively impacted by an incr</w:t>
      </w:r>
      <w:r>
        <w:rPr>
          <w:sz w:val="20"/>
          <w:szCs w:val="20"/>
        </w:rPr>
        <w:t>ease in salaries and benefits expenses per compensated man-day across the portfolio, the decrease in COVID-19 related expenses notwithstanding.</w:t>
      </w:r>
    </w:p>
    <w:p w:rsidR="00000000" w:rsidRDefault="008325ED">
      <w:pPr>
        <w:pStyle w:val="a3"/>
        <w:spacing w:before="240" w:beforeAutospacing="0" w:after="0" w:afterAutospacing="0"/>
        <w:jc w:val="both"/>
        <w:rPr>
          <w:sz w:val="20"/>
          <w:szCs w:val="20"/>
        </w:rPr>
      </w:pPr>
      <w:r>
        <w:rPr>
          <w:sz w:val="20"/>
          <w:szCs w:val="20"/>
        </w:rPr>
        <w:t>During the fourth quarter of 2020, the BOP awarded a new contract to us for residential reentry and home confinement services pursuant to a solicitation for capacity and services to be provided in the state of Oklahoma.  As a result, during the first quart</w:t>
      </w:r>
      <w:r>
        <w:rPr>
          <w:sz w:val="20"/>
          <w:szCs w:val="20"/>
        </w:rPr>
        <w:t>er of 2021, we reactivated the Turley Residential Center, which closed during the second quarter of 2019, and provide the BOP additional reentry services at our owned and operated Oklahoma Reentry Opportunity Center, which supplements the existing utilizat</w:t>
      </w:r>
      <w:r>
        <w:rPr>
          <w:sz w:val="20"/>
          <w:szCs w:val="20"/>
        </w:rPr>
        <w:t>ion by the state of Oklahoma, pursuant to this new contract.</w:t>
      </w:r>
    </w:p>
    <w:p w:rsidR="00000000" w:rsidRDefault="008325ED">
      <w:pPr>
        <w:pStyle w:val="a3"/>
        <w:spacing w:before="240" w:beforeAutospacing="0" w:after="0" w:afterAutospacing="0"/>
        <w:jc w:val="both"/>
        <w:rPr>
          <w:sz w:val="20"/>
          <w:szCs w:val="20"/>
        </w:rPr>
      </w:pPr>
      <w:r>
        <w:rPr>
          <w:sz w:val="20"/>
          <w:szCs w:val="20"/>
        </w:rPr>
        <w:t>During the third quarter of 2020, Adams County, Colorado, notified us that, pursuant to a re-bid of the contract at the 184-bed Henderson Transitional Center, a facility we leased from the County</w:t>
      </w:r>
      <w:r>
        <w:rPr>
          <w:sz w:val="20"/>
          <w:szCs w:val="20"/>
        </w:rPr>
        <w:t>, it awarded the contract to another operator.  We transitioned operations to the other operator upon expiration of the contract in January 2021. During 2020, this facility generated net operating income of $0.7 million, including $0.5 million during the f</w:t>
      </w:r>
      <w:r>
        <w:rPr>
          <w:sz w:val="20"/>
          <w:szCs w:val="20"/>
        </w:rPr>
        <w:t xml:space="preserve">irst six months of 2020. </w:t>
      </w:r>
    </w:p>
    <w:p w:rsidR="00000000" w:rsidRDefault="008325ED">
      <w:pPr>
        <w:pStyle w:val="a3"/>
        <w:spacing w:before="240" w:beforeAutospacing="0" w:after="0" w:afterAutospacing="0"/>
        <w:jc w:val="center"/>
        <w:rPr>
          <w:sz w:val="20"/>
          <w:szCs w:val="20"/>
        </w:rPr>
      </w:pPr>
      <w:r>
        <w:rPr>
          <w:sz w:val="20"/>
          <w:szCs w:val="20"/>
        </w:rPr>
        <w:t>34</w:t>
      </w:r>
    </w:p>
    <w:p w:rsidR="00000000" w:rsidRDefault="008325ED">
      <w:pPr>
        <w:rPr>
          <w:rFonts w:eastAsia="Times New Roman"/>
        </w:rPr>
      </w:pPr>
      <w:r>
        <w:rPr>
          <w:rFonts w:eastAsia="Times New Roman"/>
        </w:rPr>
        <w:pict>
          <v:rect id="_x0000_i1060"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Like the CoreCivic Safety segment, our CoreCivic Community segment has been impacted by the COVID-19 pandemic.  Some of our government partners have transferred certain residents assigned </w:t>
      </w:r>
      <w:r>
        <w:rPr>
          <w:sz w:val="20"/>
          <w:szCs w:val="20"/>
        </w:rPr>
        <w:t>to our reentry facilities to non-residential status, home confinement or early releases, to create additional space for enhanced social distancing within our reentry facilities.  Additionally, similar to our CoreCivic Safety segment, the CoreCivic Communit</w:t>
      </w:r>
      <w:r>
        <w:rPr>
          <w:sz w:val="20"/>
          <w:szCs w:val="20"/>
        </w:rPr>
        <w:t>y segment has been adversely impacted by the disruption in court hearings, resulting in a reduction in the number of referrals to our community facilities.  However, it is possible that in the future, government agencies will increase the utilization of ou</w:t>
      </w:r>
      <w:r>
        <w:rPr>
          <w:sz w:val="20"/>
          <w:szCs w:val="20"/>
        </w:rPr>
        <w:t>r community facilities or home confinement services, as an alternative to incarceration.  </w:t>
      </w:r>
    </w:p>
    <w:p w:rsidR="00000000" w:rsidRDefault="008325ED">
      <w:pPr>
        <w:pStyle w:val="a3"/>
        <w:spacing w:before="360" w:beforeAutospacing="0" w:after="0" w:afterAutospacing="0"/>
        <w:jc w:val="both"/>
        <w:rPr>
          <w:i/>
          <w:iCs/>
          <w:sz w:val="20"/>
          <w:szCs w:val="20"/>
        </w:rPr>
      </w:pPr>
      <w:r>
        <w:rPr>
          <w:i/>
          <w:iCs/>
          <w:sz w:val="20"/>
          <w:szCs w:val="20"/>
        </w:rPr>
        <w:t>CoreCivic Properties</w:t>
      </w:r>
    </w:p>
    <w:p w:rsidR="00000000" w:rsidRDefault="008325ED">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w:t>
      </w:r>
      <w:r>
        <w:rPr>
          <w:spacing w:val="-2"/>
          <w:sz w:val="20"/>
          <w:szCs w:val="20"/>
        </w:rPr>
        <w:t>g each period.</w:t>
      </w:r>
      <w:r>
        <w:rPr>
          <w:sz w:val="20"/>
          <w:szCs w:val="20"/>
        </w:rPr>
        <w:t>  Total revenue generated by CoreCivic Properties decreased $2.8 million, or 12.2%, from $22.5 million during the three months ended June 30, 2020 to $19.7 million during the three months ended June 30, 2021, and decreased $4.2 million, or 9.</w:t>
      </w:r>
      <w:r>
        <w:rPr>
          <w:sz w:val="20"/>
          <w:szCs w:val="20"/>
        </w:rPr>
        <w:t>2%, from $45.2 million during the six months ended June 30, 2020 to $41.0 million during the six months ended June 30, 2021.  CoreCivic Properties' facility net operating income decreased $1.5 million, or 9.7%, from $15.6 million during the three months en</w:t>
      </w:r>
      <w:r>
        <w:rPr>
          <w:sz w:val="20"/>
          <w:szCs w:val="20"/>
        </w:rPr>
        <w:t>ded June 30, 2020 to $14.1 million during the three months ended June 30, 2021, and decreased $2.3 million, or 7.2%, from $31.3 million during the six months ended June 30, 2020 to $29.0 million during the six months ended June 30, 2021. The decreases in t</w:t>
      </w:r>
      <w:r>
        <w:rPr>
          <w:sz w:val="20"/>
          <w:szCs w:val="20"/>
        </w:rPr>
        <w:t xml:space="preserve">otal revenue and net operating income in both the three- and six-month periods were primarily the result of the portfolio of 42 properties we sold in December 2020 and, to a lesser extent, the three actively leased properties we sold in the second quarter </w:t>
      </w:r>
      <w:r>
        <w:rPr>
          <w:sz w:val="20"/>
          <w:szCs w:val="20"/>
        </w:rPr>
        <w:t xml:space="preserve">of 2021, both as further described hereafter. During the three and six months ended June 30, 2021, CoreCivic Properties generated 12.2% and 13.0%, respectively, of our total segment net operating income, compared with 14.6% and 13.9%, respectively, during </w:t>
      </w:r>
      <w:r>
        <w:rPr>
          <w:sz w:val="20"/>
          <w:szCs w:val="20"/>
        </w:rPr>
        <w:t>the three and six months ended June 30, 2020.</w:t>
      </w:r>
    </w:p>
    <w:p w:rsidR="00000000" w:rsidRDefault="008325ED">
      <w:pPr>
        <w:pStyle w:val="a3"/>
        <w:spacing w:before="240" w:beforeAutospacing="0" w:after="0" w:afterAutospacing="0"/>
        <w:jc w:val="both"/>
        <w:rPr>
          <w:sz w:val="20"/>
          <w:szCs w:val="20"/>
        </w:rPr>
      </w:pPr>
      <w:r>
        <w:rPr>
          <w:sz w:val="20"/>
          <w:szCs w:val="20"/>
        </w:rPr>
        <w:t xml:space="preserve">On December 9, 2019, we entered into a lease with the Commonwealth of Kentucky Department of Corrections, or KYDOC, for our previously idled 656-bed Southeast Correctional Complex in Wheelwright, Kentucky. The </w:t>
      </w:r>
      <w:r>
        <w:rPr>
          <w:sz w:val="20"/>
          <w:szCs w:val="20"/>
        </w:rPr>
        <w:t>lease commenced July 1, 2020, has an initial term of ten years and includes five two-year renewal options.  The KYDOC has the option to purchase the facility at its fair market value at any time during the term of the lease. Net operating income at the Sou</w:t>
      </w:r>
      <w:r>
        <w:rPr>
          <w:sz w:val="20"/>
          <w:szCs w:val="20"/>
        </w:rPr>
        <w:t xml:space="preserve">theast Correctional Complex increased $2.3 million during the first six months of 2021 from the comparable period in the prior year.  This facility had previously been idle since 2012. </w:t>
      </w:r>
    </w:p>
    <w:p w:rsidR="00000000" w:rsidRDefault="008325ED">
      <w:pPr>
        <w:pStyle w:val="a3"/>
        <w:spacing w:before="240" w:beforeAutospacing="0" w:after="0" w:afterAutospacing="0"/>
        <w:jc w:val="both"/>
        <w:rPr>
          <w:sz w:val="20"/>
          <w:szCs w:val="20"/>
        </w:rPr>
      </w:pPr>
      <w:r>
        <w:rPr>
          <w:sz w:val="20"/>
          <w:szCs w:val="20"/>
        </w:rPr>
        <w:t xml:space="preserve">On January 2, 2020, we completed the acquisition of a portfolio of 28 </w:t>
      </w:r>
      <w:r>
        <w:rPr>
          <w:sz w:val="20"/>
          <w:szCs w:val="20"/>
        </w:rPr>
        <w:t>properties, all of which were built-to-suit and leased to the federal government through the General Services Administration, or GSA, 24 of which the counter-party contributed to Government Real Estate Solutions, LLC, or GRES.  The 445,000 square foot port</w:t>
      </w:r>
      <w:r>
        <w:rPr>
          <w:sz w:val="20"/>
          <w:szCs w:val="20"/>
        </w:rPr>
        <w:t>folio serves numerous federal agencies, including primarily the Social Security Administration, or SSA, the Department of Homeland Security, and the Office of Hearings Operations. On December 23, 2020, we completed the sale of 42 non-core government-leased</w:t>
      </w:r>
      <w:r>
        <w:rPr>
          <w:sz w:val="20"/>
          <w:szCs w:val="20"/>
        </w:rPr>
        <w:t xml:space="preserve"> properties, including this portfolio of 28 properties, in a single transaction to a third party for an aggregate price of $106.5 million, generating net proceeds of $27.8 million after the repayment of non-recourse mortgage notes associated with some of t</w:t>
      </w:r>
      <w:r>
        <w:rPr>
          <w:sz w:val="20"/>
          <w:szCs w:val="20"/>
        </w:rPr>
        <w:t xml:space="preserve">he properties and other transaction-related costs. During 2020, these 42 properties generated facility net operating income of $9.3 million, including $4.7 million during the first six months of 2020.  After considering tax protection payments required to </w:t>
      </w:r>
      <w:r>
        <w:rPr>
          <w:sz w:val="20"/>
          <w:szCs w:val="20"/>
        </w:rPr>
        <w:t xml:space="preserve">be paid to the contributing partners of GRES in connection with the sale, we reported a net loss on this sale of $17.9 million during the fourth quarter of 2020.  During June 2021, we provided notice to the partners of GRES of our intent to distribute the </w:t>
      </w:r>
      <w:r>
        <w:rPr>
          <w:sz w:val="20"/>
          <w:szCs w:val="20"/>
        </w:rPr>
        <w:t xml:space="preserve">remaining assets and dissolve the partnership.  We currently expect GRES to be terminated during the third quarter of 2021, and to extinguish the operating partnership units for no consideration, which will result in an increase to equity upon termination </w:t>
      </w:r>
      <w:r>
        <w:rPr>
          <w:sz w:val="20"/>
          <w:szCs w:val="20"/>
        </w:rPr>
        <w:t>of the partnership of $15.0 million to $20.0 million.</w:t>
      </w:r>
    </w:p>
    <w:p w:rsidR="00000000" w:rsidRDefault="008325ED">
      <w:pPr>
        <w:pStyle w:val="a3"/>
        <w:spacing w:before="240" w:beforeAutospacing="0" w:after="0" w:afterAutospacing="0"/>
        <w:jc w:val="both"/>
        <w:rPr>
          <w:sz w:val="20"/>
          <w:szCs w:val="20"/>
        </w:rPr>
      </w:pPr>
      <w:r>
        <w:rPr>
          <w:sz w:val="20"/>
          <w:szCs w:val="20"/>
        </w:rPr>
        <w:t>On May 28, 2021, we completed the sale of two leased properties, the 277,000 square foot Capital Commerce Center, primarily leased to an agency of the State of Florida in Tallahassee, Florida, and a 217</w:t>
      </w:r>
      <w:r>
        <w:rPr>
          <w:sz w:val="20"/>
          <w:szCs w:val="20"/>
        </w:rPr>
        <w:t>,000 square foot warehouse property leased to the GSA in Dayton, Ohio, in a single transaction to a third party for an aggregate price of $73.0 million, generating net proceeds of $46.2 million after the repayment of the debt related to the Capital Commerc</w:t>
      </w:r>
      <w:r>
        <w:rPr>
          <w:sz w:val="20"/>
          <w:szCs w:val="20"/>
        </w:rPr>
        <w:t xml:space="preserve">e Center and other transaction-related costs.  In addition, on June 29, 2021, we completed the sale of a 541,000 square foot property leased to the GSA in Baltimore, Maryland to a third party for a price of $253.0 million, generating net proceeds of $76.4 </w:t>
      </w:r>
      <w:r>
        <w:rPr>
          <w:sz w:val="20"/>
          <w:szCs w:val="20"/>
        </w:rPr>
        <w:t>million after the repayment of the debt related to the Baltimore property and other transaction-related costs.  During 2020, these three properties generated facility net operating income of $20.2 million, including $10.1 million during the first six month</w:t>
      </w:r>
      <w:r>
        <w:rPr>
          <w:sz w:val="20"/>
          <w:szCs w:val="20"/>
        </w:rPr>
        <w:t>s of 2020.  We reported an aggregate net gain on the sales of these three properties of $38.9 million during the second quarter of 2021.</w:t>
      </w:r>
    </w:p>
    <w:p w:rsidR="00000000" w:rsidRDefault="008325ED">
      <w:pPr>
        <w:pStyle w:val="a3"/>
        <w:spacing w:before="240" w:beforeAutospacing="0" w:after="0" w:afterAutospacing="0"/>
        <w:jc w:val="center"/>
        <w:rPr>
          <w:sz w:val="20"/>
          <w:szCs w:val="20"/>
        </w:rPr>
      </w:pPr>
      <w:r>
        <w:rPr>
          <w:sz w:val="20"/>
          <w:szCs w:val="20"/>
        </w:rPr>
        <w:t>35</w:t>
      </w:r>
    </w:p>
    <w:p w:rsidR="00000000" w:rsidRDefault="008325ED">
      <w:pPr>
        <w:rPr>
          <w:rFonts w:eastAsia="Times New Roman"/>
        </w:rPr>
      </w:pPr>
      <w:r>
        <w:rPr>
          <w:rFonts w:eastAsia="Times New Roman"/>
        </w:rPr>
        <w:pict>
          <v:rect id="_x0000_i1061"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As previously described herein, on May 24, 2021, we completed the sale of an i</w:t>
      </w:r>
      <w:r>
        <w:rPr>
          <w:sz w:val="20"/>
          <w:szCs w:val="20"/>
        </w:rPr>
        <w:t xml:space="preserve">dled 12,000 square foot non-core property located in St. Louis, Missouri, with a net book value of $0.8 million at the time of the sale, for net proceeds of $0.6 million.  In addition, on June 25, 2021, we completed the sale of an idled 18,000 square foot </w:t>
      </w:r>
      <w:r>
        <w:rPr>
          <w:sz w:val="20"/>
          <w:szCs w:val="20"/>
        </w:rPr>
        <w:t>non-core property, located in Philadelphia, Pennsylvania, for a price of $2.0 million, generating net proceeds of $1.8 million. Net proceeds from the sales of these 47 properties, totaling $152.8 million after the repayment of non-recourse mortgage notes a</w:t>
      </w:r>
      <w:r>
        <w:rPr>
          <w:sz w:val="20"/>
          <w:szCs w:val="20"/>
        </w:rPr>
        <w:t>ssociated with some of these properties and other transaction-related costs, were used to pay down debt.</w:t>
      </w:r>
    </w:p>
    <w:p w:rsidR="00000000" w:rsidRDefault="008325ED">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8325ED">
      <w:pPr>
        <w:pStyle w:val="a3"/>
        <w:spacing w:before="120" w:beforeAutospacing="0" w:after="0" w:afterAutospacing="0"/>
        <w:jc w:val="both"/>
        <w:rPr>
          <w:sz w:val="20"/>
          <w:szCs w:val="20"/>
        </w:rPr>
      </w:pPr>
      <w:r>
        <w:rPr>
          <w:sz w:val="20"/>
          <w:szCs w:val="20"/>
        </w:rPr>
        <w:t>For the three months ended June 30, 2021 and 2020, general and administrative expenses totaled $33.2 million and $3</w:t>
      </w:r>
      <w:r>
        <w:rPr>
          <w:sz w:val="20"/>
          <w:szCs w:val="20"/>
        </w:rPr>
        <w:t>0.1 million, respectively, while general and administrative expenses totaled $62.8 million and $61.4 million, respectively, during the six months ended June 30, 2021 and 2020.  General and administrative expenses consist primarily of corporate management s</w:t>
      </w:r>
      <w:r>
        <w:rPr>
          <w:sz w:val="20"/>
          <w:szCs w:val="20"/>
        </w:rPr>
        <w:t xml:space="preserve">alaries and benefits, professional fees, and other administrative expenses.  General and administrative expenses increased from the prior year periods primarily as a result of an increase in salaries and benefits, including incentive compensation expense. </w:t>
      </w:r>
    </w:p>
    <w:p w:rsidR="00000000" w:rsidRDefault="008325ED">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8325ED">
      <w:pPr>
        <w:pStyle w:val="a3"/>
        <w:spacing w:before="120" w:beforeAutospacing="0" w:after="0" w:afterAutospacing="0"/>
        <w:jc w:val="both"/>
        <w:rPr>
          <w:sz w:val="20"/>
          <w:szCs w:val="20"/>
        </w:rPr>
      </w:pPr>
      <w:r>
        <w:rPr>
          <w:sz w:val="20"/>
          <w:szCs w:val="20"/>
        </w:rPr>
        <w:t>For the three months ended June 30, 2021 and 2020, depreciation and amortization expense totaled $34.1 million and $38.6 million, respectively, while depreciation and amortization expenses totaled $66.8 million and $76.6 mill</w:t>
      </w:r>
      <w:r>
        <w:rPr>
          <w:sz w:val="20"/>
          <w:szCs w:val="20"/>
        </w:rPr>
        <w:t>ion, respectively, during the six months ended June 30, 2021 and 2020.  The decrease in depreciation and amortization expense is primarily due to the sale of 42 non-core government-leased properties in December 2020, as well as the sale of an additional th</w:t>
      </w:r>
      <w:r>
        <w:rPr>
          <w:sz w:val="20"/>
          <w:szCs w:val="20"/>
        </w:rPr>
        <w:t>ree actively leased properties in the second quarter of 2021, each as previously described herein.  Depreciation on the three properties sold in the second quarter 2021 had been suspended as they were classified as held for sale as of December 31, 2020.</w:t>
      </w:r>
    </w:p>
    <w:p w:rsidR="00000000" w:rsidRDefault="008325ED">
      <w:pPr>
        <w:pStyle w:val="a3"/>
        <w:spacing w:before="360" w:beforeAutospacing="0" w:after="0" w:afterAutospacing="0"/>
        <w:jc w:val="both"/>
        <w:rPr>
          <w:b/>
          <w:bCs/>
          <w:i/>
          <w:iCs/>
          <w:sz w:val="20"/>
          <w:szCs w:val="20"/>
        </w:rPr>
      </w:pPr>
      <w:r>
        <w:rPr>
          <w:b/>
          <w:bCs/>
          <w:i/>
          <w:iCs/>
          <w:sz w:val="20"/>
          <w:szCs w:val="20"/>
        </w:rPr>
        <w:t>Sh</w:t>
      </w:r>
      <w:r>
        <w:rPr>
          <w:b/>
          <w:bCs/>
          <w:i/>
          <w:iCs/>
          <w:sz w:val="20"/>
          <w:szCs w:val="20"/>
        </w:rPr>
        <w:t>areholder litigation expense</w:t>
      </w:r>
    </w:p>
    <w:p w:rsidR="00000000" w:rsidRDefault="008325ED">
      <w:pPr>
        <w:pStyle w:val="a3"/>
        <w:spacing w:before="120" w:beforeAutospacing="0" w:after="0" w:afterAutospacing="0"/>
        <w:jc w:val="both"/>
        <w:rPr>
          <w:sz w:val="20"/>
          <w:szCs w:val="20"/>
        </w:rPr>
      </w:pPr>
      <w:r>
        <w:rPr>
          <w:sz w:val="20"/>
          <w:szCs w:val="20"/>
        </w:rPr>
        <w:t>On April 16, 2021, we reached an agreement in principle to settle a purported securities class action lawsuit that was filed on August 23, 2016 in the United States District Court for the Middle District of Tennessee, or the Di</w:t>
      </w:r>
      <w:r>
        <w:rPr>
          <w:sz w:val="20"/>
          <w:szCs w:val="20"/>
        </w:rPr>
        <w:t xml:space="preserve">strict Court, captioned </w:t>
      </w:r>
      <w:r>
        <w:rPr>
          <w:i/>
          <w:iCs/>
          <w:sz w:val="20"/>
          <w:szCs w:val="20"/>
        </w:rPr>
        <w:t>Grae v. Corrections Corporation of America et al.</w:t>
      </w:r>
      <w:r>
        <w:rPr>
          <w:sz w:val="20"/>
          <w:szCs w:val="20"/>
        </w:rPr>
        <w:t>  The monetary terms of the settlement include a payment of $56.0 million in return for a dismissal of the case with prejudice and a full release of all claims against all defendants.</w:t>
      </w:r>
      <w:r>
        <w:rPr>
          <w:sz w:val="20"/>
          <w:szCs w:val="20"/>
        </w:rPr>
        <w:t>  The proposed settlement contains no admission of liability, wrongdoing, or responsibility by any of the defendants and is subject to the negotiation and execution of a definitive settlement agreement, and court approval of such definitive settlement agre</w:t>
      </w:r>
      <w:r>
        <w:rPr>
          <w:sz w:val="20"/>
          <w:szCs w:val="20"/>
        </w:rPr>
        <w:t>ement.  As a result of the settlement, we recognized an expense of $54.3 million during the six months ended June 30, 2021, which is net of the remaining insurance available under the Company's policies.</w:t>
      </w:r>
    </w:p>
    <w:p w:rsidR="00000000" w:rsidRDefault="008325ED">
      <w:pPr>
        <w:pStyle w:val="a3"/>
        <w:spacing w:before="360" w:beforeAutospacing="0" w:after="0" w:afterAutospacing="0"/>
        <w:jc w:val="both"/>
        <w:rPr>
          <w:b/>
          <w:bCs/>
          <w:i/>
          <w:iCs/>
          <w:sz w:val="20"/>
          <w:szCs w:val="20"/>
        </w:rPr>
      </w:pPr>
      <w:r>
        <w:rPr>
          <w:b/>
          <w:bCs/>
          <w:i/>
          <w:iCs/>
          <w:sz w:val="20"/>
          <w:szCs w:val="20"/>
        </w:rPr>
        <w:t>Asset impairments</w:t>
      </w:r>
    </w:p>
    <w:p w:rsidR="00000000" w:rsidRDefault="008325ED">
      <w:pPr>
        <w:pStyle w:val="a3"/>
        <w:spacing w:before="120" w:beforeAutospacing="0" w:after="0" w:afterAutospacing="0"/>
        <w:jc w:val="both"/>
        <w:rPr>
          <w:sz w:val="20"/>
          <w:szCs w:val="20"/>
        </w:rPr>
      </w:pPr>
      <w:r>
        <w:rPr>
          <w:sz w:val="20"/>
          <w:szCs w:val="20"/>
        </w:rPr>
        <w:t xml:space="preserve">Asset impairment charges during the six months ended June 30, 2021 include the impairment of $2.9 million for goodwill and other assets associated with a managed-only facility in our Safety segment and $1.3 million for the impairment of real estate assets </w:t>
      </w:r>
      <w:r>
        <w:rPr>
          <w:sz w:val="20"/>
          <w:szCs w:val="20"/>
        </w:rPr>
        <w:t>recognized during the first quarter of 2021 for a facility in our Properties segment that was sold during the second quarter of 2021.  Asset impairment charges during the six months ended June 30, 2020 include the impairment of $2.0 million of goodwill rel</w:t>
      </w:r>
      <w:r>
        <w:rPr>
          <w:sz w:val="20"/>
          <w:szCs w:val="20"/>
        </w:rPr>
        <w:t xml:space="preserve">ated to two managed-only facilities in our Safety segment and $10.3 million for the impairment of real estate and other intangible assets for two facilities in our Community segment. </w:t>
      </w:r>
    </w:p>
    <w:p w:rsidR="00000000" w:rsidRDefault="008325ED">
      <w:pPr>
        <w:pStyle w:val="a3"/>
        <w:spacing w:before="360" w:beforeAutospacing="0" w:after="0" w:afterAutospacing="0"/>
        <w:jc w:val="both"/>
        <w:rPr>
          <w:b/>
          <w:bCs/>
          <w:i/>
          <w:iCs/>
          <w:sz w:val="20"/>
          <w:szCs w:val="20"/>
        </w:rPr>
      </w:pPr>
      <w:r>
        <w:rPr>
          <w:b/>
          <w:bCs/>
          <w:i/>
          <w:iCs/>
          <w:sz w:val="20"/>
          <w:szCs w:val="20"/>
        </w:rPr>
        <w:t>Interest expense, net</w:t>
      </w:r>
    </w:p>
    <w:p w:rsidR="00000000" w:rsidRDefault="008325ED">
      <w:pPr>
        <w:pStyle w:val="a3"/>
        <w:spacing w:before="120" w:beforeAutospacing="0" w:after="0" w:afterAutospacing="0"/>
        <w:jc w:val="both"/>
        <w:rPr>
          <w:sz w:val="20"/>
          <w:szCs w:val="20"/>
        </w:rPr>
      </w:pPr>
      <w:r>
        <w:rPr>
          <w:sz w:val="20"/>
          <w:szCs w:val="20"/>
        </w:rPr>
        <w:t>Interest expense is reported net of interest incom</w:t>
      </w:r>
      <w:r>
        <w:rPr>
          <w:sz w:val="20"/>
          <w:szCs w:val="20"/>
        </w:rPr>
        <w:t>e and capitalized interest for the three and six months ended June 30, 2021 and 2020.  Gross interest expense, net of capitalized interest, was $25.8 million and $23.9 million for the three months ended June 30, 2021 and 2020, respectively, and was $46.8 m</w:t>
      </w:r>
      <w:r>
        <w:rPr>
          <w:sz w:val="20"/>
          <w:szCs w:val="20"/>
        </w:rPr>
        <w:t xml:space="preserve">illion and $48.4 million for the six months ended June 30, 2021 and 2020, respectively. Gross interest expense is based on outstanding borrowings under our revolving credit facility, our outstanding Incremental Term Loan A, or Term Loan A, our outstanding </w:t>
      </w:r>
      <w:r>
        <w:rPr>
          <w:sz w:val="20"/>
          <w:szCs w:val="20"/>
        </w:rPr>
        <w:t>$250.00 million Senior Secured Term Loan B, or Term Loan B, our outstanding senior notes, and our outstanding non-recourse mortgage notes, as well as the amortization of loan costs and unused facility fees.  A decrease in gross interest expense resulting f</w:t>
      </w:r>
      <w:r>
        <w:rPr>
          <w:sz w:val="20"/>
          <w:szCs w:val="20"/>
        </w:rPr>
        <w:t>rom a decrease in the average outstanding balance on our revolving credit facility and the repayment of certain non-recourse mortgage notes, as further described hereafter, was offset by the interest expense associated with the issuance of 8.25% senior uns</w:t>
      </w:r>
      <w:r>
        <w:rPr>
          <w:sz w:val="20"/>
          <w:szCs w:val="20"/>
        </w:rPr>
        <w:t>ecured notes in April 2021, also as further described hereafter.    </w:t>
      </w:r>
    </w:p>
    <w:p w:rsidR="00000000" w:rsidRDefault="008325ED">
      <w:pPr>
        <w:pStyle w:val="a3"/>
        <w:spacing w:before="240" w:beforeAutospacing="0" w:after="0" w:afterAutospacing="0"/>
        <w:jc w:val="center"/>
        <w:rPr>
          <w:sz w:val="20"/>
          <w:szCs w:val="20"/>
        </w:rPr>
      </w:pPr>
      <w:r>
        <w:rPr>
          <w:sz w:val="20"/>
          <w:szCs w:val="20"/>
        </w:rPr>
        <w:t>36</w:t>
      </w:r>
    </w:p>
    <w:p w:rsidR="00000000" w:rsidRDefault="008325ED">
      <w:pPr>
        <w:rPr>
          <w:rFonts w:eastAsia="Times New Roman"/>
        </w:rPr>
      </w:pPr>
      <w:r>
        <w:rPr>
          <w:rFonts w:eastAsia="Times New Roman"/>
        </w:rPr>
        <w:pict>
          <v:rect id="_x0000_i1062"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the London Interbank Offered Rate</w:t>
      </w:r>
      <w:r>
        <w:rPr>
          <w:sz w:val="20"/>
          <w:szCs w:val="20"/>
        </w:rPr>
        <w:t>, or LIBOR.  Based on our total leverage ratio, borrowings under our revolving credit facility during 2020 and the first six months of 2021 were at the base rate plus a margin of 0.50% or at LIBOR plus a margin of 1.50%, and a commitment fee equal to 0.35%</w:t>
      </w:r>
      <w:r>
        <w:rPr>
          <w:sz w:val="20"/>
          <w:szCs w:val="20"/>
        </w:rPr>
        <w:t xml:space="preserve"> of the unfunded balance. Interest rates under the Term Loan A are the same as the interest rates under our revolving credit facility.</w:t>
      </w:r>
    </w:p>
    <w:p w:rsidR="00000000" w:rsidRDefault="008325ED">
      <w:pPr>
        <w:pStyle w:val="a3"/>
        <w:spacing w:before="240" w:beforeAutospacing="0" w:after="0" w:afterAutospacing="0"/>
        <w:jc w:val="both"/>
        <w:rPr>
          <w:sz w:val="20"/>
          <w:szCs w:val="20"/>
        </w:rPr>
      </w:pPr>
      <w:r>
        <w:rPr>
          <w:sz w:val="20"/>
          <w:szCs w:val="20"/>
        </w:rPr>
        <w:t>On January 2, 2020, we completed the acquisition of a portfolio of 28 properties, 24 of which the counter-party contribut</w:t>
      </w:r>
      <w:r>
        <w:rPr>
          <w:sz w:val="20"/>
          <w:szCs w:val="20"/>
        </w:rPr>
        <w:t>ed to GRES, for total consideration of $83.2 million.  In connection with the acquisition, a wholly-owned subsidiary of GRES, an unrestricted subsidiary we control, assumed $52.2 million of in-place financing.  The assumed non-recourse mortgage notes, or c</w:t>
      </w:r>
      <w:r>
        <w:rPr>
          <w:sz w:val="20"/>
          <w:szCs w:val="20"/>
        </w:rPr>
        <w:t>ollectively, the GRES Note, carried a fixed interest rate of 4.91% and required monthly principal and interest payments, with a balloon payment of $46.2 million due at maturity in November 2025.  The GRES Note was fully-secured by the same 24 properties or</w:t>
      </w:r>
      <w:r>
        <w:rPr>
          <w:sz w:val="20"/>
          <w:szCs w:val="20"/>
        </w:rPr>
        <w:t>iginally pledged as collateral at the time the debt was issued.  The GRES Note was fully repaid as part of the sale of 42 non-core government-leased properties, including this portfolio of 28 properties, in December 2020, as previously described herein.</w:t>
      </w:r>
    </w:p>
    <w:p w:rsidR="00000000" w:rsidRDefault="008325ED">
      <w:pPr>
        <w:pStyle w:val="a3"/>
        <w:spacing w:before="240" w:beforeAutospacing="0" w:after="0" w:afterAutospacing="0"/>
        <w:jc w:val="both"/>
        <w:rPr>
          <w:sz w:val="20"/>
          <w:szCs w:val="20"/>
        </w:rPr>
      </w:pPr>
      <w:r>
        <w:rPr>
          <w:sz w:val="20"/>
          <w:szCs w:val="20"/>
        </w:rPr>
        <w:t>Th</w:t>
      </w:r>
      <w:r>
        <w:rPr>
          <w:sz w:val="20"/>
          <w:szCs w:val="20"/>
        </w:rPr>
        <w:t>e 2018 acquisition of the Capital Commerce Center located in Tallahassee, Florida was partially financed with a non-recourse mortgage note, or the Capital Commerce Note, which was fully-secured by the Capital Commerce property.  The Capital Commerce Note c</w:t>
      </w:r>
      <w:r>
        <w:rPr>
          <w:sz w:val="20"/>
          <w:szCs w:val="20"/>
        </w:rPr>
        <w:t>arried a fixed interest rate of 4.5%, required monthly principal and interest payments, and was scheduled to mature in January 2033.  The Capital Commerce Note was fully repaid as part of the sale of the Capital Commerce Center on May 28, 2021, as previous</w:t>
      </w:r>
      <w:r>
        <w:rPr>
          <w:sz w:val="20"/>
          <w:szCs w:val="20"/>
        </w:rPr>
        <w:t xml:space="preserve">ly described herein. </w:t>
      </w:r>
    </w:p>
    <w:p w:rsidR="00000000" w:rsidRDefault="008325ED">
      <w:pPr>
        <w:pStyle w:val="a3"/>
        <w:spacing w:before="240" w:beforeAutospacing="0" w:after="0" w:afterAutospacing="0"/>
        <w:jc w:val="both"/>
        <w:rPr>
          <w:sz w:val="20"/>
          <w:szCs w:val="20"/>
        </w:rPr>
      </w:pPr>
      <w:r>
        <w:rPr>
          <w:sz w:val="20"/>
          <w:szCs w:val="20"/>
        </w:rPr>
        <w:t>In connection with the acquisition of the SSA-Baltimore office building in 2018, a wholly-owned unrestricted subsidiary of ours assumed $157.3 million of in-place financing.  The assumed non-recourse mortgage note, or the SSA Baltimor</w:t>
      </w:r>
      <w:r>
        <w:rPr>
          <w:sz w:val="20"/>
          <w:szCs w:val="20"/>
        </w:rPr>
        <w:t>e Note, carried a fixed interest rate of 4.5% and required monthly principal and interest payments, with a balloon payment of $40.0 million due at maturity in February 2034.  The SSA-Baltimore Note was fully-secured by the SSA-Baltimore property. The SSA-B</w:t>
      </w:r>
      <w:r>
        <w:rPr>
          <w:sz w:val="20"/>
          <w:szCs w:val="20"/>
        </w:rPr>
        <w:t xml:space="preserve">altimore Note was fully repaid as part of the sale of the SSA-Baltimore property on June 29, 2021. </w:t>
      </w:r>
    </w:p>
    <w:p w:rsidR="00000000" w:rsidRDefault="008325ED">
      <w:pPr>
        <w:pStyle w:val="a3"/>
        <w:spacing w:before="240" w:beforeAutospacing="0" w:after="0" w:afterAutospacing="0"/>
        <w:jc w:val="both"/>
        <w:rPr>
          <w:sz w:val="20"/>
          <w:szCs w:val="20"/>
        </w:rPr>
      </w:pPr>
      <w:r>
        <w:rPr>
          <w:sz w:val="20"/>
          <w:szCs w:val="20"/>
        </w:rPr>
        <w:t>On April 14, 2021, we completed a registered offering of $450.0 million aggregate principal amount of 8.25% senior unsecured notes due 2026, or the 8.25% Se</w:t>
      </w:r>
      <w:r>
        <w:rPr>
          <w:sz w:val="20"/>
          <w:szCs w:val="20"/>
        </w:rPr>
        <w:t xml:space="preserve">nior Notes, which are guaranteed by our existing and future subsidiaries that guarantee the Bank Credit Facility. The 8.25% Senior Notes were priced at 99.0% of face value and as a result have an effective yield to maturity of 8.50%. We used a significant </w:t>
      </w:r>
      <w:r>
        <w:rPr>
          <w:sz w:val="20"/>
          <w:szCs w:val="20"/>
        </w:rPr>
        <w:t>amount of the net proceeds from the offering of the 8.25% Senior Notes (i) to redeem all of our $250.0 million aggregate principal amount of 5.0% senior unsecured notes due 2022, or the 5.0% Senior Notes, including the payment of the applicable "make-whole</w:t>
      </w:r>
      <w:r>
        <w:rPr>
          <w:sz w:val="20"/>
          <w:szCs w:val="20"/>
        </w:rPr>
        <w:t>" redemption amount of $15.5 million and accrued interest, and (ii) to otherwise repay or reduce our other indebtedness, including repurchasing $149.0 million of our $350.0 million principal amount of 4.625% senior unsecured notes due 2023, or the 4.625% S</w:t>
      </w:r>
      <w:r>
        <w:rPr>
          <w:sz w:val="20"/>
          <w:szCs w:val="20"/>
        </w:rPr>
        <w:t>enior Notes, at an aggregate purchase price of $151.2 million in privately negotiated transactions, reducing the outstanding balance of the 4.625% Senior Notes to $201.0 million.  On June 21, 2021, we purchased an additional $27.0 million of our 4.625% Sen</w:t>
      </w:r>
      <w:r>
        <w:rPr>
          <w:sz w:val="20"/>
          <w:szCs w:val="20"/>
        </w:rPr>
        <w:t>ior Notes at par in an open market purchase, further reducing the outstanding balance of the 4.625% Senior Notes to $174.0 million. The "make-whole" redemption amount paid in connection with the redemption of the 5.0% Senior Notes and the aggregate price p</w:t>
      </w:r>
      <w:r>
        <w:rPr>
          <w:sz w:val="20"/>
          <w:szCs w:val="20"/>
        </w:rPr>
        <w:t>aid for the 4.625% Senior Notes in excess of the principal amount of the notes repurchased resulted in charges of approximately $19.2 million during the second quarter of 2021, including costs associated with the repurchases and the proportionate write-off</w:t>
      </w:r>
      <w:r>
        <w:rPr>
          <w:sz w:val="20"/>
          <w:szCs w:val="20"/>
        </w:rPr>
        <w:t xml:space="preserve"> of existing debt issuance costs.  The remaining net proceeds were used to pay-down a portion of the amounts outstanding under the Revolving Credit Facility and for general corporate purposes. The issuance of the 8.25% Senior Notes results in an increase i</w:t>
      </w:r>
      <w:r>
        <w:rPr>
          <w:sz w:val="20"/>
          <w:szCs w:val="20"/>
        </w:rPr>
        <w:t>n interest expense because of an increase in the coupon rate applicable to our outstanding debt.  Additionally, we experienced increased interest expense during the second quarter of 2021 related to the continued accrual of interest related to the 5.0% Sen</w:t>
      </w:r>
      <w:r>
        <w:rPr>
          <w:sz w:val="20"/>
          <w:szCs w:val="20"/>
        </w:rPr>
        <w:t>ior Notes until the redemption date on May 14, 2021, thereby incurring interest expense on both the 8.25% Senior Notes and the 5.0% Senior Notes for the 30-day notice period for redemption commencing on April 14, 2021.</w:t>
      </w:r>
    </w:p>
    <w:p w:rsidR="00000000" w:rsidRDefault="008325ED">
      <w:pPr>
        <w:pStyle w:val="a3"/>
        <w:spacing w:before="240" w:beforeAutospacing="0" w:after="0" w:afterAutospacing="0"/>
        <w:jc w:val="both"/>
        <w:rPr>
          <w:sz w:val="20"/>
          <w:szCs w:val="20"/>
        </w:rPr>
      </w:pPr>
      <w:r>
        <w:rPr>
          <w:sz w:val="20"/>
          <w:szCs w:val="20"/>
        </w:rPr>
        <w:t>Gross interest income was $2.6 millio</w:t>
      </w:r>
      <w:r>
        <w:rPr>
          <w:sz w:val="20"/>
          <w:szCs w:val="20"/>
        </w:rPr>
        <w:t xml:space="preserve">n and $2.9 million for the three months ended June 30, 2021 and 2020, respectively, and was $5.1 million and $4.9 million for the six months ended June 30, 2021 and 2020, respectively. Gross interest income is earned on notes receivable, investments, cash </w:t>
      </w:r>
      <w:r>
        <w:rPr>
          <w:sz w:val="20"/>
          <w:szCs w:val="20"/>
        </w:rPr>
        <w:t>and cash equivalents, and restricted cash.  Interest income also includes interest income associated with the 20-year finance receivable associated with the Lansing Correctional Facility lease to the KDOC, which commenced in January 2020, and amounted to $</w:t>
      </w:r>
      <w:r>
        <w:rPr>
          <w:sz w:val="20"/>
          <w:szCs w:val="20"/>
        </w:rPr>
        <w:t>2.2 million for both the three months ended June 30, 2021 and 2020, and $4.4 million and $3.9 million for the six months ended June 30, 2021 and 2020.  Total capitalized interest was $67,000 during the three months ended June 30, 2021.  There was no intere</w:t>
      </w:r>
      <w:r>
        <w:rPr>
          <w:sz w:val="20"/>
          <w:szCs w:val="20"/>
        </w:rPr>
        <w:t>st capitalized during the three months ended June 30, 2020.  Total capitalized interest was $95,000 and $526,000 during the six months ended June 30, 2021 and 2020, respectively. Capitalized interest in 2020 was primarily associated with the construction o</w:t>
      </w:r>
      <w:r>
        <w:rPr>
          <w:sz w:val="20"/>
          <w:szCs w:val="20"/>
        </w:rPr>
        <w:t>f the Lansing Correctional Facility.  </w:t>
      </w:r>
    </w:p>
    <w:p w:rsidR="00000000" w:rsidRDefault="008325ED">
      <w:pPr>
        <w:pStyle w:val="a3"/>
        <w:spacing w:before="360" w:beforeAutospacing="0" w:after="0" w:afterAutospacing="0"/>
        <w:jc w:val="both"/>
        <w:rPr>
          <w:b/>
          <w:bCs/>
          <w:i/>
          <w:iCs/>
          <w:sz w:val="20"/>
          <w:szCs w:val="20"/>
        </w:rPr>
      </w:pPr>
      <w:r>
        <w:rPr>
          <w:b/>
          <w:bCs/>
          <w:i/>
          <w:iCs/>
          <w:sz w:val="20"/>
          <w:szCs w:val="20"/>
        </w:rPr>
        <w:t>Expenses associated with debt repayments and refinancing transactions</w:t>
      </w:r>
    </w:p>
    <w:p w:rsidR="00000000" w:rsidRDefault="008325ED">
      <w:pPr>
        <w:pStyle w:val="a3"/>
        <w:spacing w:before="240" w:beforeAutospacing="0" w:after="0" w:afterAutospacing="0"/>
        <w:jc w:val="both"/>
        <w:rPr>
          <w:sz w:val="20"/>
          <w:szCs w:val="20"/>
        </w:rPr>
      </w:pPr>
      <w:r>
        <w:rPr>
          <w:sz w:val="20"/>
          <w:szCs w:val="20"/>
        </w:rPr>
        <w:t>As previously described, during the second quarter of 2021, we completed the sales of three non-core actively leased properties in two separate tra</w:t>
      </w:r>
      <w:r>
        <w:rPr>
          <w:sz w:val="20"/>
          <w:szCs w:val="20"/>
        </w:rPr>
        <w:t xml:space="preserve">nsactions for a collective aggregate price of $326.0 million, generating total net proceeds of $122.6 million after the </w:t>
      </w:r>
    </w:p>
    <w:p w:rsidR="00000000" w:rsidRDefault="008325ED">
      <w:pPr>
        <w:pStyle w:val="a3"/>
        <w:spacing w:before="240" w:beforeAutospacing="0" w:after="0" w:afterAutospacing="0"/>
        <w:jc w:val="center"/>
        <w:rPr>
          <w:sz w:val="20"/>
          <w:szCs w:val="20"/>
        </w:rPr>
      </w:pPr>
      <w:r>
        <w:rPr>
          <w:sz w:val="20"/>
          <w:szCs w:val="20"/>
        </w:rPr>
        <w:t>37</w:t>
      </w:r>
    </w:p>
    <w:p w:rsidR="00000000" w:rsidRDefault="008325ED">
      <w:pPr>
        <w:rPr>
          <w:rFonts w:eastAsia="Times New Roman"/>
        </w:rPr>
      </w:pPr>
      <w:r>
        <w:rPr>
          <w:rFonts w:eastAsia="Times New Roman"/>
        </w:rPr>
        <w:pict>
          <v:rect id="_x0000_i1063"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repayment of two non-recourse mortgage notes associated with two of the properties and other t</w:t>
      </w:r>
      <w:r>
        <w:rPr>
          <w:sz w:val="20"/>
          <w:szCs w:val="20"/>
        </w:rPr>
        <w:t xml:space="preserve">ransaction-related costs. In connection with the sales, we incurred charges of $32.5 million associated with the prepayment of the two non-recourse mortgage notes and non-cash charges of $0.5 million associated with the write-off of existing debt issuance </w:t>
      </w:r>
      <w:r>
        <w:rPr>
          <w:sz w:val="20"/>
          <w:szCs w:val="20"/>
        </w:rPr>
        <w:t xml:space="preserve">costs.  Expenses associated with debt repayments and refinancing transactions during the second quarter of 2021 also included $19.2 million associated with the redemption of </w:t>
      </w:r>
      <w:r>
        <w:rPr>
          <w:color w:val="000000"/>
          <w:sz w:val="20"/>
          <w:szCs w:val="20"/>
        </w:rPr>
        <w:t>our $250.0 million in aggregate principal amount of 5.0% senior notes originally d</w:t>
      </w:r>
      <w:r>
        <w:rPr>
          <w:color w:val="000000"/>
          <w:sz w:val="20"/>
          <w:szCs w:val="20"/>
        </w:rPr>
        <w:t>ue in October 2022, as well as the aggregate price paid for our 4.625% senior secured notes in excess of the principal amount of the notes repurchased, costs associated with the repurchases, and the proportionate write-off of existing debt issuance costs. </w:t>
      </w:r>
      <w:r>
        <w:rPr>
          <w:color w:val="000000"/>
          <w:sz w:val="20"/>
          <w:szCs w:val="20"/>
        </w:rPr>
        <w:t> </w:t>
      </w:r>
    </w:p>
    <w:p w:rsidR="00000000" w:rsidRDefault="008325ED">
      <w:pPr>
        <w:pStyle w:val="a3"/>
        <w:spacing w:before="360" w:beforeAutospacing="0" w:after="0" w:afterAutospacing="0"/>
        <w:jc w:val="both"/>
        <w:rPr>
          <w:b/>
          <w:bCs/>
          <w:i/>
          <w:iCs/>
          <w:sz w:val="20"/>
          <w:szCs w:val="20"/>
        </w:rPr>
      </w:pPr>
      <w:r>
        <w:rPr>
          <w:b/>
          <w:bCs/>
          <w:i/>
          <w:iCs/>
          <w:sz w:val="20"/>
          <w:szCs w:val="20"/>
        </w:rPr>
        <w:t>Income tax benefit (expense)</w:t>
      </w:r>
    </w:p>
    <w:p w:rsidR="00000000" w:rsidRDefault="008325ED">
      <w:pPr>
        <w:pStyle w:val="a3"/>
        <w:spacing w:before="120" w:beforeAutospacing="0" w:after="0" w:afterAutospacing="0"/>
        <w:jc w:val="both"/>
        <w:rPr>
          <w:spacing w:val="-2"/>
          <w:sz w:val="20"/>
          <w:szCs w:val="20"/>
        </w:rPr>
      </w:pPr>
      <w:r>
        <w:rPr>
          <w:spacing w:val="-2"/>
          <w:sz w:val="20"/>
          <w:szCs w:val="20"/>
        </w:rPr>
        <w:t xml:space="preserve">During the years we elected REIT status, we were entitled to a deduction for dividends paid, resulting in a substantial reduction in the amount of federal income tax expense we recognize.  Substantially all of our income tax </w:t>
      </w:r>
      <w:r>
        <w:rPr>
          <w:spacing w:val="-2"/>
          <w:sz w:val="20"/>
          <w:szCs w:val="20"/>
        </w:rPr>
        <w:t>expense during the years we elected REIT status was incurred based on the earnings generated by our TRSs, and our overall effective tax rate was based on the taxable income primarily generated by our TRSs.</w:t>
      </w:r>
    </w:p>
    <w:p w:rsidR="00000000" w:rsidRDefault="008325ED">
      <w:pPr>
        <w:pStyle w:val="a3"/>
        <w:spacing w:before="240" w:beforeAutospacing="0" w:after="0" w:afterAutospacing="0"/>
        <w:jc w:val="both"/>
        <w:rPr>
          <w:sz w:val="20"/>
          <w:szCs w:val="20"/>
        </w:rPr>
      </w:pPr>
      <w:r>
        <w:rPr>
          <w:sz w:val="20"/>
          <w:szCs w:val="20"/>
        </w:rPr>
        <w:t>On August 5, 2020, we announced that our BOD unani</w:t>
      </w:r>
      <w:r>
        <w:rPr>
          <w:sz w:val="20"/>
          <w:szCs w:val="20"/>
        </w:rPr>
        <w:t>mously approved a plan to revoke our REIT election and become a taxable C Corporation, effective January 1, 2021.  As a result, we are no longer required to operate under REIT rules, including the requirement to distribute at least 90% of our taxable incom</w:t>
      </w:r>
      <w:r>
        <w:rPr>
          <w:sz w:val="20"/>
          <w:szCs w:val="20"/>
        </w:rPr>
        <w:t>e to our stockholders, which provides us with greater flexibility to use our free cash flow.  We continued to operate as a REIT for the remainder of the 2020 tax year, and existing REIT requirements and limitations, including those established by our organ</w:t>
      </w:r>
      <w:r>
        <w:rPr>
          <w:sz w:val="20"/>
          <w:szCs w:val="20"/>
        </w:rPr>
        <w:t>izational documents, remained in place until January 1, 2021.  Effective January 1, 2021, we are subject to federal and state income taxes on our taxable income at applicable tax rates, and are no longer entitled to a tax deduction for dividends paid</w:t>
      </w:r>
      <w:r>
        <w:rPr>
          <w:sz w:val="23"/>
          <w:szCs w:val="23"/>
        </w:rPr>
        <w:t xml:space="preserve">. </w:t>
      </w:r>
      <w:r>
        <w:rPr>
          <w:sz w:val="20"/>
          <w:szCs w:val="20"/>
        </w:rPr>
        <w:t>We r</w:t>
      </w:r>
      <w:r>
        <w:rPr>
          <w:sz w:val="20"/>
          <w:szCs w:val="20"/>
        </w:rPr>
        <w:t xml:space="preserve">ecorded an income tax expense of </w:t>
      </w:r>
      <w:r>
        <w:rPr>
          <w:spacing w:val="-2"/>
          <w:sz w:val="20"/>
          <w:szCs w:val="20"/>
        </w:rPr>
        <w:t>$6.5 million</w:t>
      </w:r>
      <w:r>
        <w:rPr>
          <w:sz w:val="20"/>
          <w:szCs w:val="20"/>
        </w:rPr>
        <w:t xml:space="preserve"> and an income tax benefit of $1.0 million for the three months ended June 30 2021 and 2020, respectively.  The income tax benefit in the second quarter of 2020 reflected an operating loss in one of our TRSs cau</w:t>
      </w:r>
      <w:r>
        <w:rPr>
          <w:sz w:val="20"/>
          <w:szCs w:val="20"/>
        </w:rPr>
        <w:t>sed primarily by lower occupancy levels at several facilities resulting from COVID-19.  We recorded an income tax expense of $120.1 million and $2.8 million for the six months ended June 30, 2021 and 2020, respectively.  Income tax expense for the six mont</w:t>
      </w:r>
      <w:r>
        <w:rPr>
          <w:sz w:val="20"/>
          <w:szCs w:val="20"/>
        </w:rPr>
        <w:t>hs ended June 30, 2021 included $114.2 million primarily resulting from the revaluation of the Company's net deferred tax liabilities due to the completion of all significant actions necessary to revoke its REIT election. Income tax expense related to oper</w:t>
      </w:r>
      <w:r>
        <w:rPr>
          <w:sz w:val="20"/>
          <w:szCs w:val="20"/>
        </w:rPr>
        <w:t>ations for the three and six months ended June 30, 2021 was partially offset by an income tax benefit of $4.2 million and $18.2 million, respectively, associated with the settlement agreement reached on April 16, 2021 in connection with the shareholder lit</w:t>
      </w:r>
      <w:r>
        <w:rPr>
          <w:sz w:val="20"/>
          <w:szCs w:val="20"/>
        </w:rPr>
        <w:t>igation, incremental expenses directly associated with COVID-19 (reflected in operating expenses), asset impairments, and expenses associated with debt repayments and refinancing transactions, net of an income tax expense associated with the gain on sale o</w:t>
      </w:r>
      <w:r>
        <w:rPr>
          <w:sz w:val="20"/>
          <w:szCs w:val="20"/>
        </w:rPr>
        <w:t xml:space="preserve">f real estate assets.   </w:t>
      </w:r>
      <w:r>
        <w:rPr>
          <w:sz w:val="23"/>
          <w:szCs w:val="23"/>
        </w:rPr>
        <w:t>  </w:t>
      </w:r>
    </w:p>
    <w:p w:rsidR="00000000" w:rsidRDefault="008325ED">
      <w:pPr>
        <w:pStyle w:val="a3"/>
        <w:spacing w:before="240" w:beforeAutospacing="0" w:after="0" w:afterAutospacing="0"/>
        <w:jc w:val="both"/>
        <w:rPr>
          <w:spacing w:val="-2"/>
          <w:sz w:val="20"/>
          <w:szCs w:val="20"/>
        </w:rPr>
      </w:pPr>
      <w:r>
        <w:rPr>
          <w:spacing w:val="-2"/>
          <w:sz w:val="20"/>
          <w:szCs w:val="20"/>
        </w:rPr>
        <w:t>Income tax expense during the six months ended June 30, 2020 included $3.1 million that had been deferred during the construction period of our Lansing Correctional Facility, which was owned by a TRS of ours until it converted to</w:t>
      </w:r>
      <w:r>
        <w:rPr>
          <w:spacing w:val="-2"/>
          <w:sz w:val="20"/>
          <w:szCs w:val="20"/>
        </w:rPr>
        <w:t xml:space="preserve"> a qualified REIT subsidiary, or QRS, upon completion of construction in the first quarter of 2020.  Because ownership of this facility reverts to the state of Kansas upon expiration of the twenty-year lease, the construction and subsequent lease of the fa</w:t>
      </w:r>
      <w:r>
        <w:rPr>
          <w:spacing w:val="-2"/>
          <w:sz w:val="20"/>
          <w:szCs w:val="20"/>
        </w:rPr>
        <w:t>cility to the State was a deemed sale for federal and state income tax purposes.  The gain on sale was reported as a deferred tax asset based on the percentage of completion method over the construction period.  This deferred tax asset was revalued to zero</w:t>
      </w:r>
      <w:r>
        <w:rPr>
          <w:spacing w:val="-2"/>
          <w:sz w:val="20"/>
          <w:szCs w:val="20"/>
        </w:rPr>
        <w:t xml:space="preserve"> upon conversion of the TRS to a QRS. </w:t>
      </w:r>
    </w:p>
    <w:p w:rsidR="00000000" w:rsidRDefault="008325ED">
      <w:pPr>
        <w:pStyle w:val="a3"/>
        <w:spacing w:before="240" w:beforeAutospacing="0" w:after="0" w:afterAutospacing="0"/>
        <w:jc w:val="both"/>
        <w:rPr>
          <w:spacing w:val="-2"/>
          <w:sz w:val="20"/>
          <w:szCs w:val="20"/>
        </w:rPr>
      </w:pPr>
      <w:r>
        <w:rPr>
          <w:spacing w:val="-2"/>
          <w:sz w:val="20"/>
          <w:szCs w:val="20"/>
        </w:rPr>
        <w:t xml:space="preserve">Our effective tax rate could fluctuate in the future based on changes in estimates of taxable income, the implementation of additional tax planning strategies, changes in federal or state tax rates or laws affecting tax credits available to us, changes in </w:t>
      </w:r>
      <w:r>
        <w:rPr>
          <w:spacing w:val="-2"/>
          <w:sz w:val="20"/>
          <w:szCs w:val="20"/>
        </w:rPr>
        <w:t>other tax laws, changes in estimates related to uncertain tax positions, or changes in state apportionment factors, as well as changes in the valuation allowance applied to our deferred tax assets that are based primarily on the amount of state net operati</w:t>
      </w:r>
      <w:r>
        <w:rPr>
          <w:spacing w:val="-2"/>
          <w:sz w:val="20"/>
          <w:szCs w:val="20"/>
        </w:rPr>
        <w:t>ng losses and tax credits that could expire unused.</w:t>
      </w:r>
    </w:p>
    <w:p w:rsidR="00000000" w:rsidRDefault="008325ED">
      <w:pPr>
        <w:pStyle w:val="a3"/>
        <w:spacing w:before="360" w:beforeAutospacing="0" w:after="0" w:afterAutospacing="0"/>
        <w:jc w:val="both"/>
        <w:rPr>
          <w:b/>
          <w:bCs/>
          <w:sz w:val="20"/>
          <w:szCs w:val="20"/>
        </w:rPr>
      </w:pPr>
      <w:r>
        <w:rPr>
          <w:b/>
          <w:bCs/>
          <w:sz w:val="20"/>
          <w:szCs w:val="20"/>
        </w:rPr>
        <w:t>LIQUIDITY AND CAPITAL RESOURCES</w:t>
      </w:r>
    </w:p>
    <w:p w:rsidR="00000000" w:rsidRDefault="008325ED">
      <w:pPr>
        <w:pStyle w:val="a3"/>
        <w:spacing w:before="240" w:beforeAutospacing="0" w:after="0" w:afterAutospacing="0"/>
        <w:jc w:val="both"/>
        <w:rPr>
          <w:sz w:val="20"/>
          <w:szCs w:val="20"/>
        </w:rPr>
      </w:pPr>
      <w:r>
        <w:rPr>
          <w:sz w:val="20"/>
          <w:szCs w:val="20"/>
        </w:rPr>
        <w:t>Our principal capital requirements are for working capital, capital expenditures, and debt service payments, as well as outstanding commitments and contingencies, as further discussed in the notes to our financial statements. </w:t>
      </w:r>
    </w:p>
    <w:p w:rsidR="00000000" w:rsidRDefault="008325ED">
      <w:pPr>
        <w:pStyle w:val="a3"/>
        <w:spacing w:before="240" w:beforeAutospacing="0" w:after="0" w:afterAutospacing="0"/>
        <w:jc w:val="both"/>
        <w:rPr>
          <w:sz w:val="20"/>
          <w:szCs w:val="20"/>
        </w:rPr>
      </w:pPr>
      <w:r>
        <w:rPr>
          <w:sz w:val="20"/>
          <w:szCs w:val="20"/>
        </w:rPr>
        <w:t>As a result of the BOD decisi</w:t>
      </w:r>
      <w:r>
        <w:rPr>
          <w:sz w:val="20"/>
          <w:szCs w:val="20"/>
        </w:rPr>
        <w:t>on to revoke our REIT election and become a taxable C Corporation effective January 1, 2021, we are no longer required to operate under REIT rules, including the requirement to distribute at least 90% of our taxable income to our stockholders, which will p</w:t>
      </w:r>
      <w:r>
        <w:rPr>
          <w:sz w:val="20"/>
          <w:szCs w:val="20"/>
        </w:rPr>
        <w:t>rovide us with greater flexibility to use our free cash flow.  </w:t>
      </w:r>
    </w:p>
    <w:p w:rsidR="00000000" w:rsidRDefault="008325ED">
      <w:pPr>
        <w:pStyle w:val="a3"/>
        <w:spacing w:before="240" w:beforeAutospacing="0" w:after="0" w:afterAutospacing="0"/>
        <w:jc w:val="center"/>
        <w:rPr>
          <w:sz w:val="20"/>
          <w:szCs w:val="20"/>
        </w:rPr>
      </w:pPr>
      <w:r>
        <w:rPr>
          <w:sz w:val="20"/>
          <w:szCs w:val="20"/>
        </w:rPr>
        <w:t>38</w:t>
      </w:r>
    </w:p>
    <w:p w:rsidR="00000000" w:rsidRDefault="008325ED">
      <w:pPr>
        <w:rPr>
          <w:rFonts w:eastAsia="Times New Roman"/>
        </w:rPr>
      </w:pPr>
      <w:r>
        <w:rPr>
          <w:rFonts w:eastAsia="Times New Roman"/>
        </w:rPr>
        <w:pict>
          <v:rect id="_x0000_i1064"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Effective January 1, 2021, we are subject to federal and state income taxes on our taxable income at applicable tax rates, and are no longer entitled </w:t>
      </w:r>
      <w:r>
        <w:rPr>
          <w:sz w:val="20"/>
          <w:szCs w:val="20"/>
        </w:rPr>
        <w:t xml:space="preserve">to a tax deduction for dividends paid. However, we believe this conversion will improve our overall credit profile and lower our overall cost of capital, as we will be able to allocate our free cash flow toward the repayment of debt, which may include the </w:t>
      </w:r>
      <w:r>
        <w:rPr>
          <w:sz w:val="20"/>
          <w:szCs w:val="20"/>
        </w:rPr>
        <w:t>purchase of our outstanding debt in open market transactions, privately negotiated transactions or otherwise. Any such debt repurchases will depend upon prevailing market conditions, our liquidity requirements, contractual requirements, applicable securiti</w:t>
      </w:r>
      <w:r>
        <w:rPr>
          <w:sz w:val="20"/>
          <w:szCs w:val="20"/>
        </w:rPr>
        <w:t>es laws requirements, and other factors.  Following our first priority of utilizing free cash flow to reduce debt, we expect to allocate a substantial portion of our free cash flow to returning capital to our shareholders, which could include share repurch</w:t>
      </w:r>
      <w:r>
        <w:rPr>
          <w:sz w:val="20"/>
          <w:szCs w:val="20"/>
        </w:rPr>
        <w:t>ases and future dividends.  Any future dividend is subject to the BOD's determinations as to the amount of distributions and the timing thereof, as well as limitations under the Company's debt covenants.  We were not able to implement a meaningful share re</w:t>
      </w:r>
      <w:r>
        <w:rPr>
          <w:sz w:val="20"/>
          <w:szCs w:val="20"/>
        </w:rPr>
        <w:t>purchase program under the REIT structure without increasing our debt because a substantial portion of our free cash flow was required to satisfy the distribution requirements under the REIT structure. We will also pursue attractive growth opportunities, i</w:t>
      </w:r>
      <w:r>
        <w:rPr>
          <w:sz w:val="20"/>
          <w:szCs w:val="20"/>
        </w:rPr>
        <w:t>ncluding new development opportunities in our Properties segment to meet the need to modernize outdated correctional infrastructure across the country, and evaluate additional opportunities to provide services in our Community segment that have not been av</w:t>
      </w:r>
      <w:r>
        <w:rPr>
          <w:sz w:val="20"/>
          <w:szCs w:val="20"/>
        </w:rPr>
        <w:t>ailable under the REIT structure.  As a REIT, we depended on the capital markets to provide resources we could deploy toward acquisition and development opportunities.  This capital was not always available to us and came at an increasing cost.  The revoca</w:t>
      </w:r>
      <w:r>
        <w:rPr>
          <w:sz w:val="20"/>
          <w:szCs w:val="20"/>
        </w:rPr>
        <w:t>tion of our REIT election provides us with significantly more liquidity and financial flexibility, which will enable us to reduce our reliance on the capital markets and reduce the size of our Bank Credit Facility in the future</w:t>
      </w:r>
      <w:r>
        <w:rPr>
          <w:sz w:val="23"/>
          <w:szCs w:val="23"/>
        </w:rPr>
        <w:t>.  </w:t>
      </w:r>
    </w:p>
    <w:p w:rsidR="00000000" w:rsidRDefault="008325ED">
      <w:pPr>
        <w:pStyle w:val="a3"/>
        <w:spacing w:before="240" w:beforeAutospacing="0" w:after="0" w:afterAutospacing="0"/>
        <w:jc w:val="both"/>
        <w:rPr>
          <w:sz w:val="20"/>
          <w:szCs w:val="20"/>
        </w:rPr>
      </w:pPr>
      <w:r>
        <w:rPr>
          <w:sz w:val="20"/>
          <w:szCs w:val="20"/>
        </w:rPr>
        <w:t>With the extensively aged</w:t>
      </w:r>
      <w:r>
        <w:rPr>
          <w:sz w:val="20"/>
          <w:szCs w:val="20"/>
        </w:rPr>
        <w:t xml:space="preserve"> criminal justice infrastructure in the U.S. today, we believe we can bring real estate solutions to government agencies like we did in connection with the construction of the Lansing Correctional Facility that was brought online in January 2020.  In Febru</w:t>
      </w:r>
      <w:r>
        <w:rPr>
          <w:sz w:val="20"/>
          <w:szCs w:val="20"/>
        </w:rPr>
        <w:t>ary 2021, we entered into two 30-year lease agreements with the Alabama Department of Corrections, or ADOC, for the development of two correctional facilities in Alabama, which was subject to the successful completion of financing we were pursuing on behal</w:t>
      </w:r>
      <w:r>
        <w:rPr>
          <w:sz w:val="20"/>
          <w:szCs w:val="20"/>
        </w:rPr>
        <w:t>f of the state of Alabama.  Pursuant to the terms of the leases, ADOC staff would have operated both facilities, and we would have retained ownership of the facilities and been responsible for facility maintenance throughout the term of the leases.  Subseq</w:t>
      </w:r>
      <w:r>
        <w:rPr>
          <w:sz w:val="20"/>
          <w:szCs w:val="20"/>
        </w:rPr>
        <w:t>uent to quarter-end, we received notice from the state of Alabama of its decision to terminate the leases effective August 6, 2021.  We continue to engage in discussions with ADOC regarding our potential involvement in their pursuit of construction and fin</w:t>
      </w:r>
      <w:r>
        <w:rPr>
          <w:sz w:val="20"/>
          <w:szCs w:val="20"/>
        </w:rPr>
        <w:t>ancing of the facilities.  As a result of the lease terminations, during the third quarter of 2021, we expect to report asset impairment charges of $4.0 million to $6.0 million for pre-development activities, subject to certain vendor negotiations.  </w:t>
      </w:r>
    </w:p>
    <w:p w:rsidR="00000000" w:rsidRDefault="008325ED">
      <w:pPr>
        <w:pStyle w:val="a3"/>
        <w:spacing w:before="240" w:beforeAutospacing="0" w:after="0" w:afterAutospacing="0"/>
        <w:jc w:val="both"/>
        <w:rPr>
          <w:spacing w:val="-2"/>
          <w:sz w:val="20"/>
          <w:szCs w:val="20"/>
        </w:rPr>
      </w:pPr>
      <w:r>
        <w:rPr>
          <w:spacing w:val="-2"/>
          <w:sz w:val="20"/>
          <w:szCs w:val="20"/>
        </w:rPr>
        <w:t>As of</w:t>
      </w:r>
      <w:r>
        <w:rPr>
          <w:spacing w:val="-2"/>
          <w:sz w:val="20"/>
          <w:szCs w:val="20"/>
        </w:rPr>
        <w:t xml:space="preserve"> June 30, 2021, we had cash on hand of $162.9 million, and $674.1 million available under our revolving credit facility.  During the six months ended June 30, 2021 and 2020, we generated $82.3 million and $174.3 million, respectively, in cash through opera</w:t>
      </w:r>
      <w:r>
        <w:rPr>
          <w:spacing w:val="-2"/>
          <w:sz w:val="20"/>
          <w:szCs w:val="20"/>
        </w:rPr>
        <w:t>ting activities.  We currently expect to be able to meet our cash expenditure requirements for the next year utilizing cash on hand and availability under our revolving credit facility. Some banks that are party to our Bank Credit Facility have announced t</w:t>
      </w:r>
      <w:r>
        <w:rPr>
          <w:spacing w:val="-2"/>
          <w:sz w:val="20"/>
          <w:szCs w:val="20"/>
        </w:rPr>
        <w:t>hat they do not expect to continue to provide credit or financial services to private entities that operate correctional and detention facilities, including CoreCivic.  The banks that are currently parties to the Bank Credit Facility are obligated to honor</w:t>
      </w:r>
      <w:r>
        <w:rPr>
          <w:spacing w:val="-2"/>
          <w:sz w:val="20"/>
          <w:szCs w:val="20"/>
        </w:rPr>
        <w:t xml:space="preserve"> their commitments under our Bank Credit Facility, which expires in April 2023.  These decisions have currently affected the capital markets for our securities, and we can provide no assurance that additional banks that are party to our Bank Credit Facilit</w:t>
      </w:r>
      <w:r>
        <w:rPr>
          <w:spacing w:val="-2"/>
          <w:sz w:val="20"/>
          <w:szCs w:val="20"/>
        </w:rPr>
        <w:t>y will not make similar decisions, or that new banks will be willing to become party to our Bank Credit Facility, or that the capital markets for our securities will improve.  As previously mentioned, upon our revocation of our REIT election, we believe we</w:t>
      </w:r>
      <w:r>
        <w:rPr>
          <w:spacing w:val="-2"/>
          <w:sz w:val="20"/>
          <w:szCs w:val="20"/>
        </w:rPr>
        <w:t xml:space="preserve"> will not be as reliant on the revolving credit facility under the Bank Credit Facility, as we will be able to retain our cash flows to use at our general discretion and, therefore, believe we can operate with a smaller revolving credit facility.  Followin</w:t>
      </w:r>
      <w:r>
        <w:rPr>
          <w:spacing w:val="-2"/>
          <w:sz w:val="20"/>
          <w:szCs w:val="20"/>
        </w:rPr>
        <w:t>g the completion of the offering of the 8.25% Senior Notes and redemption of our 5.0% Senior Notes in the second quarter of 2021, we have no debt maturities beyond the Bank Credit Facility until May 2023, when $174.0 million of unsecured notes matures.  We</w:t>
      </w:r>
      <w:r>
        <w:rPr>
          <w:spacing w:val="-2"/>
          <w:sz w:val="20"/>
          <w:szCs w:val="20"/>
        </w:rPr>
        <w:t xml:space="preserve"> currently anticipate that we will have sufficient liquidity to repay these notes upon maturity.   </w:t>
      </w:r>
    </w:p>
    <w:p w:rsidR="00000000" w:rsidRDefault="008325ED">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If the appropriate governmental a</w:t>
      </w:r>
      <w:r>
        <w:rPr>
          <w:sz w:val="20"/>
          <w:szCs w:val="20"/>
        </w:rPr>
        <w:t>gency does not receive sufficient appropriations to cover its contractual obligations, it may terminate our contract or delay or reduce payment to us.  Delays in payment from our major customers or the termination of contracts from our major customers coul</w:t>
      </w:r>
      <w:r>
        <w:rPr>
          <w:sz w:val="20"/>
          <w:szCs w:val="20"/>
        </w:rPr>
        <w:t>d have an adverse effect on our cash flow and financial condition.  Although our revenue has been negatively impacted by COVID-19, we have not experienced any unusual delays in payments from our major customers.</w:t>
      </w:r>
    </w:p>
    <w:p w:rsidR="00000000" w:rsidRDefault="008325ED">
      <w:pPr>
        <w:pStyle w:val="a3"/>
        <w:spacing w:before="360" w:beforeAutospacing="0" w:after="0" w:afterAutospacing="0"/>
        <w:jc w:val="both"/>
        <w:rPr>
          <w:b/>
          <w:bCs/>
          <w:i/>
          <w:iCs/>
          <w:sz w:val="20"/>
          <w:szCs w:val="20"/>
        </w:rPr>
      </w:pPr>
      <w:r>
        <w:rPr>
          <w:b/>
          <w:bCs/>
          <w:i/>
          <w:iCs/>
          <w:sz w:val="20"/>
          <w:szCs w:val="20"/>
        </w:rPr>
        <w:t>Debt and equity</w:t>
      </w:r>
    </w:p>
    <w:p w:rsidR="00000000" w:rsidRDefault="008325ED">
      <w:pPr>
        <w:pStyle w:val="a3"/>
        <w:spacing w:before="240" w:beforeAutospacing="0" w:after="0" w:afterAutospacing="0"/>
        <w:jc w:val="both"/>
        <w:rPr>
          <w:spacing w:val="-2"/>
          <w:sz w:val="20"/>
          <w:szCs w:val="20"/>
        </w:rPr>
      </w:pPr>
      <w:r>
        <w:rPr>
          <w:spacing w:val="-2"/>
          <w:sz w:val="20"/>
          <w:szCs w:val="20"/>
        </w:rPr>
        <w:t xml:space="preserve">As of June 30, 2021, we had </w:t>
      </w:r>
      <w:r>
        <w:rPr>
          <w:spacing w:val="-2"/>
          <w:sz w:val="20"/>
          <w:szCs w:val="20"/>
        </w:rPr>
        <w:t>$174.0 million principal amount of unsecured notes outstanding with a fixed stated interest rate of 4.625%, $250.0 million principal amount of unsecured notes outstanding with a fixed stated interest rate of 4.75%, and $450.0 million principal amount of un</w:t>
      </w:r>
      <w:r>
        <w:rPr>
          <w:spacing w:val="-2"/>
          <w:sz w:val="20"/>
          <w:szCs w:val="20"/>
        </w:rPr>
        <w:t>secured notes outstanding with a fixed stated interest rate of 8.25%, or collectively, the Senior Notes.  In addition, we had $155.9 million outstanding under the Kansas Notes with a fixed stated interest rate of 4.43%, $175.0 million outstanding under our</w:t>
      </w:r>
      <w:r>
        <w:rPr>
          <w:spacing w:val="-2"/>
          <w:sz w:val="20"/>
          <w:szCs w:val="20"/>
        </w:rPr>
        <w:t xml:space="preserve"> Term Loan A with a variable interest rate of 1.6%, $228.1 million outstanding under our Term Loan B with a variable interest rate of 5.5%, and </w:t>
      </w:r>
    </w:p>
    <w:p w:rsidR="00000000" w:rsidRDefault="008325ED">
      <w:pPr>
        <w:pStyle w:val="a3"/>
        <w:spacing w:before="240" w:beforeAutospacing="0" w:after="0" w:afterAutospacing="0"/>
        <w:jc w:val="center"/>
        <w:rPr>
          <w:sz w:val="20"/>
          <w:szCs w:val="20"/>
        </w:rPr>
      </w:pPr>
      <w:r>
        <w:rPr>
          <w:sz w:val="20"/>
          <w:szCs w:val="20"/>
        </w:rPr>
        <w:t>39</w:t>
      </w:r>
    </w:p>
    <w:p w:rsidR="00000000" w:rsidRDefault="008325ED">
      <w:pPr>
        <w:rPr>
          <w:rFonts w:eastAsia="Times New Roman"/>
        </w:rPr>
      </w:pPr>
      <w:r>
        <w:rPr>
          <w:rFonts w:eastAsia="Times New Roman"/>
        </w:rPr>
        <w:pict>
          <v:rect id="_x0000_i1065"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pacing w:val="-2"/>
          <w:sz w:val="20"/>
          <w:szCs w:val="20"/>
        </w:rPr>
      </w:pPr>
      <w:r>
        <w:rPr>
          <w:spacing w:val="-2"/>
          <w:sz w:val="20"/>
          <w:szCs w:val="20"/>
        </w:rPr>
        <w:t xml:space="preserve">$112.0 million outstanding under our revolving credit facility with a </w:t>
      </w:r>
      <w:r>
        <w:rPr>
          <w:spacing w:val="-2"/>
          <w:sz w:val="20"/>
          <w:szCs w:val="20"/>
        </w:rPr>
        <w:t xml:space="preserve">variable weighted average interest rate of 1.6%.  As of June 30, 2021, our total weighted average effective interest rate was 5.7%, while our total weighted average maturity was 5.4 years.   </w:t>
      </w:r>
    </w:p>
    <w:p w:rsidR="00000000" w:rsidRDefault="008325ED">
      <w:pPr>
        <w:pStyle w:val="a3"/>
        <w:spacing w:before="240" w:beforeAutospacing="0" w:after="0" w:afterAutospacing="0"/>
        <w:jc w:val="both"/>
        <w:rPr>
          <w:sz w:val="20"/>
          <w:szCs w:val="20"/>
        </w:rPr>
      </w:pPr>
      <w:r>
        <w:rPr>
          <w:sz w:val="20"/>
          <w:szCs w:val="20"/>
        </w:rPr>
        <w:t>As previously described, on April 14, 2021, we completed an offe</w:t>
      </w:r>
      <w:r>
        <w:rPr>
          <w:sz w:val="20"/>
          <w:szCs w:val="20"/>
        </w:rPr>
        <w:t xml:space="preserve">ring of the 8.25% Senior Notes, resulting in net proceeds of approximately $435.1 million, after deducting the original issuance and underwriting discounts and estimated offering expenses. The 8.25% Senior Notes were offered pursuant to an effective shelf </w:t>
      </w:r>
      <w:r>
        <w:rPr>
          <w:sz w:val="20"/>
          <w:szCs w:val="20"/>
        </w:rPr>
        <w:t>registration statement on Form S-3ASR, which became effective upon filing with the SEC on April 6, 2021.  The 8.25% Senior Notes were priced at 99.0% of face value and as a result have an effective yield to maturity of 8.50%. We used a significant amount o</w:t>
      </w:r>
      <w:r>
        <w:rPr>
          <w:sz w:val="20"/>
          <w:szCs w:val="20"/>
        </w:rPr>
        <w:t>f the net proceeds from the offering of the 8.25% Senior Notes (i) to redeem all of our outstanding 5.0% Senior Notes, including the payment of the applicable "make-whole" redemption amount of $15.5 million and accrued interest, and (ii) to otherwise repay</w:t>
      </w:r>
      <w:r>
        <w:rPr>
          <w:sz w:val="20"/>
          <w:szCs w:val="20"/>
        </w:rPr>
        <w:t xml:space="preserve"> or reduce our other indebtedness, including repurchasing $149.0 million principal amount of our 4.625% Senior Notes at an aggregate purchase price of $151.2 million in privately negotiated transactions, reducing the outstanding balance of the 4.625% Senio</w:t>
      </w:r>
      <w:r>
        <w:rPr>
          <w:sz w:val="20"/>
          <w:szCs w:val="20"/>
        </w:rPr>
        <w:t>r Notes to $201.0 million. On June 21, 2021, we purchased an additional $27.0 million of our 4.625% Senior Notes at par in an open market purchase, further reducing the outstanding balance of the 4.625% Senior Notes to $174.0 million.</w:t>
      </w:r>
    </w:p>
    <w:p w:rsidR="00000000" w:rsidRDefault="008325ED">
      <w:pPr>
        <w:pStyle w:val="a3"/>
        <w:spacing w:before="240" w:beforeAutospacing="0" w:after="0" w:afterAutospacing="0"/>
        <w:jc w:val="both"/>
        <w:rPr>
          <w:sz w:val="20"/>
          <w:szCs w:val="20"/>
        </w:rPr>
      </w:pPr>
      <w:r>
        <w:rPr>
          <w:sz w:val="20"/>
          <w:szCs w:val="20"/>
        </w:rPr>
        <w:t xml:space="preserve">The 2018 acquisition </w:t>
      </w:r>
      <w:r>
        <w:rPr>
          <w:sz w:val="20"/>
          <w:szCs w:val="20"/>
        </w:rPr>
        <w:t>of the Capital Commerce Center located in Tallahassee, Florida was partially financed with the Capital Commerce Note, which was fully-secured by the Capital Commerce property.  The Capital Commerce Note carried a fixed interest rate of 4.5%, required month</w:t>
      </w:r>
      <w:r>
        <w:rPr>
          <w:sz w:val="20"/>
          <w:szCs w:val="20"/>
        </w:rPr>
        <w:t xml:space="preserve">ly principal and interest payments, and was scheduled to mature in January 2033.  The Capital Commerce Note was fully repaid as part of the sale of the Capital Commerce Center on May 28, 2021, as previously described herein. </w:t>
      </w:r>
    </w:p>
    <w:p w:rsidR="00000000" w:rsidRDefault="008325ED">
      <w:pPr>
        <w:pStyle w:val="a3"/>
        <w:spacing w:before="240" w:beforeAutospacing="0" w:after="0" w:afterAutospacing="0"/>
        <w:jc w:val="both"/>
        <w:rPr>
          <w:sz w:val="20"/>
          <w:szCs w:val="20"/>
        </w:rPr>
      </w:pPr>
      <w:r>
        <w:rPr>
          <w:sz w:val="20"/>
          <w:szCs w:val="20"/>
        </w:rPr>
        <w:t>In connection with the acquisi</w:t>
      </w:r>
      <w:r>
        <w:rPr>
          <w:sz w:val="20"/>
          <w:szCs w:val="20"/>
        </w:rPr>
        <w:t>tion of the SSA-Baltimore office building in 2018, a wholly-owned unrestricted subsidiary of ours assumed $157.3 million of in-place financing.  The SSA Baltimore Note carried a fixed interest rate of 4.5% and required monthly principal and interest paymen</w:t>
      </w:r>
      <w:r>
        <w:rPr>
          <w:sz w:val="20"/>
          <w:szCs w:val="20"/>
        </w:rPr>
        <w:t>ts, with a balloon payment of $40.0 million due at maturity in February 2034.  The SSA-Baltimore Note was fully-secured by the SSA-Baltimore property. The SSA-Baltimore Note was fully repaid as part of the sale of the SSA-Baltimore property on June 29, 202</w:t>
      </w:r>
      <w:r>
        <w:rPr>
          <w:sz w:val="20"/>
          <w:szCs w:val="20"/>
        </w:rPr>
        <w:t xml:space="preserve">1. </w:t>
      </w:r>
    </w:p>
    <w:p w:rsidR="00000000" w:rsidRDefault="008325ED">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with multiple sales agents, pursuant to which we may offer and sell to or through the agents, from time to time, shares of our common sto</w:t>
      </w:r>
      <w:r>
        <w:rPr>
          <w:sz w:val="20"/>
          <w:szCs w:val="20"/>
        </w:rPr>
        <w:t xml:space="preserve">ck, par value $0.01 per share, having an aggregate gross sales price of up to $200.0 million. Sales, if any, of our shares of common stock will be made primarily in "at-the-market" offerings, as defined in Rule 415 under the Securities Act.  The shares of </w:t>
      </w:r>
      <w:r>
        <w:rPr>
          <w:sz w:val="20"/>
          <w:szCs w:val="20"/>
        </w:rPr>
        <w:t>common stock may be offered and sold pursuant to our registration statement on Form S-3ASR and a related prospectus supplement, both filed with the SEC on August 28, 2018.  We intend to use substantially all of the net proceeds from any sale of shares of o</w:t>
      </w:r>
      <w:r>
        <w:rPr>
          <w:sz w:val="20"/>
          <w:szCs w:val="20"/>
        </w:rPr>
        <w:t>ur common stock to repay outstanding borrowings or for working capital and other general corporate purposes, which may include investments.  There were no shares of our common stock sold under the ATM Agreement during the first six months of 2021 or the ye</w:t>
      </w:r>
      <w:r>
        <w:rPr>
          <w:sz w:val="20"/>
          <w:szCs w:val="20"/>
        </w:rPr>
        <w:t>ar ended December 31, 2020.  </w:t>
      </w:r>
    </w:p>
    <w:p w:rsidR="00000000" w:rsidRDefault="008325ED">
      <w:pPr>
        <w:pStyle w:val="a3"/>
        <w:spacing w:before="360" w:beforeAutospacing="0" w:after="0" w:afterAutospacing="0"/>
        <w:jc w:val="both"/>
        <w:rPr>
          <w:b/>
          <w:bCs/>
          <w:i/>
          <w:iCs/>
          <w:sz w:val="20"/>
          <w:szCs w:val="20"/>
        </w:rPr>
      </w:pPr>
      <w:r>
        <w:rPr>
          <w:b/>
          <w:bCs/>
          <w:i/>
          <w:iCs/>
          <w:sz w:val="20"/>
          <w:szCs w:val="20"/>
        </w:rPr>
        <w:t>Facility transactions, development, and capital expenditures</w:t>
      </w:r>
    </w:p>
    <w:p w:rsidR="00000000" w:rsidRDefault="008325ED">
      <w:pPr>
        <w:pStyle w:val="a3"/>
        <w:spacing w:before="240" w:beforeAutospacing="0" w:after="0" w:afterAutospacing="0"/>
        <w:jc w:val="both"/>
        <w:rPr>
          <w:sz w:val="20"/>
          <w:szCs w:val="20"/>
        </w:rPr>
      </w:pPr>
      <w:r>
        <w:rPr>
          <w:sz w:val="20"/>
          <w:szCs w:val="20"/>
        </w:rPr>
        <w:t>On December 23, 2020, we completed the sale of 42 non-core government-leased properties in a single transaction to a third party for an aggregate price of $106.5 mil</w:t>
      </w:r>
      <w:r>
        <w:rPr>
          <w:sz w:val="20"/>
          <w:szCs w:val="20"/>
        </w:rPr>
        <w:t>lion, generating net proceeds of $27.8 million after the repayment of the GRES Note, which was associated with some of the properties, and other transaction-related costs.  Net cash proceeds were used to pay down our revolving credit facility.</w:t>
      </w:r>
    </w:p>
    <w:p w:rsidR="00000000" w:rsidRDefault="008325ED">
      <w:pPr>
        <w:pStyle w:val="a3"/>
        <w:spacing w:before="240" w:beforeAutospacing="0" w:after="0" w:afterAutospacing="0"/>
        <w:jc w:val="both"/>
        <w:rPr>
          <w:sz w:val="20"/>
          <w:szCs w:val="20"/>
        </w:rPr>
      </w:pPr>
      <w:r>
        <w:rPr>
          <w:sz w:val="20"/>
          <w:szCs w:val="20"/>
        </w:rPr>
        <w:t>As previousl</w:t>
      </w:r>
      <w:r>
        <w:rPr>
          <w:sz w:val="20"/>
          <w:szCs w:val="20"/>
        </w:rPr>
        <w:t xml:space="preserve">y described, during the second quarter of 2021 and in two separate transactions, we completed the sales of an additional three non-core actively leased properties to third parties for an aggregate price of $326.0 million, generating net proceeds of $122.6 </w:t>
      </w:r>
      <w:r>
        <w:rPr>
          <w:sz w:val="20"/>
          <w:szCs w:val="20"/>
        </w:rPr>
        <w:t>million after the repayments of the Capital Commerce Note and the SSA-Baltimore Note, and other transaction-related costs. These assets were previously classified as held for sale. With the successful consummation of the sale of these assets, combined with</w:t>
      </w:r>
      <w:r>
        <w:rPr>
          <w:sz w:val="20"/>
          <w:szCs w:val="20"/>
        </w:rPr>
        <w:t xml:space="preserve"> the </w:t>
      </w:r>
      <w:r>
        <w:rPr>
          <w:color w:val="000000"/>
          <w:sz w:val="20"/>
          <w:szCs w:val="20"/>
        </w:rPr>
        <w:t>sale of the portfolio of 42 properties completed in the fourth quarter of 2020, we generated net proceeds from our sales of these 45 non-core assets of $150.4 million</w:t>
      </w:r>
      <w:r>
        <w:rPr>
          <w:sz w:val="20"/>
          <w:szCs w:val="20"/>
        </w:rPr>
        <w:t>.  We used the net proceeds from these property sales to pay down debt.  </w:t>
      </w:r>
    </w:p>
    <w:p w:rsidR="00000000" w:rsidRDefault="008325ED">
      <w:pPr>
        <w:pStyle w:val="a3"/>
        <w:spacing w:before="240" w:beforeAutospacing="0" w:after="0" w:afterAutospacing="0"/>
        <w:jc w:val="both"/>
        <w:rPr>
          <w:sz w:val="20"/>
          <w:szCs w:val="20"/>
        </w:rPr>
      </w:pPr>
      <w:r>
        <w:rPr>
          <w:sz w:val="20"/>
          <w:szCs w:val="20"/>
        </w:rPr>
        <w:t>Although disrupted by the COVID-19 pandemic, several of our existing federal and state partners, as well as prospective state partners, had been experiencing growth in offender populations and overcrowded conditions.  Governments are now assessing their ne</w:t>
      </w:r>
      <w:r>
        <w:rPr>
          <w:sz w:val="20"/>
          <w:szCs w:val="20"/>
        </w:rPr>
        <w:t>ed for correctional space in light of COVID-19, and several are considering alternative correctional capacity for their aged or inefficient infrastructure, or are seeking cost savings by utilizing the private sector.  Competing budget priorities, which wil</w:t>
      </w:r>
      <w:r>
        <w:rPr>
          <w:sz w:val="20"/>
          <w:szCs w:val="20"/>
        </w:rPr>
        <w:t>l likely become more challenging because of COVID-19, often impede our customers' ability to construct new prison beds of their own or update older facilities, which we believe could result in further need for private sector prison capacity solutions in th</w:t>
      </w:r>
      <w:r>
        <w:rPr>
          <w:sz w:val="20"/>
          <w:szCs w:val="20"/>
        </w:rPr>
        <w:t>e long-term. Over the long-term, we would like to see meaningful utilization of our available capacity and better visibility from our customers into their potential future needs before we develop new prison capacity on a speculative basis. We will, however</w:t>
      </w:r>
      <w:r>
        <w:rPr>
          <w:sz w:val="20"/>
          <w:szCs w:val="20"/>
        </w:rPr>
        <w:t>, respond to customer demand and may develop or expand correctional and detention facilities when we believe potential long-term returns justify the capital deployment.</w:t>
      </w:r>
      <w:r>
        <w:rPr>
          <w:b/>
          <w:bCs/>
          <w:sz w:val="20"/>
          <w:szCs w:val="20"/>
        </w:rPr>
        <w:t>  </w:t>
      </w:r>
      <w:r>
        <w:rPr>
          <w:sz w:val="20"/>
          <w:szCs w:val="20"/>
        </w:rPr>
        <w:t>  </w:t>
      </w:r>
    </w:p>
    <w:p w:rsidR="00000000" w:rsidRDefault="008325ED">
      <w:pPr>
        <w:pStyle w:val="a3"/>
        <w:spacing w:before="240" w:beforeAutospacing="0" w:after="0" w:afterAutospacing="0"/>
        <w:jc w:val="center"/>
        <w:rPr>
          <w:sz w:val="20"/>
          <w:szCs w:val="20"/>
        </w:rPr>
      </w:pPr>
      <w:r>
        <w:rPr>
          <w:sz w:val="20"/>
          <w:szCs w:val="20"/>
        </w:rPr>
        <w:t>40</w:t>
      </w:r>
    </w:p>
    <w:p w:rsidR="00000000" w:rsidRDefault="008325ED">
      <w:pPr>
        <w:rPr>
          <w:rFonts w:eastAsia="Times New Roman"/>
        </w:rPr>
      </w:pPr>
      <w:r>
        <w:rPr>
          <w:rFonts w:eastAsia="Times New Roman"/>
        </w:rPr>
        <w:pict>
          <v:rect id="_x0000_i1066"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360" w:beforeAutospacing="0" w:after="0" w:afterAutospacing="0"/>
        <w:jc w:val="both"/>
        <w:rPr>
          <w:b/>
          <w:bCs/>
          <w:sz w:val="20"/>
          <w:szCs w:val="20"/>
        </w:rPr>
      </w:pPr>
      <w:r>
        <w:rPr>
          <w:b/>
          <w:bCs/>
          <w:sz w:val="20"/>
          <w:szCs w:val="20"/>
        </w:rPr>
        <w:t>Operating Activities</w:t>
      </w:r>
    </w:p>
    <w:p w:rsidR="00000000" w:rsidRDefault="008325ED">
      <w:pPr>
        <w:pStyle w:val="a3"/>
        <w:spacing w:before="120" w:beforeAutospacing="0" w:after="0" w:afterAutospacing="0"/>
        <w:jc w:val="both"/>
        <w:rPr>
          <w:sz w:val="20"/>
          <w:szCs w:val="20"/>
        </w:rPr>
      </w:pPr>
      <w:r>
        <w:rPr>
          <w:sz w:val="20"/>
          <w:szCs w:val="20"/>
        </w:rPr>
        <w:t>Our net cash provided</w:t>
      </w:r>
      <w:r>
        <w:rPr>
          <w:sz w:val="20"/>
          <w:szCs w:val="20"/>
        </w:rPr>
        <w:t xml:space="preserve"> by operating activities for the six months ended June 30, 2021 was $82.3 million, compared with $174.3 million for the same period in the prior year.  Cash provided by operating activities declined by $91.9 million primarily due to changes in working capi</w:t>
      </w:r>
      <w:r>
        <w:rPr>
          <w:sz w:val="20"/>
          <w:szCs w:val="20"/>
        </w:rPr>
        <w:t>tal, including the payment of our shareholder litigation settlement of $56.0 million.</w:t>
      </w:r>
    </w:p>
    <w:p w:rsidR="00000000" w:rsidRDefault="008325ED">
      <w:pPr>
        <w:pStyle w:val="a3"/>
        <w:spacing w:before="360" w:beforeAutospacing="0" w:after="0" w:afterAutospacing="0"/>
        <w:jc w:val="both"/>
        <w:rPr>
          <w:b/>
          <w:bCs/>
          <w:sz w:val="20"/>
          <w:szCs w:val="20"/>
        </w:rPr>
      </w:pPr>
      <w:r>
        <w:rPr>
          <w:b/>
          <w:bCs/>
          <w:sz w:val="20"/>
          <w:szCs w:val="20"/>
        </w:rPr>
        <w:t>Investing Activities</w:t>
      </w:r>
    </w:p>
    <w:p w:rsidR="00000000" w:rsidRDefault="008325ED">
      <w:pPr>
        <w:pStyle w:val="a3"/>
        <w:spacing w:before="120" w:beforeAutospacing="0" w:after="0" w:afterAutospacing="0"/>
        <w:jc w:val="both"/>
        <w:rPr>
          <w:sz w:val="20"/>
          <w:szCs w:val="20"/>
        </w:rPr>
      </w:pPr>
      <w:r>
        <w:rPr>
          <w:sz w:val="20"/>
          <w:szCs w:val="20"/>
        </w:rPr>
        <w:t>Our net cash flow provided by investing activities was $286.6 million for the six months ended June 30, 2021 and was primarily attributable to $320.7</w:t>
      </w:r>
      <w:r>
        <w:rPr>
          <w:sz w:val="20"/>
          <w:szCs w:val="20"/>
        </w:rPr>
        <w:t xml:space="preserve"> million in net proceeds from the sale of assets, partially offset by capital expenditures for facility development and expansions of $8.7 million and $24.7 million for facility maintenance and information technology capital expenditures.  Our net cash flo</w:t>
      </w:r>
      <w:r>
        <w:rPr>
          <w:sz w:val="20"/>
          <w:szCs w:val="20"/>
        </w:rPr>
        <w:t>w used in investing activities was $50.8 million for the six months ended June 30, 2020 and was attributable to capital expenditures for facility development and expansions of $23.5 million and $18.5 million for facility maintenance and information technol</w:t>
      </w:r>
      <w:r>
        <w:rPr>
          <w:sz w:val="20"/>
          <w:szCs w:val="20"/>
        </w:rPr>
        <w:t xml:space="preserve">ogy capital expenditures.  Our cash flow used in investing activities for the six months ended June 30, 2020 also included $8.8 million primarily attributable to the acquisition of the aforementioned portfolio of 28 properties in January 2020.     </w:t>
      </w:r>
    </w:p>
    <w:p w:rsidR="00000000" w:rsidRDefault="008325ED">
      <w:pPr>
        <w:pStyle w:val="a3"/>
        <w:spacing w:before="360" w:beforeAutospacing="0" w:after="0" w:afterAutospacing="0"/>
        <w:jc w:val="both"/>
        <w:rPr>
          <w:b/>
          <w:bCs/>
          <w:sz w:val="20"/>
          <w:szCs w:val="20"/>
        </w:rPr>
      </w:pPr>
      <w:r>
        <w:rPr>
          <w:b/>
          <w:bCs/>
          <w:sz w:val="20"/>
          <w:szCs w:val="20"/>
        </w:rPr>
        <w:t>Financi</w:t>
      </w:r>
      <w:r>
        <w:rPr>
          <w:b/>
          <w:bCs/>
          <w:sz w:val="20"/>
          <w:szCs w:val="20"/>
        </w:rPr>
        <w:t>ng Activities</w:t>
      </w:r>
    </w:p>
    <w:p w:rsidR="00000000" w:rsidRDefault="008325ED">
      <w:pPr>
        <w:pStyle w:val="a3"/>
        <w:spacing w:before="120" w:beforeAutospacing="0" w:after="0" w:afterAutospacing="0"/>
        <w:jc w:val="both"/>
        <w:rPr>
          <w:sz w:val="20"/>
          <w:szCs w:val="20"/>
        </w:rPr>
      </w:pPr>
      <w:r>
        <w:rPr>
          <w:sz w:val="20"/>
          <w:szCs w:val="20"/>
        </w:rPr>
        <w:t xml:space="preserve">Our net cash flow used in financing activities was $333.9 million for the six months ended June 30, 2021 and was primarily attributable to net repayments under our revolving credit facility of $107.0 million.   In addition, cash flow used in </w:t>
      </w:r>
      <w:r>
        <w:rPr>
          <w:sz w:val="20"/>
          <w:szCs w:val="20"/>
        </w:rPr>
        <w:t xml:space="preserve">financing activities included $19.5 million of scheduled principal repayments under our Term Loan A, Term Loan B, and non-recourse mortgage notes, as well as $426.0 million for the aforementioned repayment of senior notes, $161.9 million for the repayment </w:t>
      </w:r>
      <w:r>
        <w:rPr>
          <w:sz w:val="20"/>
          <w:szCs w:val="20"/>
        </w:rPr>
        <w:t xml:space="preserve">of non-recourse mortgage notes in connection with the aforementioned sale of assets, and $60.4 million for debt defeasance, issuance, and other refinancing and related costs.  Cash flow used in financing activities also included $1.0 million of contingent </w:t>
      </w:r>
      <w:r>
        <w:rPr>
          <w:sz w:val="20"/>
          <w:szCs w:val="20"/>
        </w:rPr>
        <w:t xml:space="preserve">consideration associated with the acquisition of a business acquired in 2019 and $1.6 million for the purchase and retirement of common stock that was issued in connection with equity-based compensation.  These payments were partially offset by the $445.5 </w:t>
      </w:r>
      <w:r>
        <w:rPr>
          <w:sz w:val="20"/>
          <w:szCs w:val="20"/>
        </w:rPr>
        <w:t>million of proceeds from the aforementioned issuance of the 8.25% Senior Notes that were issued at 99.0% of face value.</w:t>
      </w:r>
    </w:p>
    <w:p w:rsidR="00000000" w:rsidRDefault="008325ED">
      <w:pPr>
        <w:pStyle w:val="a3"/>
        <w:spacing w:before="240" w:beforeAutospacing="0" w:after="0" w:afterAutospacing="0"/>
        <w:jc w:val="both"/>
        <w:rPr>
          <w:sz w:val="20"/>
          <w:szCs w:val="20"/>
        </w:rPr>
      </w:pPr>
      <w:r>
        <w:rPr>
          <w:sz w:val="20"/>
          <w:szCs w:val="20"/>
        </w:rPr>
        <w:t>Our net cash flow provided by financing activities was $140.2 million for the six months ended June 30, 2020 and was primarily attributa</w:t>
      </w:r>
      <w:r>
        <w:rPr>
          <w:sz w:val="20"/>
          <w:szCs w:val="20"/>
        </w:rPr>
        <w:t>ble to net borrowings under our revolving credit facility of $266.0 million, partially offset by dividend payments of $106.0 million and $3.6 million for the purchase and retirement of common stock that was issued in connection with equity-based compensati</w:t>
      </w:r>
      <w:r>
        <w:rPr>
          <w:sz w:val="20"/>
          <w:szCs w:val="20"/>
        </w:rPr>
        <w:t>on.  In addition, cash flow used in financing activities included $15.1 million of scheduled principal repayments under our Term Loan A, Term Loan B, and non-recourse mortgage notes.</w:t>
      </w:r>
    </w:p>
    <w:p w:rsidR="00000000" w:rsidRDefault="008325ED">
      <w:pPr>
        <w:pStyle w:val="a3"/>
        <w:spacing w:before="240" w:beforeAutospacing="0" w:after="0" w:afterAutospacing="0"/>
        <w:jc w:val="both"/>
        <w:rPr>
          <w:b/>
          <w:bCs/>
          <w:sz w:val="20"/>
          <w:szCs w:val="20"/>
        </w:rPr>
      </w:pPr>
      <w:r>
        <w:rPr>
          <w:b/>
          <w:bCs/>
          <w:sz w:val="20"/>
          <w:szCs w:val="20"/>
        </w:rPr>
        <w:t>Supplemental Guarantor Information</w:t>
      </w:r>
    </w:p>
    <w:p w:rsidR="00000000" w:rsidRDefault="008325ED">
      <w:pPr>
        <w:pStyle w:val="a3"/>
        <w:spacing w:before="120" w:beforeAutospacing="0" w:after="0" w:afterAutospacing="0"/>
        <w:jc w:val="both"/>
        <w:rPr>
          <w:sz w:val="20"/>
          <w:szCs w:val="20"/>
        </w:rPr>
      </w:pPr>
      <w:r>
        <w:rPr>
          <w:sz w:val="20"/>
          <w:szCs w:val="20"/>
        </w:rPr>
        <w:t>On March 2, 2020, the SEC adopted fina</w:t>
      </w:r>
      <w:r>
        <w:rPr>
          <w:sz w:val="20"/>
          <w:szCs w:val="20"/>
        </w:rPr>
        <w:t>l rules that amend and simplify the financial disclosure requirements for subsidiary issuers and guarantors of registered debt securities under Rules 3-10 and 3-16 of SEC Regulation S-X.  The new rules permit registrants to provide certain alternative fina</w:t>
      </w:r>
      <w:r>
        <w:rPr>
          <w:sz w:val="20"/>
          <w:szCs w:val="20"/>
        </w:rPr>
        <w:t>ncial disclosures and non-financial disclosures in lieu of separate consolidating financial statements for subsidiary issuers and guarantors of registered debt securities (which we previously included within the notes to our financial statements included i</w:t>
      </w:r>
      <w:r>
        <w:rPr>
          <w:sz w:val="20"/>
          <w:szCs w:val="20"/>
        </w:rPr>
        <w:t>n our Annual Reports on Form 10-K and Quarterly Reports on Form 10-Q) if certain conditions are met. Although the disclosures required by the amendments did not become mandatory until January 4, 2021, voluntary early compliance was permitted.  We elected t</w:t>
      </w:r>
      <w:r>
        <w:rPr>
          <w:sz w:val="20"/>
          <w:szCs w:val="20"/>
        </w:rPr>
        <w:t>o voluntarily comply beginning with the quarterly period ended June 30, 2020.</w:t>
      </w:r>
    </w:p>
    <w:p w:rsidR="00000000" w:rsidRDefault="008325ED">
      <w:pPr>
        <w:pStyle w:val="a3"/>
        <w:spacing w:before="240" w:beforeAutospacing="0" w:after="0" w:afterAutospacing="0"/>
        <w:jc w:val="both"/>
        <w:rPr>
          <w:sz w:val="20"/>
          <w:szCs w:val="20"/>
        </w:rPr>
      </w:pPr>
      <w:r>
        <w:rPr>
          <w:sz w:val="20"/>
          <w:szCs w:val="20"/>
        </w:rPr>
        <w:t>All of the domestic subsidiaries of CoreCivic (as the parent corporation) that guarantee the Credit Agreements have provided full and unconditional guarantees of the Senior Notes</w:t>
      </w:r>
      <w:r>
        <w:rPr>
          <w:sz w:val="20"/>
          <w:szCs w:val="20"/>
        </w:rPr>
        <w:t xml:space="preserve">.  All of CoreCivic's subsidiaries guaranteeing the Senior Notes are 100% owned direct or indirect subsidiaries of CoreCivic; and the subsidiary guarantees are full and unconditional and are joint and several obligations of the guarantors. </w:t>
      </w:r>
    </w:p>
    <w:p w:rsidR="00000000" w:rsidRDefault="008325ED">
      <w:pPr>
        <w:pStyle w:val="a3"/>
        <w:spacing w:before="240" w:beforeAutospacing="0" w:after="0" w:afterAutospacing="0"/>
        <w:jc w:val="both"/>
        <w:rPr>
          <w:sz w:val="20"/>
          <w:szCs w:val="20"/>
        </w:rPr>
      </w:pPr>
      <w:r>
        <w:rPr>
          <w:sz w:val="20"/>
          <w:szCs w:val="20"/>
        </w:rPr>
        <w:t xml:space="preserve">As of June 30, </w:t>
      </w:r>
      <w:r>
        <w:rPr>
          <w:sz w:val="20"/>
          <w:szCs w:val="20"/>
        </w:rPr>
        <w:t>2021, neither CoreCivic nor any of its subsidiary guarantors had any material or significant restrictions on CoreCivic's ability to obtain funds from its subsidiaries by dividend or loan or to transfer assets from such subsidiaries.</w:t>
      </w:r>
    </w:p>
    <w:p w:rsidR="00000000" w:rsidRDefault="008325ED">
      <w:pPr>
        <w:pStyle w:val="a3"/>
        <w:spacing w:before="120" w:beforeAutospacing="0" w:after="0" w:afterAutospacing="0"/>
        <w:jc w:val="both"/>
        <w:rPr>
          <w:sz w:val="20"/>
          <w:szCs w:val="20"/>
        </w:rPr>
      </w:pPr>
      <w:r>
        <w:rPr>
          <w:sz w:val="20"/>
          <w:szCs w:val="20"/>
        </w:rPr>
        <w:t>The indentures governin</w:t>
      </w:r>
      <w:r>
        <w:rPr>
          <w:sz w:val="20"/>
          <w:szCs w:val="20"/>
        </w:rPr>
        <w:t>g our Senior Notes contain certain customary covenants that, subject to certain exceptions and qualifications, restrict CoreCivic's ability to, among other things, create or permit to exist certain liens and consolidate, merge or transfer all or substantia</w:t>
      </w:r>
      <w:r>
        <w:rPr>
          <w:sz w:val="20"/>
          <w:szCs w:val="20"/>
        </w:rPr>
        <w:t>lly all of CoreCivic's assets.  In addition, if CoreCivic experiences specific kinds of changes in control, CoreCivic must offer to repurchase all or a portion of the Senior Notes.  The offer price for the Senior Notes in connection with a change in contro</w:t>
      </w:r>
      <w:r>
        <w:rPr>
          <w:sz w:val="20"/>
          <w:szCs w:val="20"/>
        </w:rPr>
        <w:t xml:space="preserve">l would be 101% of the aggregate principal amount of the notes repurchased plus accrued and unpaid interest and liquidated damages, if any, on the notes repurchased to the date of purchase.   </w:t>
      </w:r>
    </w:p>
    <w:p w:rsidR="00000000" w:rsidRDefault="008325ED">
      <w:pPr>
        <w:pStyle w:val="a3"/>
        <w:spacing w:before="240" w:beforeAutospacing="0" w:after="0" w:afterAutospacing="0"/>
        <w:jc w:val="center"/>
        <w:rPr>
          <w:sz w:val="20"/>
          <w:szCs w:val="20"/>
        </w:rPr>
      </w:pPr>
      <w:r>
        <w:rPr>
          <w:sz w:val="20"/>
          <w:szCs w:val="20"/>
        </w:rPr>
        <w:t>41</w:t>
      </w:r>
    </w:p>
    <w:p w:rsidR="00000000" w:rsidRDefault="008325ED">
      <w:pPr>
        <w:rPr>
          <w:rFonts w:eastAsia="Times New Roman"/>
        </w:rPr>
      </w:pPr>
      <w:r>
        <w:rPr>
          <w:rFonts w:eastAsia="Times New Roman"/>
        </w:rPr>
        <w:pict>
          <v:rect id="_x0000_i1067"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120" w:beforeAutospacing="0" w:after="0" w:afterAutospacing="0"/>
        <w:jc w:val="both"/>
        <w:rPr>
          <w:sz w:val="20"/>
          <w:szCs w:val="20"/>
        </w:rPr>
      </w:pPr>
      <w:r>
        <w:rPr>
          <w:sz w:val="20"/>
          <w:szCs w:val="20"/>
        </w:rPr>
        <w:t>The following tables p</w:t>
      </w:r>
      <w:r>
        <w:rPr>
          <w:sz w:val="20"/>
          <w:szCs w:val="20"/>
        </w:rPr>
        <w:t>resent summarized information for CoreCivic and the subsidiary guarantors, on a combined basis after elimination of (i) intercompany transactions and balances among CoreCivic and the subsidiary guarantors and (ii) equity in earnings from, and any investmen</w:t>
      </w:r>
      <w:r>
        <w:rPr>
          <w:sz w:val="20"/>
          <w:szCs w:val="20"/>
        </w:rPr>
        <w:t>ts in, any subsidiary that is a non-guarantor (in thousands).  </w:t>
      </w:r>
    </w:p>
    <w:p w:rsidR="00000000" w:rsidRDefault="008325ED">
      <w:pPr>
        <w:pStyle w:val="a3"/>
        <w:spacing w:before="12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14"/>
        <w:gridCol w:w="65"/>
        <w:gridCol w:w="115"/>
        <w:gridCol w:w="857"/>
        <w:gridCol w:w="65"/>
        <w:gridCol w:w="65"/>
        <w:gridCol w:w="116"/>
        <w:gridCol w:w="1213"/>
        <w:gridCol w:w="65"/>
      </w:tblGrid>
      <w:tr w:rsidR="00000000">
        <w:trPr>
          <w:divId w:val="1164786243"/>
        </w:trPr>
        <w:tc>
          <w:tcPr>
            <w:tcW w:w="335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June 30, 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164786243"/>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380,320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469,331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Real estate and related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2,535,098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2,572,112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Other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245,136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266,126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non-current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2,780,234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2,838,238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214,503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188,023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Long-term debt, net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1,329,432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1,457,913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   Other liabilities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317,071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234,806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164786243"/>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long-term liabilities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1,646,503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1,692,719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360" w:beforeAutospacing="0" w:after="0" w:afterAutospacing="0"/>
        <w:jc w:val="both"/>
        <w:rPr>
          <w:b/>
          <w:bCs/>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941"/>
        <w:gridCol w:w="101"/>
        <w:gridCol w:w="115"/>
        <w:gridCol w:w="933"/>
        <w:gridCol w:w="82"/>
        <w:gridCol w:w="102"/>
        <w:gridCol w:w="115"/>
        <w:gridCol w:w="1021"/>
        <w:gridCol w:w="65"/>
      </w:tblGrid>
      <w:tr w:rsidR="00000000">
        <w:trPr>
          <w:divId w:val="699166020"/>
        </w:trPr>
        <w:tc>
          <w:tcPr>
            <w:tcW w:w="331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6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w:t>
            </w:r>
          </w:p>
          <w:p w:rsidR="00000000" w:rsidRDefault="008325E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 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Twelve</w:t>
            </w:r>
          </w:p>
          <w:p w:rsidR="00000000" w:rsidRDefault="008325ED">
            <w:pPr>
              <w:pStyle w:val="a3"/>
              <w:spacing w:before="0" w:beforeAutospacing="0" w:after="0" w:afterAutospacing="0"/>
              <w:jc w:val="center"/>
              <w:rPr>
                <w:b/>
                <w:bCs/>
                <w:color w:val="000000"/>
                <w:sz w:val="16"/>
                <w:szCs w:val="16"/>
              </w:rPr>
            </w:pPr>
            <w:r>
              <w:rPr>
                <w:b/>
                <w:bCs/>
                <w:color w:val="000000"/>
                <w:sz w:val="16"/>
                <w:szCs w:val="16"/>
              </w:rPr>
              <w:t>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December 31, 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699166020"/>
        </w:trPr>
        <w:tc>
          <w:tcPr>
            <w:tcW w:w="331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Revenues</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905,860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9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1,869,689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Operating expenses</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661,223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1,393,795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Other expenses</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187,940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323,788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Total expenses</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849,163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1,717,583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Income (loss) before income taxes</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(13,875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85,083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income (loss)</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(133,925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8"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83,783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699166020"/>
        </w:trPr>
        <w:tc>
          <w:tcPr>
            <w:tcW w:w="3315"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income (loss) attributable to common stockholders</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35"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(133,925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8"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92"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83,783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360" w:beforeAutospacing="0" w:after="0" w:afterAutospacing="0"/>
        <w:jc w:val="both"/>
        <w:rPr>
          <w:b/>
          <w:bCs/>
          <w:sz w:val="20"/>
          <w:szCs w:val="20"/>
        </w:rPr>
      </w:pPr>
      <w:r>
        <w:rPr>
          <w:b/>
          <w:bCs/>
          <w:sz w:val="20"/>
          <w:szCs w:val="20"/>
        </w:rPr>
        <w:t>Funds from Operations</w:t>
      </w:r>
    </w:p>
    <w:p w:rsidR="00000000" w:rsidRDefault="008325ED">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estate companies. The National Association of Real Estate Investment Trusts, or NAREIT, defines FFO as net income compu</w:t>
      </w:r>
      <w:r>
        <w:rPr>
          <w:sz w:val="20"/>
          <w:szCs w:val="20"/>
        </w:rPr>
        <w:t>ted in accordance with GAAP, excluding gains or losses from sales of property and extraordinary items, plus depreciation and amortization of real estate and impairment of depreciable real estate and after adjustments for unconsolidated partnerships and joi</w:t>
      </w:r>
      <w:r>
        <w:rPr>
          <w:sz w:val="20"/>
          <w:szCs w:val="20"/>
        </w:rPr>
        <w:t>nt ventures calculated to reflect funds from operations on the same basis.  We believe FFO is an important supplemental measure of our operating performance and believe it is frequently used by securities analysts, investors and other interested parties in</w:t>
      </w:r>
      <w:r>
        <w:rPr>
          <w:sz w:val="20"/>
          <w:szCs w:val="20"/>
        </w:rPr>
        <w:t xml:space="preserve"> the evaluation of REITs and other real estate operating companies, many of which present FFO when reporting results. </w:t>
      </w:r>
    </w:p>
    <w:p w:rsidR="00000000" w:rsidRDefault="008325ED">
      <w:pPr>
        <w:pStyle w:val="a3"/>
        <w:spacing w:before="240" w:beforeAutospacing="0" w:after="0" w:afterAutospacing="0"/>
        <w:jc w:val="both"/>
        <w:rPr>
          <w:spacing w:val="-2"/>
          <w:sz w:val="20"/>
          <w:szCs w:val="20"/>
        </w:rPr>
      </w:pPr>
      <w:r>
        <w:rPr>
          <w:spacing w:val="-2"/>
          <w:sz w:val="20"/>
          <w:szCs w:val="20"/>
        </w:rPr>
        <w:t>We also present Normalized FFO as an additional supplemental measure as we believe it is more reflective of our core operating performanc</w:t>
      </w:r>
      <w:r>
        <w:rPr>
          <w:spacing w:val="-2"/>
          <w:sz w:val="20"/>
          <w:szCs w:val="20"/>
        </w:rPr>
        <w:t>e. We may make adjustments to FFO from time to time for certain other income and expenses that we consider non-recurring, infrequent or unusual, even though such items may require cash settlement, because such items do not reflect a necessary or ordinary c</w:t>
      </w:r>
      <w:r>
        <w:rPr>
          <w:spacing w:val="-2"/>
          <w:sz w:val="20"/>
          <w:szCs w:val="20"/>
        </w:rPr>
        <w:t xml:space="preserve">omponent of our ongoing operations.  Even though expenses associated with mergers and acquisitions may be recurring, the magnitude and timing fluctuate based on the timing and scope of mergers and acquisitions activity, and therefore, such expenses, which </w:t>
      </w:r>
      <w:r>
        <w:rPr>
          <w:spacing w:val="-2"/>
          <w:sz w:val="20"/>
          <w:szCs w:val="20"/>
        </w:rPr>
        <w:t>are not a necessary component of our ongoing operations, may not be comparable from period to period.  Normalized FFO excludes the effects of such items.</w:t>
      </w:r>
    </w:p>
    <w:p w:rsidR="00000000" w:rsidRDefault="008325ED">
      <w:pPr>
        <w:pStyle w:val="a3"/>
        <w:spacing w:before="120" w:beforeAutospacing="0" w:after="0" w:afterAutospacing="0"/>
        <w:jc w:val="both"/>
        <w:rPr>
          <w:sz w:val="20"/>
          <w:szCs w:val="20"/>
        </w:rPr>
      </w:pPr>
      <w:r>
        <w:rPr>
          <w:sz w:val="20"/>
          <w:szCs w:val="20"/>
        </w:rPr>
        <w:t>FFO and Normalized FFO are supplemental non-GAAP financial measures of real estate companies' operatin</w:t>
      </w:r>
      <w:r>
        <w:rPr>
          <w:sz w:val="20"/>
          <w:szCs w:val="20"/>
        </w:rPr>
        <w:t>g performance, which do not represent cash generated from operating activities in accordance with GAAP and therefore should not be considered an alternative for net income or as a measure of liquidity. Our method of calculating FFO and Normalized FFO may b</w:t>
      </w:r>
      <w:r>
        <w:rPr>
          <w:sz w:val="20"/>
          <w:szCs w:val="20"/>
        </w:rPr>
        <w:t>e different from methods used by other REITs and real estate operating companies and, accordingly, may not be comparable to such REITs and other real estate operating companies.</w:t>
      </w:r>
    </w:p>
    <w:p w:rsidR="00000000" w:rsidRDefault="008325ED">
      <w:pPr>
        <w:pStyle w:val="a3"/>
        <w:spacing w:before="240" w:beforeAutospacing="0" w:after="0" w:afterAutospacing="0"/>
        <w:jc w:val="center"/>
        <w:rPr>
          <w:sz w:val="20"/>
          <w:szCs w:val="20"/>
        </w:rPr>
      </w:pPr>
      <w:r>
        <w:rPr>
          <w:sz w:val="20"/>
          <w:szCs w:val="20"/>
        </w:rPr>
        <w:t>42</w:t>
      </w:r>
    </w:p>
    <w:p w:rsidR="00000000" w:rsidRDefault="008325ED">
      <w:pPr>
        <w:rPr>
          <w:rFonts w:eastAsia="Times New Roman"/>
        </w:rPr>
      </w:pPr>
      <w:r>
        <w:rPr>
          <w:rFonts w:eastAsia="Times New Roman"/>
        </w:rPr>
        <w:pict>
          <v:rect id="_x0000_i1068"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Our reconciliation of net income to FFO and Normalized FFO for the three and six months ended June 30, 2021 and 2020 is as follows (in thousands):</w:t>
      </w:r>
    </w:p>
    <w:p w:rsidR="00000000" w:rsidRDefault="008325ED">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1287395957"/>
        </w:trPr>
        <w:tc>
          <w:tcPr>
            <w:tcW w:w="335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287395957"/>
        </w:trPr>
        <w:tc>
          <w:tcPr>
            <w:tcW w:w="335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15,623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22,186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24,926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28,244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9,750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Gain on sale of real estate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tax expense for special items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9,641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11,424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57,362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debt repayments</w:t>
            </w:r>
          </w:p>
          <w:p w:rsidR="00000000" w:rsidRDefault="008325ED">
            <w:pPr>
              <w:pStyle w:val="a3"/>
              <w:spacing w:before="0" w:beforeAutospacing="0" w:after="0" w:afterAutospacing="0"/>
              <w:rPr>
                <w:color w:val="000000"/>
                <w:sz w:val="20"/>
                <w:szCs w:val="20"/>
              </w:rPr>
            </w:pPr>
            <w:r>
              <w:rPr>
                <w:color w:val="000000"/>
                <w:sz w:val="20"/>
                <w:szCs w:val="20"/>
              </w:rPr>
              <w:t>    and refinancing transactions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8,165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evaluation of corporate</w:t>
            </w:r>
          </w:p>
          <w:p w:rsidR="00000000" w:rsidRDefault="008325ED">
            <w:pPr>
              <w:pStyle w:val="a3"/>
              <w:spacing w:before="0" w:beforeAutospacing="0" w:after="0" w:afterAutospacing="0"/>
              <w:rPr>
                <w:color w:val="000000"/>
                <w:sz w:val="20"/>
                <w:szCs w:val="20"/>
              </w:rPr>
            </w:pPr>
            <w:r>
              <w:rPr>
                <w:color w:val="000000"/>
                <w:sz w:val="20"/>
                <w:szCs w:val="20"/>
              </w:rPr>
              <w:t>    structure alternatives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2,550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(13,826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287395957"/>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56,017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67,841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24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7"/>
        <w:gridCol w:w="99"/>
        <w:gridCol w:w="115"/>
        <w:gridCol w:w="942"/>
        <w:gridCol w:w="82"/>
        <w:gridCol w:w="99"/>
        <w:gridCol w:w="115"/>
        <w:gridCol w:w="944"/>
        <w:gridCol w:w="82"/>
      </w:tblGrid>
      <w:tr w:rsidR="00000000">
        <w:trPr>
          <w:divId w:val="1519075660"/>
        </w:trPr>
        <w:tc>
          <w:tcPr>
            <w:tcW w:w="335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pPr>
            <w: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For the Six Months Ended</w:t>
            </w:r>
          </w:p>
          <w:p w:rsidR="00000000" w:rsidRDefault="008325ED">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19075660"/>
        </w:trPr>
        <w:tc>
          <w:tcPr>
            <w:tcW w:w="3354"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FUNDS FROM OPERATIONS: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Net income (loss)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(109,945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55,424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48,685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56,350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Impairment of real estate assets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1,308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10,155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Gain on sale of real estate assets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(38,766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(2,818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tax expense for special items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9,291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Funds From Operations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(89,427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119,111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debt repayments</w:t>
            </w:r>
          </w:p>
          <w:p w:rsidR="00000000" w:rsidRDefault="008325ED">
            <w:pPr>
              <w:pStyle w:val="a3"/>
              <w:spacing w:before="0" w:beforeAutospacing="0" w:after="0" w:afterAutospacing="0"/>
              <w:rPr>
                <w:color w:val="000000"/>
                <w:sz w:val="20"/>
                <w:szCs w:val="20"/>
              </w:rPr>
            </w:pPr>
            <w:r>
              <w:rPr>
                <w:color w:val="000000"/>
                <w:sz w:val="20"/>
                <w:szCs w:val="20"/>
              </w:rPr>
              <w:t>    </w:t>
            </w:r>
            <w:r>
              <w:rPr>
                <w:color w:val="000000"/>
                <w:sz w:val="20"/>
                <w:szCs w:val="20"/>
              </w:rPr>
              <w:t>and refinancing transactions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52,167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338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COVID-19</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2,434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8,165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Expenses associated with evaluation of corporate</w:t>
            </w:r>
          </w:p>
          <w:p w:rsidR="00000000" w:rsidRDefault="008325ED">
            <w:pPr>
              <w:pStyle w:val="a3"/>
              <w:spacing w:before="0" w:beforeAutospacing="0" w:after="0" w:afterAutospacing="0"/>
              <w:rPr>
                <w:color w:val="000000"/>
                <w:sz w:val="20"/>
                <w:szCs w:val="20"/>
              </w:rPr>
            </w:pPr>
            <w:r>
              <w:rPr>
                <w:color w:val="000000"/>
                <w:sz w:val="20"/>
                <w:szCs w:val="20"/>
              </w:rPr>
              <w:t>    structure alternatives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347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taxes associated with change in corporate</w:t>
            </w:r>
          </w:p>
          <w:p w:rsidR="00000000" w:rsidRDefault="008325ED">
            <w:pPr>
              <w:pStyle w:val="a3"/>
              <w:spacing w:before="0" w:beforeAutospacing="0" w:after="0" w:afterAutospacing="0"/>
              <w:rPr>
                <w:color w:val="000000"/>
                <w:sz w:val="20"/>
                <w:szCs w:val="20"/>
              </w:rPr>
            </w:pPr>
            <w:r>
              <w:rPr>
                <w:color w:val="000000"/>
                <w:sz w:val="20"/>
                <w:szCs w:val="20"/>
              </w:rPr>
              <w:t>   tax structure and other special tax items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114,249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3,085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Shareholder litigation expense</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54,295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Goodwill and other impairments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2,866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2,098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Income tax benefit for special items</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(27,536</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000000">
        <w:trPr>
          <w:divId w:val="1519075660"/>
        </w:trPr>
        <w:tc>
          <w:tcPr>
            <w:tcW w:w="3354"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ind w:left="274"/>
              <w:rPr>
                <w:color w:val="000000"/>
                <w:sz w:val="20"/>
                <w:szCs w:val="20"/>
              </w:rPr>
            </w:pPr>
            <w:r>
              <w:rPr>
                <w:color w:val="000000"/>
                <w:sz w:val="20"/>
                <w:szCs w:val="20"/>
              </w:rPr>
              <w:t>Normalized Funds From Operations</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b/>
                <w:bCs/>
                <w:color w:val="000000"/>
                <w:sz w:val="20"/>
                <w:szCs w:val="20"/>
              </w:rPr>
            </w:pPr>
            <w:r>
              <w:rPr>
                <w:b/>
                <w:bCs/>
                <w:color w:val="000000"/>
                <w:sz w:val="20"/>
                <w:szCs w:val="20"/>
              </w:rPr>
              <w:t>109,048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133,144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240" w:beforeAutospacing="0" w:after="0" w:afterAutospacing="0"/>
        <w:jc w:val="center"/>
        <w:rPr>
          <w:sz w:val="20"/>
          <w:szCs w:val="20"/>
        </w:rPr>
      </w:pPr>
      <w:r>
        <w:rPr>
          <w:sz w:val="20"/>
          <w:szCs w:val="20"/>
        </w:rPr>
        <w:t>43</w:t>
      </w:r>
    </w:p>
    <w:p w:rsidR="00000000" w:rsidRDefault="008325ED">
      <w:pPr>
        <w:rPr>
          <w:rFonts w:eastAsia="Times New Roman"/>
        </w:rPr>
      </w:pPr>
      <w:r>
        <w:rPr>
          <w:rFonts w:eastAsia="Times New Roman"/>
        </w:rPr>
        <w:pict>
          <v:rect id="_x0000_i1069"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160" w:beforeAutospacing="0" w:after="0" w:afterAutospacing="0"/>
        <w:jc w:val="both"/>
        <w:rPr>
          <w:b/>
          <w:bCs/>
          <w:sz w:val="20"/>
          <w:szCs w:val="20"/>
        </w:rPr>
      </w:pPr>
      <w:r>
        <w:rPr>
          <w:b/>
          <w:bCs/>
          <w:sz w:val="20"/>
          <w:szCs w:val="20"/>
        </w:rPr>
        <w:t> </w:t>
      </w:r>
    </w:p>
    <w:p w:rsidR="00000000" w:rsidRDefault="008325ED">
      <w:pPr>
        <w:pStyle w:val="a3"/>
        <w:spacing w:before="160" w:beforeAutospacing="0" w:after="0" w:afterAutospacing="0"/>
        <w:jc w:val="both"/>
        <w:rPr>
          <w:b/>
          <w:bCs/>
          <w:sz w:val="20"/>
          <w:szCs w:val="20"/>
        </w:rPr>
      </w:pPr>
      <w:r>
        <w:rPr>
          <w:b/>
          <w:bCs/>
          <w:sz w:val="20"/>
          <w:szCs w:val="20"/>
        </w:rPr>
        <w:t>Contractual Obligations</w:t>
      </w:r>
    </w:p>
    <w:p w:rsidR="00000000" w:rsidRDefault="008325ED">
      <w:pPr>
        <w:pStyle w:val="a3"/>
        <w:spacing w:before="120" w:beforeAutospacing="0" w:after="0" w:afterAutospacing="0"/>
        <w:jc w:val="both"/>
        <w:rPr>
          <w:sz w:val="20"/>
          <w:szCs w:val="20"/>
        </w:rPr>
      </w:pPr>
      <w:r>
        <w:rPr>
          <w:sz w:val="20"/>
          <w:szCs w:val="20"/>
        </w:rPr>
        <w:t>The following schedule summarizes our contractual cash obligations by the indicated period as of June 30, 2021 (in thousands):</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24"/>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665"/>
        <w:gridCol w:w="65"/>
        <w:gridCol w:w="65"/>
        <w:gridCol w:w="115"/>
        <w:gridCol w:w="815"/>
        <w:gridCol w:w="65"/>
      </w:tblGrid>
      <w:tr w:rsidR="00000000">
        <w:trPr>
          <w:divId w:val="239559823"/>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066"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000000">
        <w:trPr>
          <w:divId w:val="239559823"/>
        </w:trPr>
        <w:tc>
          <w:tcPr>
            <w:tcW w:w="184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2021</w:t>
            </w:r>
          </w:p>
          <w:p w:rsidR="00000000" w:rsidRDefault="008325ED">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2025</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Thereafter</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b/>
                <w:bCs/>
                <w:color w:val="000000"/>
                <w:sz w:val="16"/>
                <w:szCs w:val="16"/>
              </w:rPr>
            </w:pPr>
            <w:r>
              <w:rPr>
                <w:b/>
                <w:bCs/>
                <w:color w:val="000000"/>
                <w:sz w:val="16"/>
                <w:szCs w:val="16"/>
              </w:rPr>
              <w:t> </w:t>
            </w:r>
          </w:p>
        </w:tc>
      </w:tr>
      <w:tr w:rsidR="008325ED">
        <w:trPr>
          <w:divId w:val="239559823"/>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Long-term debt</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15,784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35,376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467,158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186,597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5,823</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834,340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1,545,078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39559823"/>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Interest on senior and mortgage notes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31,970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63,833</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59,607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55,359</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55,114</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91,138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357,021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39559823"/>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South Texas Family Residential Center</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25,922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51,421</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38,460</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270,207</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39559823"/>
        </w:trPr>
        <w:tc>
          <w:tcPr>
            <w:tcW w:w="1840" w:type="pct"/>
            <w:shd w:val="clear" w:color="auto" w:fill="FFFFFF"/>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Leases</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2,542</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4,348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3,951</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3,930</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22,417</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41,118</w:t>
            </w:r>
          </w:p>
        </w:tc>
        <w:tc>
          <w:tcPr>
            <w:tcW w:w="50" w:type="pct"/>
            <w:shd w:val="clear" w:color="auto" w:fill="FFFFFF"/>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r>
      <w:tr w:rsidR="008325ED">
        <w:trPr>
          <w:divId w:val="239559823"/>
        </w:trPr>
        <w:tc>
          <w:tcPr>
            <w:tcW w:w="1840" w:type="pct"/>
            <w:shd w:val="clear" w:color="auto" w:fill="CFF0FC"/>
            <w:tcMar>
              <w:top w:w="15" w:type="dxa"/>
              <w:left w:w="0" w:type="dxa"/>
              <w:bottom w:w="0" w:type="dxa"/>
              <w:right w:w="15" w:type="dxa"/>
            </w:tcMar>
            <w:hideMark/>
          </w:tcPr>
          <w:p w:rsidR="00000000" w:rsidRDefault="008325ED">
            <w:pPr>
              <w:pStyle w:val="a3"/>
              <w:spacing w:before="0" w:beforeAutospacing="0" w:after="0" w:afterAutospacing="0"/>
              <w:rPr>
                <w:color w:val="000000"/>
                <w:sz w:val="20"/>
                <w:szCs w:val="20"/>
              </w:rPr>
            </w:pPr>
            <w:r>
              <w:rPr>
                <w:color w:val="000000"/>
                <w:sz w:val="20"/>
                <w:szCs w:val="20"/>
              </w:rPr>
              <w:t>Total contractual cash obligations</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76,218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154,978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582,116</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297,469</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116,288</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986,355</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jc w:val="right"/>
              <w:rPr>
                <w:color w:val="000000"/>
                <w:sz w:val="20"/>
                <w:szCs w:val="20"/>
              </w:rPr>
            </w:pPr>
            <w:r>
              <w:rPr>
                <w:color w:val="000000"/>
                <w:sz w:val="20"/>
                <w:szCs w:val="20"/>
              </w:rPr>
              <w:t>2,213,424</w:t>
            </w:r>
          </w:p>
        </w:tc>
        <w:tc>
          <w:tcPr>
            <w:tcW w:w="50" w:type="pct"/>
            <w:shd w:val="clear" w:color="auto" w:fill="CFF0FC"/>
            <w:noWrap/>
            <w:tcMar>
              <w:top w:w="15" w:type="dxa"/>
              <w:left w:w="0" w:type="dxa"/>
              <w:bottom w:w="0" w:type="dxa"/>
              <w:right w:w="15" w:type="dxa"/>
            </w:tcMar>
            <w:vAlign w:val="bottom"/>
            <w:hideMark/>
          </w:tcPr>
          <w:p w:rsidR="00000000" w:rsidRDefault="008325ED">
            <w:pPr>
              <w:pStyle w:val="a3"/>
              <w:spacing w:before="0" w:beforeAutospacing="0" w:after="0" w:afterAutospacing="0"/>
              <w:rPr>
                <w:color w:val="000000"/>
                <w:sz w:val="2"/>
                <w:szCs w:val="2"/>
              </w:rPr>
            </w:pPr>
            <w:r>
              <w:rPr>
                <w:color w:val="000000"/>
                <w:sz w:val="2"/>
                <w:szCs w:val="2"/>
              </w:rPr>
              <w:t> </w:t>
            </w:r>
          </w:p>
        </w:tc>
      </w:tr>
    </w:tbl>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The cash obligations in the table above do not include future cash obligations for variable interest expense associated with our Term</w:t>
      </w:r>
      <w:r>
        <w:rPr>
          <w:sz w:val="20"/>
          <w:szCs w:val="20"/>
        </w:rPr>
        <w:t xml:space="preserve"> Loan A, Term Loan B or the balance on our outstanding revolving credit facility as projections would be based on future outstanding balances as well as future variable interest rates, and we are unable to make reliable estimates of either.  We have two re</w:t>
      </w:r>
      <w:r>
        <w:rPr>
          <w:sz w:val="20"/>
          <w:szCs w:val="20"/>
        </w:rPr>
        <w:t>novation projects, totaling approximately $23.0 million, with $14.6 million remaining to be incurred as of June 30, 2021, for which we have entered into a contract with a customer that obligates us to complete the projects.  However, the federal government</w:t>
      </w:r>
      <w:r>
        <w:rPr>
          <w:sz w:val="20"/>
          <w:szCs w:val="20"/>
        </w:rPr>
        <w:t xml:space="preserve"> has agreed to reimburse us over a twelve-month period for these two projects. Certain of our other ongoing construction projects are not currently under contract and thus are not included as a contractual obligation above as we may generally suspend or te</w:t>
      </w:r>
      <w:r>
        <w:rPr>
          <w:sz w:val="20"/>
          <w:szCs w:val="20"/>
        </w:rPr>
        <w:t>rminate such projects without substantial penalty.  With respect to the South Texas Family Residential Center, the cash obligations included in the table above reflect the full contractual obligations of the lease of the site, excluding contingent payments</w:t>
      </w:r>
      <w:r>
        <w:rPr>
          <w:sz w:val="20"/>
          <w:szCs w:val="20"/>
        </w:rPr>
        <w:t>, even though the lease agreement provides us with the ability to terminate if ICE terminates the amended IGSA associated with the facility.  </w:t>
      </w:r>
    </w:p>
    <w:p w:rsidR="00000000" w:rsidRDefault="008325ED">
      <w:pPr>
        <w:pStyle w:val="a3"/>
        <w:spacing w:before="240" w:beforeAutospacing="0" w:after="0" w:afterAutospacing="0"/>
        <w:jc w:val="both"/>
        <w:rPr>
          <w:sz w:val="20"/>
          <w:szCs w:val="20"/>
        </w:rPr>
      </w:pPr>
      <w:r>
        <w:rPr>
          <w:sz w:val="20"/>
          <w:szCs w:val="20"/>
        </w:rPr>
        <w:t>We had $13.9 million of letters of credit outstanding at June 30, 2021 primarily to support our requirement to re</w:t>
      </w:r>
      <w:r>
        <w:rPr>
          <w:sz w:val="20"/>
          <w:szCs w:val="20"/>
        </w:rPr>
        <w:t>pay fees and claims under our self-insured workers' compensation plan in the event we do not repay the fees and claims due in accordance with the terms of the plan.  The letters of credit are renewable annually.  We did not have any draws under these outst</w:t>
      </w:r>
      <w:r>
        <w:rPr>
          <w:sz w:val="20"/>
          <w:szCs w:val="20"/>
        </w:rPr>
        <w:t>anding letters of credit during the six months ended June 30, 2021 or 2020.  </w:t>
      </w:r>
    </w:p>
    <w:p w:rsidR="00000000" w:rsidRDefault="008325ED">
      <w:pPr>
        <w:pStyle w:val="a3"/>
        <w:spacing w:before="360" w:beforeAutospacing="0" w:after="0" w:afterAutospacing="0"/>
        <w:jc w:val="both"/>
        <w:rPr>
          <w:b/>
          <w:bCs/>
          <w:sz w:val="20"/>
          <w:szCs w:val="20"/>
        </w:rPr>
      </w:pPr>
      <w:r>
        <w:rPr>
          <w:b/>
          <w:bCs/>
          <w:sz w:val="20"/>
          <w:szCs w:val="20"/>
        </w:rPr>
        <w:t>INFLATION</w:t>
      </w:r>
    </w:p>
    <w:p w:rsidR="00000000" w:rsidRDefault="008325ED">
      <w:pPr>
        <w:pStyle w:val="a3"/>
        <w:spacing w:before="120" w:beforeAutospacing="0" w:after="0" w:afterAutospacing="0"/>
        <w:jc w:val="both"/>
        <w:rPr>
          <w:sz w:val="20"/>
          <w:szCs w:val="20"/>
        </w:rPr>
      </w:pPr>
      <w:r>
        <w:rPr>
          <w:sz w:val="20"/>
          <w:szCs w:val="20"/>
        </w:rPr>
        <w:t>Many of our contracts include provisions for inflationary indexing, which mitigates an adverse impact of inflation on net income.  However, a substantial increase in pe</w:t>
      </w:r>
      <w:r>
        <w:rPr>
          <w:sz w:val="20"/>
          <w:szCs w:val="20"/>
        </w:rPr>
        <w:t>rsonnel costs, workers' compensation or food and medical expenses could have an adverse impact on our results of operations in the future to the extent that these expenses increase at a faster pace than the per diem or fixed rates we receive for our manage</w:t>
      </w:r>
      <w:r>
        <w:rPr>
          <w:sz w:val="20"/>
          <w:szCs w:val="20"/>
        </w:rPr>
        <w:t>ment services.  We outsource our food service operations to a third party.  The contract with our outsourced food service vendor contains certain protections against increases in food costs.  </w:t>
      </w:r>
    </w:p>
    <w:p w:rsidR="00000000" w:rsidRDefault="008325ED">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8325ED">
      <w:pPr>
        <w:pStyle w:val="a3"/>
        <w:spacing w:before="120" w:beforeAutospacing="0" w:after="0" w:afterAutospacing="0"/>
        <w:jc w:val="both"/>
        <w:rPr>
          <w:sz w:val="20"/>
          <w:szCs w:val="20"/>
        </w:rPr>
      </w:pPr>
      <w:r>
        <w:rPr>
          <w:sz w:val="20"/>
          <w:szCs w:val="20"/>
        </w:rPr>
        <w:t>Certain aspects of our business are subject to seasonal fluctuations.  Because we are generally compensated for operating and managing correctional, detention, and reentry facilities at a per diem rate, our financial resu</w:t>
      </w:r>
      <w:r>
        <w:rPr>
          <w:sz w:val="20"/>
          <w:szCs w:val="20"/>
        </w:rPr>
        <w:t>lts are impacted by the number of calendar days in a fiscal quarter. Our fiscal year follows the calendar year and therefore, our daily profits for the third and fourth quarters include two more days than the first quarter (except in leap years) and one mo</w:t>
      </w:r>
      <w:r>
        <w:rPr>
          <w:sz w:val="20"/>
          <w:szCs w:val="20"/>
        </w:rPr>
        <w:t>re day than the second quarter.  Further, salaries and benefits represent the most significant component of operating expenses.  Significant portions of our unemployment taxes are recognized during the first quarter, when base wage rates reset for unemploy</w:t>
      </w:r>
      <w:r>
        <w:rPr>
          <w:sz w:val="20"/>
          <w:szCs w:val="20"/>
        </w:rPr>
        <w:t>ment tax purposes.  Quarterly results are also affected by government funding initiatives, acquisitions, the timing of the opening of new facilities, or the commencement of new management contracts and related start-up expenses which may mitigate or exacer</w:t>
      </w:r>
      <w:r>
        <w:rPr>
          <w:sz w:val="20"/>
          <w:szCs w:val="20"/>
        </w:rPr>
        <w:t xml:space="preserve">bate the impact of other seasonal influences.  Because of seasonality factors, and other factors described herein, results for any quarter are not necessarily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43258890"/>
        </w:trPr>
        <w:tc>
          <w:tcPr>
            <w:tcW w:w="453" w:type="pct"/>
            <w:noWrap/>
            <w:hideMark/>
          </w:tcPr>
          <w:p w:rsidR="00000000" w:rsidRDefault="008325ED">
            <w:pPr>
              <w:pStyle w:val="a3"/>
              <w:spacing w:before="360" w:beforeAutospacing="0" w:after="0" w:afterAutospacing="0"/>
              <w:rPr>
                <w:b/>
                <w:bCs/>
                <w:sz w:val="20"/>
                <w:szCs w:val="20"/>
              </w:rPr>
            </w:pPr>
            <w:r>
              <w:rPr>
                <w:b/>
                <w:bCs/>
                <w:sz w:val="20"/>
                <w:szCs w:val="20"/>
              </w:rPr>
              <w:t>ITEM 3.</w:t>
            </w:r>
          </w:p>
        </w:tc>
        <w:tc>
          <w:tcPr>
            <w:tcW w:w="0" w:type="auto"/>
            <w:hideMark/>
          </w:tcPr>
          <w:p w:rsidR="00000000" w:rsidRDefault="008325ED">
            <w:pPr>
              <w:pStyle w:val="a3"/>
              <w:spacing w:before="360" w:beforeAutospacing="0" w:after="0" w:afterAutospacing="0"/>
              <w:rPr>
                <w:b/>
                <w:bCs/>
                <w:sz w:val="20"/>
                <w:szCs w:val="20"/>
              </w:rPr>
            </w:pPr>
            <w:r>
              <w:rPr>
                <w:b/>
                <w:bCs/>
                <w:sz w:val="20"/>
                <w:szCs w:val="20"/>
              </w:rPr>
              <w:t>QUANTITATIVE AN</w:t>
            </w:r>
            <w:r>
              <w:rPr>
                <w:b/>
                <w:bCs/>
                <w:sz w:val="20"/>
                <w:szCs w:val="20"/>
              </w:rPr>
              <w:t>D QUALITATIVE DISCLOSURES ABOUT MARKET RISK.</w:t>
            </w:r>
          </w:p>
        </w:tc>
      </w:tr>
    </w:tbl>
    <w:p w:rsidR="00000000" w:rsidRDefault="008325ED">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Term Loan A and Term Loan B because the interest rates on these lo</w:t>
      </w:r>
      <w:r>
        <w:rPr>
          <w:sz w:val="20"/>
          <w:szCs w:val="20"/>
        </w:rPr>
        <w:t>ans are subject to fluctuations in the market.  If the interest rate for our outstanding indebtedness under the revolving credit facility, the Term Loan A, and the Term Loan B was 100 basis points higher or lower during the three and six months ended June </w:t>
      </w:r>
      <w:r>
        <w:rPr>
          <w:sz w:val="20"/>
          <w:szCs w:val="20"/>
        </w:rPr>
        <w:t xml:space="preserve">30, 2021, our interest expense, net of amounts capitalized, would have been increased by $0.9 million and $1.9 million, respectively, and would have been decreased by $0.1 million and $0.2 million, respectively. </w:t>
      </w:r>
    </w:p>
    <w:p w:rsidR="00000000" w:rsidRDefault="008325ED">
      <w:pPr>
        <w:pStyle w:val="a3"/>
        <w:spacing w:before="240" w:beforeAutospacing="0" w:after="0" w:afterAutospacing="0"/>
        <w:jc w:val="center"/>
        <w:rPr>
          <w:sz w:val="20"/>
          <w:szCs w:val="20"/>
        </w:rPr>
      </w:pPr>
      <w:r>
        <w:rPr>
          <w:sz w:val="20"/>
          <w:szCs w:val="20"/>
        </w:rPr>
        <w:t>44</w:t>
      </w:r>
    </w:p>
    <w:p w:rsidR="00000000" w:rsidRDefault="008325ED">
      <w:pPr>
        <w:rPr>
          <w:rFonts w:eastAsia="Times New Roman"/>
        </w:rPr>
      </w:pPr>
      <w:r>
        <w:rPr>
          <w:rFonts w:eastAsia="Times New Roman"/>
        </w:rPr>
        <w:pict>
          <v:rect id="_x0000_i1070"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As</w:t>
      </w:r>
      <w:r>
        <w:rPr>
          <w:sz w:val="20"/>
          <w:szCs w:val="20"/>
        </w:rPr>
        <w:t xml:space="preserve"> of June 30, 2021, we had outstanding $174.0 million of senior notes due 2023 with a fixed interest rate of 4.625, $450.0 million of senior notes due 2026 with a fixed interest rate of 8.25%, and $250.0 million of senior notes due 2027 with a fixed interes</w:t>
      </w:r>
      <w:r>
        <w:rPr>
          <w:sz w:val="20"/>
          <w:szCs w:val="20"/>
        </w:rPr>
        <w:t>t rate of 4.75%. We also had $155.9 million outstanding under the Kansas Notes with a fixed interest rate of 4.43%. Because the interest rates with respect to these instruments are fixed, a hypothetical 100 basis point increase or decrease in market intere</w:t>
      </w:r>
      <w:r>
        <w:rPr>
          <w:sz w:val="20"/>
          <w:szCs w:val="20"/>
        </w:rPr>
        <w:t>st rates would not have a material impact on our financial statements.</w:t>
      </w:r>
    </w:p>
    <w:p w:rsidR="00000000" w:rsidRDefault="008325ED">
      <w:pPr>
        <w:pStyle w:val="a3"/>
        <w:spacing w:before="240" w:beforeAutospacing="0" w:after="0" w:afterAutospacing="0"/>
        <w:jc w:val="both"/>
        <w:rPr>
          <w:sz w:val="20"/>
          <w:szCs w:val="20"/>
        </w:rPr>
      </w:pPr>
      <w:r>
        <w:rPr>
          <w:sz w:val="20"/>
          <w:szCs w:val="20"/>
        </w:rPr>
        <w:t>We may, from time to time, invest our cash in a variety of short-term financial instruments.  These instruments generally consist of highly liquid investments with original maturities a</w:t>
      </w:r>
      <w:r>
        <w:rPr>
          <w:sz w:val="20"/>
          <w:szCs w:val="20"/>
        </w:rPr>
        <w:t>t the date of purchase of three months or less.  While these investments are subject to interest rate risk and will decline in value if market interest rates increase, a hypothetical 100 basis point increase or decrease in market interest rates would not m</w:t>
      </w:r>
      <w:r>
        <w:rPr>
          <w:sz w:val="20"/>
          <w:szCs w:val="20"/>
        </w:rPr>
        <w:t>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619604342"/>
        </w:trPr>
        <w:tc>
          <w:tcPr>
            <w:tcW w:w="453" w:type="pct"/>
            <w:noWrap/>
            <w:hideMark/>
          </w:tcPr>
          <w:p w:rsidR="00000000" w:rsidRDefault="008325ED">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8325ED">
            <w:pPr>
              <w:pStyle w:val="a3"/>
              <w:spacing w:before="360" w:beforeAutospacing="0" w:after="0" w:afterAutospacing="0"/>
              <w:jc w:val="both"/>
              <w:rPr>
                <w:b/>
                <w:bCs/>
                <w:sz w:val="20"/>
                <w:szCs w:val="20"/>
              </w:rPr>
            </w:pPr>
            <w:r>
              <w:rPr>
                <w:b/>
                <w:bCs/>
                <w:sz w:val="20"/>
                <w:szCs w:val="20"/>
              </w:rPr>
              <w:t>CONTROLS AND PROCEDURES.</w:t>
            </w:r>
          </w:p>
        </w:tc>
      </w:tr>
    </w:tbl>
    <w:p w:rsidR="00000000" w:rsidRDefault="008325ED">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w:t>
      </w:r>
      <w:r>
        <w:rPr>
          <w:sz w:val="20"/>
          <w:szCs w:val="20"/>
        </w:rPr>
        <w:t>f the effectiveness of our disclosure controls and procedures, as defined in Rules 13a-15(e) and 15d-15(e) of the Exchange Act as of the end of the period covered by this Quarterly Report.  Based on that evaluation, our officers, including our Chief Execut</w:t>
      </w:r>
      <w:r>
        <w:rPr>
          <w:sz w:val="20"/>
          <w:szCs w:val="20"/>
        </w:rPr>
        <w:t>ive Officer and Chief Financial Officer, concluded that as of the end of the period covered by this Quarterly Report our disclosure controls and procedures are effective to ensure that information required to be disclosed in the reports that we file or sub</w:t>
      </w:r>
      <w:r>
        <w:rPr>
          <w:sz w:val="20"/>
          <w:szCs w:val="20"/>
        </w:rPr>
        <w:t>mit under the Exchange Act is recorded, processed, summarized, and reported within the time periods specified in the SEC's rules and forms and information required to be disclosed in the reports we file or submit under the Exchange Act is accumulated and c</w:t>
      </w:r>
      <w:r>
        <w:rPr>
          <w:sz w:val="20"/>
          <w:szCs w:val="20"/>
        </w:rPr>
        <w:t>ommunicated to our management, including our Chief Executive Officer and Chief Financial Officer, to allow timely decisions regarding required disclosure.  There have been no changes in our internal control over financial reporting that occurred during the</w:t>
      </w:r>
      <w:r>
        <w:rPr>
          <w:sz w:val="20"/>
          <w:szCs w:val="20"/>
        </w:rPr>
        <w:t xml:space="preserve"> period covered by this report that have materially affected, or are reasonably likely to materially affect, our internal control over financial reporting. </w:t>
      </w:r>
    </w:p>
    <w:p w:rsidR="00000000" w:rsidRDefault="008325ED">
      <w:pPr>
        <w:pStyle w:val="a3"/>
        <w:spacing w:before="240" w:beforeAutospacing="0" w:after="0" w:afterAutospacing="0"/>
        <w:jc w:val="center"/>
        <w:rPr>
          <w:sz w:val="20"/>
          <w:szCs w:val="20"/>
        </w:rPr>
      </w:pPr>
      <w:r>
        <w:rPr>
          <w:sz w:val="20"/>
          <w:szCs w:val="20"/>
        </w:rPr>
        <w:t>45</w:t>
      </w:r>
    </w:p>
    <w:p w:rsidR="00000000" w:rsidRDefault="008325ED">
      <w:pPr>
        <w:rPr>
          <w:rFonts w:eastAsia="Times New Roman"/>
        </w:rPr>
      </w:pPr>
      <w:r>
        <w:rPr>
          <w:rFonts w:eastAsia="Times New Roman"/>
        </w:rPr>
        <w:pict>
          <v:rect id="_x0000_i1071"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2094744146"/>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LEGAL PROCEEDINGS.</w:t>
            </w:r>
          </w:p>
        </w:tc>
      </w:tr>
    </w:tbl>
    <w:p w:rsidR="00000000" w:rsidRDefault="008325ED">
      <w:pPr>
        <w:pStyle w:val="a3"/>
        <w:spacing w:before="0" w:beforeAutospacing="0" w:after="0" w:afterAutospacing="0"/>
        <w:jc w:val="both"/>
        <w:rPr>
          <w:b/>
          <w:bCs/>
          <w:sz w:val="12"/>
          <w:szCs w:val="12"/>
        </w:rPr>
      </w:pPr>
      <w:r>
        <w:rPr>
          <w:b/>
          <w:bCs/>
          <w:sz w:val="12"/>
          <w:szCs w:val="12"/>
        </w:rPr>
        <w:t> </w:t>
      </w:r>
    </w:p>
    <w:p w:rsidR="00000000" w:rsidRDefault="008325ED">
      <w:pPr>
        <w:pStyle w:val="a3"/>
        <w:spacing w:before="0" w:beforeAutospacing="0" w:after="0" w:afterAutospacing="0"/>
        <w:jc w:val="both"/>
        <w:rPr>
          <w:sz w:val="20"/>
          <w:szCs w:val="20"/>
        </w:rPr>
      </w:pPr>
      <w:r>
        <w:rPr>
          <w:sz w:val="20"/>
          <w:szCs w:val="20"/>
        </w:rPr>
        <w:t>See the information reported in Note 8 to the financial statements included in Part I, which information is incorporated hereunder by this reference.</w:t>
      </w:r>
    </w:p>
    <w:p w:rsidR="00000000" w:rsidRDefault="008325ED">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868379187"/>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RISK FACTORS.</w:t>
            </w:r>
          </w:p>
        </w:tc>
      </w:tr>
    </w:tbl>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sz w:val="20"/>
          <w:szCs w:val="20"/>
        </w:rPr>
      </w:pPr>
      <w:r>
        <w:rPr>
          <w:sz w:val="20"/>
          <w:szCs w:val="20"/>
        </w:rPr>
        <w:t>Item 1A of Part 1 of our 2020 Form 10-K includes a detailed discussion of the risk factors that could materially affect our business, financial condition or future prospects.  Set forth below is a discussion of the material changes in our</w:t>
      </w:r>
      <w:r>
        <w:rPr>
          <w:sz w:val="20"/>
          <w:szCs w:val="20"/>
        </w:rPr>
        <w:t xml:space="preserve"> risk factors previously disclosed in the 2020 Form 10-K.  The information below updates and should be read in conjunction with the risk factors in our 2020 Form 10-K.</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0" w:beforeAutospacing="0" w:after="0" w:afterAutospacing="0"/>
        <w:jc w:val="both"/>
        <w:rPr>
          <w:b/>
          <w:bCs/>
          <w:i/>
          <w:iCs/>
          <w:sz w:val="20"/>
          <w:szCs w:val="20"/>
        </w:rPr>
      </w:pPr>
      <w:r>
        <w:rPr>
          <w:b/>
          <w:bCs/>
          <w:i/>
          <w:iCs/>
          <w:sz w:val="20"/>
          <w:szCs w:val="20"/>
        </w:rPr>
        <w:t xml:space="preserve">Resistance </w:t>
      </w:r>
      <w:r>
        <w:rPr>
          <w:b/>
          <w:bCs/>
          <w:i/>
          <w:iCs/>
          <w:color w:val="000000"/>
          <w:spacing w:val="3"/>
          <w:sz w:val="20"/>
          <w:szCs w:val="20"/>
        </w:rPr>
        <w:t>to privatization of correctional, detention, and residential reentry facili</w:t>
      </w:r>
      <w:r>
        <w:rPr>
          <w:b/>
          <w:bCs/>
          <w:i/>
          <w:iCs/>
          <w:color w:val="000000"/>
          <w:spacing w:val="3"/>
          <w:sz w:val="20"/>
          <w:szCs w:val="20"/>
        </w:rPr>
        <w:t>ties, and negative publicity regarding inmate disturbances or perceived poor operational performance, could result in our inability to obtain new contracts, the loss of existing contracts, or other unforeseen consequences</w:t>
      </w:r>
      <w:r>
        <w:rPr>
          <w:b/>
          <w:bCs/>
          <w:i/>
          <w:iCs/>
          <w:sz w:val="20"/>
          <w:szCs w:val="20"/>
        </w:rPr>
        <w:t xml:space="preserve">. </w:t>
      </w:r>
    </w:p>
    <w:p w:rsidR="00000000" w:rsidRDefault="008325ED">
      <w:pPr>
        <w:pStyle w:val="a3"/>
        <w:spacing w:before="0" w:beforeAutospacing="0" w:after="0" w:afterAutospacing="0"/>
        <w:jc w:val="both"/>
        <w:rPr>
          <w:sz w:val="20"/>
          <w:szCs w:val="20"/>
        </w:rPr>
      </w:pPr>
      <w:r>
        <w:rPr>
          <w:sz w:val="20"/>
          <w:szCs w:val="20"/>
        </w:rPr>
        <w:t> </w:t>
      </w:r>
    </w:p>
    <w:p w:rsidR="00000000" w:rsidRDefault="008325ED">
      <w:pPr>
        <w:pStyle w:val="a3"/>
        <w:spacing w:before="240" w:beforeAutospacing="0" w:after="0" w:afterAutospacing="0"/>
        <w:jc w:val="both"/>
        <w:rPr>
          <w:sz w:val="20"/>
          <w:szCs w:val="20"/>
        </w:rPr>
      </w:pPr>
      <w:r>
        <w:rPr>
          <w:sz w:val="20"/>
          <w:szCs w:val="20"/>
        </w:rPr>
        <w:t xml:space="preserve">Privatization </w:t>
      </w:r>
      <w:r>
        <w:rPr>
          <w:color w:val="000000"/>
          <w:spacing w:val="3"/>
          <w:sz w:val="20"/>
          <w:szCs w:val="20"/>
        </w:rPr>
        <w:t>of correctional, detention, and residential reentry facilities has not achieved complete acceptance by either government agencies or the public at large. The operation of correctional, detention, and residential reentry facilities by private entities has e</w:t>
      </w:r>
      <w:r>
        <w:rPr>
          <w:color w:val="000000"/>
          <w:spacing w:val="3"/>
          <w:sz w:val="20"/>
          <w:szCs w:val="20"/>
        </w:rPr>
        <w:t>ncountered resistance from certain groups, such as labor unions, prison reform organizations, activists and others that believe that correctional, detention, and residential reentry facilities should only be operated by governmental agencies. Any political</w:t>
      </w:r>
      <w:r>
        <w:rPr>
          <w:color w:val="000000"/>
          <w:spacing w:val="3"/>
          <w:sz w:val="20"/>
          <w:szCs w:val="20"/>
        </w:rPr>
        <w:t xml:space="preserve"> platform or promise, governmental agency report, investigation or inquiry, public statement by any governmental agency, policy or legislative change, or other similar occurrence or action, that seeks to, or purports to, prohibit, eliminate, or otherwise r</w:t>
      </w:r>
      <w:r>
        <w:rPr>
          <w:color w:val="000000"/>
          <w:spacing w:val="3"/>
          <w:sz w:val="20"/>
          <w:szCs w:val="20"/>
        </w:rPr>
        <w:t>estrict or limit in any way, the federal government’s (or any state or local government’s) ability to contract with private operators of correctional, detention, and residential reentry facilities, could negatively impact our growth and our ability to rene</w:t>
      </w:r>
      <w:r>
        <w:rPr>
          <w:color w:val="000000"/>
          <w:spacing w:val="3"/>
          <w:sz w:val="20"/>
          <w:szCs w:val="20"/>
        </w:rPr>
        <w:t>w or maintain existing contracts or to obtain new contracts and could have a material adverse effect on our business, financial condition, results of operations or the market price of our common stock.</w:t>
      </w:r>
    </w:p>
    <w:p w:rsidR="00000000" w:rsidRDefault="008325ED">
      <w:pPr>
        <w:pStyle w:val="a3"/>
        <w:spacing w:before="240" w:beforeAutospacing="0" w:after="0" w:afterAutospacing="0"/>
        <w:jc w:val="both"/>
        <w:rPr>
          <w:sz w:val="20"/>
          <w:szCs w:val="20"/>
        </w:rPr>
      </w:pPr>
      <w:r>
        <w:rPr>
          <w:sz w:val="20"/>
          <w:szCs w:val="20"/>
        </w:rPr>
        <w:t>On January 26, 2021, President Biden issued the Privat</w:t>
      </w:r>
      <w:r>
        <w:rPr>
          <w:sz w:val="20"/>
          <w:szCs w:val="20"/>
        </w:rPr>
        <w:t>e Prison EO.  The Private Prison EO directs the Attorney General to not renew DOJ contracts with privately operated criminal detention facilities.  Two agencies of the DOJ, the BOP and the USMS, utilize our services.  The BOP houses inmates who have been c</w:t>
      </w:r>
      <w:r>
        <w:rPr>
          <w:sz w:val="20"/>
          <w:szCs w:val="20"/>
        </w:rPr>
        <w:t xml:space="preserve">onvicted, and the USMS is generally responsible for detainees who are awaiting trial.  The BOP has experienced a steady decline in inmate populations over the last seven years, a trend that has been accelerated by the COVID-19 pandemic.  We currently have </w:t>
      </w:r>
      <w:r>
        <w:rPr>
          <w:sz w:val="20"/>
          <w:szCs w:val="20"/>
        </w:rPr>
        <w:t>one prison contract with the BOP, accounting for 2% ($20.2 million) of our total revenue for the six months ended June 30, 2021, which expires in November 2022.  The Private Prison EO only applies to agencies that are part of the DOJ, which includes the BO</w:t>
      </w:r>
      <w:r>
        <w:rPr>
          <w:sz w:val="20"/>
          <w:szCs w:val="20"/>
        </w:rPr>
        <w:t xml:space="preserve">P and USMS.  ICE facilities are not covered by the Private Prison EO, as ICE is an agency of the Department of Homeland Security, not the DOJ, although it is possible that the federal government could choose to take similar action on ICE facilities in the </w:t>
      </w:r>
      <w:r>
        <w:rPr>
          <w:sz w:val="20"/>
          <w:szCs w:val="20"/>
        </w:rPr>
        <w:t>future.  </w:t>
      </w:r>
      <w:r>
        <w:rPr>
          <w:color w:val="000000"/>
          <w:spacing w:val="3"/>
          <w:sz w:val="20"/>
          <w:szCs w:val="20"/>
        </w:rPr>
        <w:t>For the six months ended June 30, 2021, USMS and ICE accounted for 23% ($214.9 million) and 29% ($271.1 million), respectively, of our total revenue.  </w:t>
      </w:r>
    </w:p>
    <w:p w:rsidR="00000000" w:rsidRDefault="008325ED">
      <w:pPr>
        <w:pStyle w:val="a3"/>
        <w:spacing w:before="240" w:beforeAutospacing="0" w:after="0" w:afterAutospacing="0"/>
        <w:jc w:val="both"/>
        <w:rPr>
          <w:sz w:val="20"/>
          <w:szCs w:val="20"/>
        </w:rPr>
      </w:pPr>
      <w:r>
        <w:rPr>
          <w:sz w:val="20"/>
          <w:szCs w:val="20"/>
        </w:rPr>
        <w:t>Unlike the BOP, the USMS does not own detention capacity and relies on the private sector, alon</w:t>
      </w:r>
      <w:r>
        <w:rPr>
          <w:sz w:val="20"/>
          <w:szCs w:val="20"/>
        </w:rPr>
        <w:t xml:space="preserve">g with various government agencies, for its detainee population. </w:t>
      </w:r>
      <w:r>
        <w:rPr>
          <w:color w:val="000000"/>
          <w:spacing w:val="3"/>
          <w:sz w:val="20"/>
          <w:szCs w:val="20"/>
        </w:rPr>
        <w:t>The USMS has indicated that it has been advised by the Office of the Deputy Attorney General not to renew existing contracts, or enter into new contracts for private detention facilities. Dur</w:t>
      </w:r>
      <w:r>
        <w:rPr>
          <w:color w:val="000000"/>
          <w:spacing w:val="3"/>
          <w:sz w:val="20"/>
          <w:szCs w:val="20"/>
        </w:rPr>
        <w:t xml:space="preserve">ing the second quarter of 2021, we had direct contracts with the USMS for up to 992 detainees at our 2016-bed Northeast Ohio Correctional Center and for up to approximately 96 detainees at our 664-bed Crossroads Correctional Center in Montana that expired </w:t>
      </w:r>
      <w:r>
        <w:rPr>
          <w:color w:val="000000"/>
          <w:spacing w:val="3"/>
          <w:sz w:val="20"/>
          <w:szCs w:val="20"/>
        </w:rPr>
        <w:t>and were not renewed.  On May 28, 2021, we entered into a new three-year contract with Mahoning County, Ohio to utilize up to 990 beds at our Northeast Ohio Correctional Center.  Mahoning County is responsible for County inmates and federal detainees, incl</w:t>
      </w:r>
      <w:r>
        <w:rPr>
          <w:color w:val="000000"/>
          <w:spacing w:val="3"/>
          <w:sz w:val="20"/>
          <w:szCs w:val="20"/>
        </w:rPr>
        <w:t>uding USMS detainees, and the County is using the Northeast Ohio facility to address its population needs.  During the third quarter of 2021, we entered into an amendment to the contract with the state of Montana to utilize all of the capacity at the Cross</w:t>
      </w:r>
      <w:r>
        <w:rPr>
          <w:color w:val="000000"/>
          <w:spacing w:val="3"/>
          <w:sz w:val="20"/>
          <w:szCs w:val="20"/>
        </w:rPr>
        <w:t>roads Correctional Center, including the space vacated by the USMS, and to extend the existing contract to June 30, 2023, with additional renewal options by mutual agreement through August 31, 2029.  </w:t>
      </w:r>
    </w:p>
    <w:p w:rsidR="00000000" w:rsidRDefault="008325ED">
      <w:pPr>
        <w:pStyle w:val="a3"/>
        <w:spacing w:before="240" w:beforeAutospacing="0" w:after="0" w:afterAutospacing="0"/>
        <w:jc w:val="center"/>
        <w:rPr>
          <w:sz w:val="20"/>
          <w:szCs w:val="20"/>
        </w:rPr>
      </w:pPr>
      <w:r>
        <w:rPr>
          <w:sz w:val="20"/>
          <w:szCs w:val="20"/>
        </w:rPr>
        <w:t>46</w:t>
      </w:r>
    </w:p>
    <w:p w:rsidR="00000000" w:rsidRDefault="008325ED">
      <w:pPr>
        <w:rPr>
          <w:rFonts w:eastAsia="Times New Roman"/>
        </w:rPr>
      </w:pPr>
      <w:r>
        <w:rPr>
          <w:rFonts w:eastAsia="Times New Roman"/>
        </w:rPr>
        <w:pict>
          <v:rect id="_x0000_i1072"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240" w:beforeAutospacing="0" w:after="0" w:afterAutospacing="0"/>
        <w:jc w:val="both"/>
        <w:rPr>
          <w:color w:val="000000"/>
          <w:spacing w:val="3"/>
          <w:sz w:val="20"/>
          <w:szCs w:val="20"/>
        </w:rPr>
      </w:pPr>
      <w:r>
        <w:rPr>
          <w:color w:val="000000"/>
          <w:spacing w:val="3"/>
          <w:sz w:val="20"/>
          <w:szCs w:val="20"/>
        </w:rPr>
        <w:t>We currently h</w:t>
      </w:r>
      <w:r>
        <w:rPr>
          <w:color w:val="000000"/>
          <w:spacing w:val="3"/>
          <w:sz w:val="20"/>
          <w:szCs w:val="20"/>
        </w:rPr>
        <w:t>ave eight detention facilities that have separate contracts where the USMS is the primary customer within the facility that all expire at various times over the next several years, with the exception of two contracts that have indefinite terms. Non-renewal</w:t>
      </w:r>
      <w:r>
        <w:rPr>
          <w:color w:val="000000"/>
          <w:spacing w:val="3"/>
          <w:sz w:val="20"/>
          <w:szCs w:val="20"/>
        </w:rPr>
        <w:t xml:space="preserve"> of these contracts, or the expansion of such a similar order to ICE, would have a material adverse effect on our business, financial condition, and results of operations.  As of June 30, 2021, three of the aforementioned eight contracts with the USMS expi</w:t>
      </w:r>
      <w:r>
        <w:rPr>
          <w:color w:val="000000"/>
          <w:spacing w:val="3"/>
          <w:sz w:val="20"/>
          <w:szCs w:val="20"/>
        </w:rPr>
        <w:t>re over the next twelve months.  The USMS has full access to our 600-bed West Tennessee Detention Facility and our 1,033-bed Leavenworth Detention Center under direct contracts with the USMS that expire in September 2021 and December 2021, respectively.  I</w:t>
      </w:r>
      <w:r>
        <w:rPr>
          <w:color w:val="000000"/>
          <w:spacing w:val="3"/>
          <w:sz w:val="20"/>
          <w:szCs w:val="20"/>
        </w:rPr>
        <w:t>n addition, we have a contract at our 2,672-bed Tallahatchie County Correctional Facility in Mississippi that allows the USMS to utilize available capacity that expires in June 2022.  We do not yet know if the USMS will relocate the detainees at these faci</w:t>
      </w:r>
      <w:r>
        <w:rPr>
          <w:color w:val="000000"/>
          <w:spacing w:val="3"/>
          <w:sz w:val="20"/>
          <w:szCs w:val="20"/>
        </w:rPr>
        <w:t>lities, but we will continue to work with the USMS to enable it to fulfill its mission.  However, we can provide no assurance that we will be able to provide a solution that is acceptable to all parties that would be involved in such a solution.</w:t>
      </w:r>
    </w:p>
    <w:p w:rsidR="00000000" w:rsidRDefault="008325ED">
      <w:pPr>
        <w:pStyle w:val="a3"/>
        <w:spacing w:before="240" w:beforeAutospacing="0" w:after="0" w:afterAutospacing="0"/>
        <w:jc w:val="both"/>
        <w:rPr>
          <w:color w:val="000000"/>
          <w:spacing w:val="3"/>
          <w:sz w:val="20"/>
          <w:szCs w:val="20"/>
        </w:rPr>
      </w:pPr>
      <w:r>
        <w:rPr>
          <w:color w:val="000000"/>
          <w:spacing w:val="3"/>
          <w:sz w:val="20"/>
          <w:szCs w:val="20"/>
        </w:rPr>
        <w:t>In additio</w:t>
      </w:r>
      <w:r>
        <w:rPr>
          <w:color w:val="000000"/>
          <w:spacing w:val="3"/>
          <w:sz w:val="20"/>
          <w:szCs w:val="20"/>
        </w:rPr>
        <w:t xml:space="preserve">n, negative publicity regarding offenders escaping, rioting or any other disturbances at our facilities or any public perception of poor operational performance at our facilities, contract non-compliance, or other conditions (including COVID-19 infections </w:t>
      </w:r>
      <w:r>
        <w:rPr>
          <w:color w:val="000000"/>
          <w:spacing w:val="3"/>
          <w:sz w:val="20"/>
          <w:szCs w:val="20"/>
        </w:rPr>
        <w:t xml:space="preserve">at the facilities we own and manage) at a privately managed facility may result in adverse publicity to us and the private corrections industry in general and could negatively impact our growth and our ability to renew or maintain existing contracts or to </w:t>
      </w:r>
      <w:r>
        <w:rPr>
          <w:color w:val="000000"/>
          <w:spacing w:val="3"/>
          <w:sz w:val="20"/>
          <w:szCs w:val="20"/>
        </w:rPr>
        <w:t>obtain new contracts, which could have an adverse impact on our business, financial condition, results of operations or the market price of our common stock.</w:t>
      </w:r>
    </w:p>
    <w:p w:rsidR="00000000" w:rsidRDefault="008325E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721392839"/>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UNREGISTERED SALES OF EQUITY SECURITIES AND USE OF PROCEEDS.</w:t>
            </w:r>
          </w:p>
        </w:tc>
      </w:tr>
    </w:tbl>
    <w:p w:rsidR="00000000" w:rsidRDefault="008325ED">
      <w:pPr>
        <w:pStyle w:val="a3"/>
        <w:spacing w:before="0" w:beforeAutospacing="0" w:after="0" w:afterAutospacing="0"/>
        <w:jc w:val="both"/>
        <w:rPr>
          <w:sz w:val="12"/>
          <w:szCs w:val="12"/>
        </w:rPr>
      </w:pPr>
      <w:r>
        <w:rPr>
          <w:sz w:val="12"/>
          <w:szCs w:val="12"/>
        </w:rPr>
        <w:t> </w:t>
      </w:r>
    </w:p>
    <w:p w:rsidR="00000000" w:rsidRDefault="008325ED">
      <w:pPr>
        <w:pStyle w:val="a3"/>
        <w:spacing w:before="0" w:beforeAutospacing="0" w:after="0" w:afterAutospacing="0"/>
        <w:jc w:val="both"/>
        <w:rPr>
          <w:sz w:val="20"/>
          <w:szCs w:val="20"/>
        </w:rPr>
      </w:pPr>
      <w:r>
        <w:rPr>
          <w:sz w:val="20"/>
          <w:szCs w:val="20"/>
        </w:rPr>
        <w:t>None.</w:t>
      </w:r>
    </w:p>
    <w:p w:rsidR="00000000" w:rsidRDefault="008325ED">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372192196"/>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DEFAULTS UPON SENIOR SECURITIES.</w:t>
            </w:r>
          </w:p>
        </w:tc>
      </w:tr>
    </w:tbl>
    <w:p w:rsidR="00000000" w:rsidRDefault="008325ED">
      <w:pPr>
        <w:pStyle w:val="a3"/>
        <w:spacing w:before="0" w:beforeAutospacing="0" w:after="0" w:afterAutospacing="0"/>
        <w:jc w:val="both"/>
        <w:rPr>
          <w:sz w:val="12"/>
          <w:szCs w:val="12"/>
        </w:rPr>
      </w:pPr>
      <w:r>
        <w:rPr>
          <w:sz w:val="12"/>
          <w:szCs w:val="12"/>
        </w:rPr>
        <w:t> </w:t>
      </w:r>
    </w:p>
    <w:p w:rsidR="00000000" w:rsidRDefault="008325ED">
      <w:pPr>
        <w:pStyle w:val="a3"/>
        <w:spacing w:before="0" w:beforeAutospacing="0" w:after="0" w:afterAutospacing="0"/>
        <w:jc w:val="both"/>
        <w:rPr>
          <w:sz w:val="20"/>
          <w:szCs w:val="20"/>
        </w:rPr>
      </w:pPr>
      <w:r>
        <w:rPr>
          <w:sz w:val="20"/>
          <w:szCs w:val="20"/>
        </w:rPr>
        <w:t>None.</w:t>
      </w:r>
    </w:p>
    <w:p w:rsidR="00000000" w:rsidRDefault="008325ED">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859153193"/>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MINE SAFETY DISCLOSURES.</w:t>
            </w:r>
          </w:p>
        </w:tc>
      </w:tr>
    </w:tbl>
    <w:p w:rsidR="00000000" w:rsidRDefault="008325ED">
      <w:pPr>
        <w:pStyle w:val="a3"/>
        <w:spacing w:before="0" w:beforeAutospacing="0" w:after="0" w:afterAutospacing="0"/>
        <w:ind w:left="1547" w:hanging="1632"/>
        <w:rPr>
          <w:b/>
          <w:bCs/>
          <w:sz w:val="12"/>
          <w:szCs w:val="12"/>
        </w:rPr>
      </w:pPr>
      <w:r>
        <w:rPr>
          <w:b/>
          <w:bCs/>
          <w:sz w:val="12"/>
          <w:szCs w:val="12"/>
        </w:rPr>
        <w:t> </w:t>
      </w:r>
    </w:p>
    <w:p w:rsidR="00000000" w:rsidRDefault="008325ED">
      <w:pPr>
        <w:pStyle w:val="a3"/>
        <w:spacing w:before="0" w:beforeAutospacing="0" w:after="0" w:afterAutospacing="0"/>
        <w:ind w:left="1547" w:hanging="1632"/>
        <w:rPr>
          <w:sz w:val="20"/>
          <w:szCs w:val="20"/>
        </w:rPr>
      </w:pPr>
      <w:r>
        <w:rPr>
          <w:sz w:val="20"/>
          <w:szCs w:val="20"/>
        </w:rPr>
        <w:t>None.</w:t>
      </w:r>
    </w:p>
    <w:p w:rsidR="00000000" w:rsidRDefault="008325ED">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402682212"/>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OTHER INFORMATION.</w:t>
            </w:r>
          </w:p>
        </w:tc>
      </w:tr>
    </w:tbl>
    <w:p w:rsidR="00000000" w:rsidRDefault="008325ED">
      <w:pPr>
        <w:pStyle w:val="a3"/>
        <w:spacing w:before="0" w:beforeAutospacing="0" w:after="0" w:afterAutospacing="0"/>
        <w:ind w:left="1547" w:hanging="1632"/>
        <w:jc w:val="both"/>
        <w:rPr>
          <w:sz w:val="12"/>
          <w:szCs w:val="12"/>
        </w:rPr>
      </w:pPr>
      <w:r>
        <w:rPr>
          <w:sz w:val="12"/>
          <w:szCs w:val="12"/>
        </w:rPr>
        <w:t> </w:t>
      </w:r>
    </w:p>
    <w:p w:rsidR="00000000" w:rsidRDefault="008325ED">
      <w:pPr>
        <w:pStyle w:val="a3"/>
        <w:spacing w:before="0" w:beforeAutospacing="0" w:after="0" w:afterAutospacing="0"/>
        <w:ind w:left="1547" w:hanging="1632"/>
        <w:jc w:val="both"/>
        <w:rPr>
          <w:sz w:val="20"/>
          <w:szCs w:val="20"/>
        </w:rPr>
      </w:pPr>
      <w:r>
        <w:rPr>
          <w:sz w:val="20"/>
          <w:szCs w:val="20"/>
        </w:rPr>
        <w:t>None.</w:t>
      </w:r>
    </w:p>
    <w:p w:rsidR="00000000" w:rsidRDefault="008325ED">
      <w:pPr>
        <w:pStyle w:val="a3"/>
        <w:spacing w:before="160" w:beforeAutospacing="0" w:after="0" w:afterAutospacing="0"/>
        <w:jc w:val="both"/>
        <w:rPr>
          <w:b/>
          <w:bCs/>
          <w:sz w:val="20"/>
          <w:szCs w:val="20"/>
        </w:rPr>
      </w:pPr>
      <w:r>
        <w:rPr>
          <w:b/>
          <w:bCs/>
          <w:sz w:val="20"/>
          <w:szCs w:val="20"/>
        </w:rPr>
        <w:t> </w:t>
      </w:r>
    </w:p>
    <w:p w:rsidR="00000000" w:rsidRDefault="008325ED">
      <w:pPr>
        <w:pStyle w:val="a3"/>
        <w:spacing w:before="240" w:beforeAutospacing="0" w:after="0" w:afterAutospacing="0"/>
        <w:jc w:val="center"/>
        <w:rPr>
          <w:sz w:val="20"/>
          <w:szCs w:val="20"/>
        </w:rPr>
      </w:pPr>
      <w:r>
        <w:rPr>
          <w:sz w:val="20"/>
          <w:szCs w:val="20"/>
        </w:rPr>
        <w:t>47</w:t>
      </w:r>
    </w:p>
    <w:p w:rsidR="00000000" w:rsidRDefault="008325ED">
      <w:pPr>
        <w:rPr>
          <w:rFonts w:eastAsia="Times New Roman"/>
        </w:rPr>
      </w:pPr>
      <w:r>
        <w:rPr>
          <w:rFonts w:eastAsia="Times New Roman"/>
        </w:rPr>
        <w:pict>
          <v:rect id="_x0000_i1073"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44607832"/>
        </w:trPr>
        <w:tc>
          <w:tcPr>
            <w:tcW w:w="453" w:type="pct"/>
            <w:noWrap/>
            <w:hideMark/>
          </w:tcPr>
          <w:p w:rsidR="00000000" w:rsidRDefault="008325ED">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8325ED">
            <w:pPr>
              <w:pStyle w:val="a3"/>
              <w:spacing w:before="0" w:beforeAutospacing="0" w:after="0" w:afterAutospacing="0"/>
              <w:jc w:val="both"/>
              <w:rPr>
                <w:b/>
                <w:bCs/>
                <w:sz w:val="20"/>
                <w:szCs w:val="20"/>
              </w:rPr>
            </w:pPr>
            <w:r>
              <w:rPr>
                <w:b/>
                <w:bCs/>
                <w:sz w:val="20"/>
                <w:szCs w:val="20"/>
              </w:rPr>
              <w:t>EXHIBITS.</w:t>
            </w:r>
          </w:p>
        </w:tc>
      </w:tr>
    </w:tbl>
    <w:p w:rsidR="00000000" w:rsidRDefault="008325ED">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18"/>
        <w:gridCol w:w="179"/>
        <w:gridCol w:w="7309"/>
      </w:tblGrid>
      <w:tr w:rsidR="00000000">
        <w:trPr>
          <w:divId w:val="2144695036"/>
        </w:trPr>
        <w:tc>
          <w:tcPr>
            <w:tcW w:w="492" w:type="pct"/>
            <w:vAlign w:val="center"/>
            <w:hideMark/>
          </w:tcPr>
          <w:p w:rsidR="00000000" w:rsidRDefault="008325ED">
            <w:pPr>
              <w:rPr>
                <w:sz w:val="20"/>
                <w:szCs w:val="20"/>
              </w:rPr>
            </w:pPr>
          </w:p>
        </w:tc>
        <w:tc>
          <w:tcPr>
            <w:tcW w:w="108" w:type="pct"/>
            <w:vAlign w:val="center"/>
            <w:hideMark/>
          </w:tcPr>
          <w:p w:rsidR="00000000" w:rsidRDefault="008325ED">
            <w:pPr>
              <w:spacing w:before="100" w:beforeAutospacing="1" w:after="100" w:afterAutospacing="1"/>
              <w:rPr>
                <w:rFonts w:eastAsia="Times New Roman"/>
                <w:sz w:val="20"/>
                <w:szCs w:val="20"/>
              </w:rPr>
            </w:pPr>
          </w:p>
        </w:tc>
        <w:tc>
          <w:tcPr>
            <w:tcW w:w="4399" w:type="pct"/>
            <w:vAlign w:val="center"/>
            <w:hideMark/>
          </w:tcPr>
          <w:p w:rsidR="00000000" w:rsidRDefault="008325ED">
            <w:pPr>
              <w:spacing w:before="100" w:beforeAutospacing="1" w:after="100" w:afterAutospacing="1"/>
              <w:rPr>
                <w:rFonts w:eastAsia="Times New Roman"/>
                <w:sz w:val="20"/>
                <w:szCs w:val="20"/>
              </w:rPr>
            </w:pPr>
          </w:p>
        </w:tc>
      </w:tr>
      <w:tr w:rsidR="00000000">
        <w:trPr>
          <w:divId w:val="2144695036"/>
        </w:trPr>
        <w:tc>
          <w:tcPr>
            <w:tcW w:w="0" w:type="auto"/>
            <w:vAlign w:val="bottom"/>
            <w:hideMark/>
          </w:tcPr>
          <w:p w:rsidR="00000000" w:rsidRDefault="008325ED">
            <w:pPr>
              <w:pStyle w:val="a3"/>
              <w:spacing w:before="0" w:beforeAutospacing="0" w:after="0" w:afterAutospacing="0"/>
              <w:jc w:val="center"/>
              <w:rPr>
                <w:sz w:val="20"/>
                <w:szCs w:val="20"/>
              </w:rPr>
            </w:pPr>
            <w:r>
              <w:rPr>
                <w:sz w:val="20"/>
                <w:szCs w:val="20"/>
              </w:rPr>
              <w:t>Exhibit</w:t>
            </w:r>
          </w:p>
          <w:p w:rsidR="00000000" w:rsidRDefault="008325ED">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8325ED">
            <w:pPr>
              <w:pStyle w:val="a3"/>
              <w:spacing w:before="0" w:beforeAutospacing="0" w:after="0" w:afterAutospacing="0"/>
              <w:jc w:val="center"/>
              <w:rPr>
                <w:sz w:val="20"/>
                <w:szCs w:val="20"/>
              </w:rPr>
            </w:pPr>
            <w:r>
              <w:rPr>
                <w:sz w:val="20"/>
                <w:szCs w:val="20"/>
                <w:u w:val="single"/>
              </w:rPr>
              <w:t>Description of Exhibits</w:t>
            </w:r>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Height w:val="189"/>
        </w:trPr>
        <w:tc>
          <w:tcPr>
            <w:tcW w:w="0" w:type="auto"/>
            <w:hideMark/>
          </w:tcPr>
          <w:p w:rsidR="00000000" w:rsidRDefault="008325ED">
            <w:pPr>
              <w:pStyle w:val="a3"/>
              <w:spacing w:before="0" w:beforeAutospacing="0" w:after="0" w:afterAutospacing="0"/>
              <w:jc w:val="both"/>
              <w:rPr>
                <w:sz w:val="20"/>
                <w:szCs w:val="20"/>
              </w:rPr>
            </w:pPr>
            <w:r>
              <w:rPr>
                <w:sz w:val="20"/>
                <w:szCs w:val="20"/>
              </w:rPr>
              <w:t>4.1</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20"/>
                <w:szCs w:val="20"/>
              </w:rPr>
            </w:pPr>
            <w:hyperlink r:id="rId4" w:history="1">
              <w:r>
                <w:rPr>
                  <w:rStyle w:val="a4"/>
                  <w:sz w:val="20"/>
                  <w:szCs w:val="20"/>
                </w:rPr>
                <w:t>Indenture, dated as of September 25, 2015, by and between the Company and Regions Banks, successor-in-interest to U.S. Bank National Association, as Trustee (</w:t>
              </w:r>
              <w:r>
                <w:rPr>
                  <w:rStyle w:val="a4"/>
                  <w:sz w:val="20"/>
                  <w:szCs w:val="20"/>
                </w:rPr>
                <w:t>previously filed as Exhibit 4.1 to the Company's Current Report on Form 8-K (Commission File no. 001-16109), filed with the SEC on September 25, 2015 and incorporated herein by this reference).</w:t>
              </w:r>
            </w:hyperlink>
          </w:p>
        </w:tc>
      </w:tr>
      <w:tr w:rsidR="00000000">
        <w:trPr>
          <w:divId w:val="2144695036"/>
          <w:trHeight w:val="189"/>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Height w:val="189"/>
        </w:trPr>
        <w:tc>
          <w:tcPr>
            <w:tcW w:w="0" w:type="auto"/>
            <w:hideMark/>
          </w:tcPr>
          <w:p w:rsidR="00000000" w:rsidRDefault="008325ED">
            <w:pPr>
              <w:pStyle w:val="a3"/>
              <w:spacing w:before="0" w:beforeAutospacing="0" w:after="0" w:afterAutospacing="0"/>
              <w:jc w:val="both"/>
              <w:rPr>
                <w:sz w:val="20"/>
                <w:szCs w:val="20"/>
              </w:rPr>
            </w:pPr>
            <w:r>
              <w:rPr>
                <w:sz w:val="20"/>
                <w:szCs w:val="20"/>
              </w:rPr>
              <w:t>4.2</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20"/>
                <w:szCs w:val="20"/>
              </w:rPr>
            </w:pPr>
            <w:hyperlink r:id="rId5" w:history="1">
              <w:r>
                <w:rPr>
                  <w:rStyle w:val="a4"/>
                  <w:sz w:val="20"/>
                  <w:szCs w:val="20"/>
                </w:rPr>
                <w:t>Third Supplemental Indenture, dated as of April 14, 2021, by and among the Company, certain subsidiary guarantors and Regions Bank, as Trustee (previously filed as Exhibit 4.2 to the Company's Curren</w:t>
              </w:r>
              <w:r>
                <w:rPr>
                  <w:rStyle w:val="a4"/>
                  <w:sz w:val="20"/>
                  <w:szCs w:val="20"/>
                </w:rPr>
                <w:t>t Report on Form 8-K (Commission File no. 001-16109), filed with the SEC on April 14, 2021 and incorporated herein by this reference).</w:t>
              </w:r>
            </w:hyperlink>
          </w:p>
        </w:tc>
      </w:tr>
      <w:tr w:rsidR="00000000">
        <w:trPr>
          <w:divId w:val="2144695036"/>
          <w:trHeight w:val="189"/>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Height w:val="189"/>
        </w:trPr>
        <w:tc>
          <w:tcPr>
            <w:tcW w:w="0" w:type="auto"/>
            <w:hideMark/>
          </w:tcPr>
          <w:p w:rsidR="00000000" w:rsidRDefault="008325ED">
            <w:pPr>
              <w:pStyle w:val="a3"/>
              <w:spacing w:before="0" w:beforeAutospacing="0" w:after="0" w:afterAutospacing="0"/>
              <w:jc w:val="both"/>
              <w:rPr>
                <w:sz w:val="20"/>
                <w:szCs w:val="20"/>
              </w:rPr>
            </w:pPr>
            <w:r>
              <w:rPr>
                <w:sz w:val="20"/>
                <w:szCs w:val="20"/>
              </w:rPr>
              <w:t>4.3</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20"/>
                <w:szCs w:val="20"/>
              </w:rPr>
            </w:pPr>
            <w:hyperlink r:id="rId6" w:history="1">
              <w:r>
                <w:rPr>
                  <w:rStyle w:val="a4"/>
                  <w:sz w:val="20"/>
                  <w:szCs w:val="20"/>
                </w:rPr>
                <w:t>Form of 8.25% Note due 2026 (incorporated by reference to Exhibit A to Exhibit 4.2 hereof).</w:t>
              </w:r>
            </w:hyperlink>
          </w:p>
        </w:tc>
      </w:tr>
      <w:tr w:rsidR="00000000">
        <w:trPr>
          <w:divId w:val="2144695036"/>
          <w:trHeight w:val="189"/>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22.1*</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hyperlink r:id="rId7" w:history="1">
              <w:r>
                <w:rPr>
                  <w:rStyle w:val="a4"/>
                  <w:sz w:val="20"/>
                  <w:szCs w:val="20"/>
                </w:rPr>
                <w:t>List of Guarantor Subsidiaries.</w:t>
              </w:r>
            </w:hyperlink>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31.1*</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hyperlink r:id="rId8" w:history="1">
              <w:r>
                <w:rPr>
                  <w:rStyle w:val="a4"/>
                  <w:sz w:val="20"/>
                  <w:szCs w:val="20"/>
                </w:rPr>
                <w:t>Certification of the Company's Chief Executive Officer pursuant to Securities and Exchange Act Rules 13a-14(a) and 15d-14(a), as adopted pursuant to Section 302 of the Sarbanes</w:t>
              </w:r>
              <w:r>
                <w:rPr>
                  <w:rStyle w:val="a4"/>
                  <w:sz w:val="20"/>
                  <w:szCs w:val="20"/>
                </w:rPr>
                <w:t>-Oxley Act of 2002.</w:t>
              </w:r>
            </w:hyperlink>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31.2*</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hyperlink r:id="rId9" w:history="1">
              <w:r>
                <w:rPr>
                  <w:rStyle w:val="a4"/>
                  <w:sz w:val="20"/>
                  <w:szCs w:val="20"/>
                </w:rPr>
                <w:t>Certification of the Company's Chief Financial Officer pursuant to Securities and Exchange Act Rules 13a-14(a) and 15d-14(a), as adopted pursuant to Section 302 of the Sarbanes-Oxley Act of 2002.</w:t>
              </w:r>
            </w:hyperlink>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32.1**</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hyperlink r:id="rId10" w:history="1">
              <w:r>
                <w:rPr>
                  <w:rStyle w:val="a4"/>
                  <w:sz w:val="20"/>
                  <w:szCs w:val="20"/>
                </w:rPr>
                <w:t>Certificati</w:t>
              </w:r>
              <w:r>
                <w:rPr>
                  <w:rStyle w:val="a4"/>
                  <w:sz w:val="20"/>
                  <w:szCs w:val="20"/>
                </w:rPr>
                <w:t>on of the Company's Chief Executive Officer pursuant to 18 U.S.C. Section 1350, as adopted pursuant to Section 906 of the Sarbanes-Oxley Act of 2002.</w:t>
              </w:r>
            </w:hyperlink>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32.2**</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hyperlink r:id="rId11" w:history="1">
              <w:r>
                <w:rPr>
                  <w:rStyle w:val="a4"/>
                  <w:sz w:val="20"/>
                  <w:szCs w:val="20"/>
                </w:rPr>
                <w:t>Certification of the Company's Chief Financial Officer p</w:t>
              </w:r>
              <w:r>
                <w:rPr>
                  <w:rStyle w:val="a4"/>
                  <w:sz w:val="20"/>
                  <w:szCs w:val="20"/>
                </w:rPr>
                <w:t>ursuant to 18 U.S.C. Section 1350, as adopted pursuant to Section 906 of the Sarbanes-Oxley Act of 2002.</w:t>
              </w:r>
            </w:hyperlink>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101*</w:t>
            </w:r>
          </w:p>
        </w:tc>
        <w:tc>
          <w:tcPr>
            <w:tcW w:w="0" w:type="auto"/>
            <w:hideMark/>
          </w:tcPr>
          <w:p w:rsidR="00000000" w:rsidRDefault="008325ED">
            <w:pPr>
              <w:pStyle w:val="a3"/>
              <w:spacing w:before="0" w:beforeAutospacing="0" w:after="0" w:afterAutospacing="0"/>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r>
              <w:rPr>
                <w:sz w:val="20"/>
                <w:szCs w:val="20"/>
              </w:rPr>
              <w:t>The following financial information from the Company's Quarterly Report on Form 10-Q for the quarter ended June 30, 2021, formatted in Inline XBRL (Extensible Business Reporting Language) includes: (i) the Consolidated Balance Sheets, (ii) the Consolidated</w:t>
            </w:r>
            <w:r>
              <w:rPr>
                <w:sz w:val="20"/>
                <w:szCs w:val="20"/>
              </w:rPr>
              <w:t xml:space="preserve"> Statements of Operations, (iii) the Consolidated Statements of Cash Flows, (iv) the Consolidated Statements of Stockholders' Equity, and (v) the Notes to Consolidated Financial Statements. The instance document does not appear in the interactive data file</w:t>
            </w:r>
            <w:r>
              <w:rPr>
                <w:sz w:val="20"/>
                <w:szCs w:val="20"/>
              </w:rPr>
              <w:t xml:space="preserve"> because its XBRL tags are embedded within the Inline XBRL document.</w:t>
            </w:r>
          </w:p>
        </w:tc>
      </w:tr>
      <w:tr w:rsidR="00000000">
        <w:trPr>
          <w:divId w:val="2144695036"/>
          <w:trHeight w:val="180"/>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104*</w:t>
            </w:r>
          </w:p>
        </w:tc>
        <w:tc>
          <w:tcPr>
            <w:tcW w:w="0" w:type="auto"/>
            <w:hideMark/>
          </w:tcPr>
          <w:p w:rsidR="00000000" w:rsidRDefault="008325ED">
            <w:pPr>
              <w:pStyle w:val="a3"/>
              <w:spacing w:before="0" w:beforeAutospacing="0" w:after="0" w:afterAutospacing="0"/>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r>
              <w:rPr>
                <w:sz w:val="20"/>
                <w:szCs w:val="20"/>
              </w:rPr>
              <w:t>The cover page from the Company's Quarterly Report on Form 10-Q for the quarter ended June 30, 2021, formatted in Inline XBRL (included in Exhibit 101).</w:t>
            </w:r>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c>
          <w:tcPr>
            <w:tcW w:w="0" w:type="auto"/>
            <w:hideMark/>
          </w:tcPr>
          <w:p w:rsidR="00000000" w:rsidRDefault="008325ED">
            <w:pPr>
              <w:pStyle w:val="a3"/>
              <w:spacing w:before="0" w:beforeAutospacing="0" w:after="0" w:afterAutospacing="0"/>
              <w:rPr>
                <w:sz w:val="20"/>
                <w:szCs w:val="20"/>
              </w:rPr>
            </w:pPr>
            <w:r>
              <w:rPr>
                <w:sz w:val="20"/>
                <w:szCs w:val="20"/>
              </w:rPr>
              <w:t> </w:t>
            </w:r>
          </w:p>
        </w:tc>
      </w:tr>
      <w:tr w:rsidR="00000000">
        <w:trPr>
          <w:divId w:val="2144695036"/>
        </w:trPr>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c>
          <w:tcPr>
            <w:tcW w:w="0" w:type="auto"/>
            <w:hideMark/>
          </w:tcPr>
          <w:p w:rsidR="00000000" w:rsidRDefault="008325ED">
            <w:pPr>
              <w:pStyle w:val="a3"/>
              <w:spacing w:before="0" w:beforeAutospacing="0" w:after="0" w:afterAutospacing="0"/>
              <w:jc w:val="both"/>
              <w:rPr>
                <w:sz w:val="12"/>
                <w:szCs w:val="12"/>
              </w:rPr>
            </w:pPr>
            <w:r>
              <w:rPr>
                <w:sz w:val="12"/>
                <w:szCs w:val="12"/>
              </w:rPr>
              <w:t> </w:t>
            </w:r>
          </w:p>
        </w:tc>
      </w:tr>
      <w:tr w:rsidR="00000000">
        <w:trPr>
          <w:divId w:val="2144695036"/>
        </w:trPr>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c>
          <w:tcPr>
            <w:tcW w:w="0" w:type="auto"/>
            <w:hideMark/>
          </w:tcPr>
          <w:p w:rsidR="00000000" w:rsidRDefault="008325ED">
            <w:pPr>
              <w:pStyle w:val="a3"/>
              <w:spacing w:before="0" w:beforeAutospacing="0" w:after="0" w:afterAutospacing="0"/>
              <w:jc w:val="both"/>
              <w:rPr>
                <w:sz w:val="20"/>
                <w:szCs w:val="20"/>
              </w:rPr>
            </w:pPr>
            <w:r>
              <w:rPr>
                <w:sz w:val="20"/>
                <w:szCs w:val="20"/>
              </w:rPr>
              <w:t> </w:t>
            </w:r>
          </w:p>
        </w:tc>
      </w:tr>
    </w:tbl>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7142378"/>
        </w:trPr>
        <w:tc>
          <w:tcPr>
            <w:tcW w:w="227" w:type="pct"/>
            <w:noWrap/>
            <w:hideMark/>
          </w:tcPr>
          <w:p w:rsidR="00000000" w:rsidRDefault="008325ED">
            <w:pPr>
              <w:pStyle w:val="a3"/>
              <w:spacing w:before="0" w:beforeAutospacing="0" w:after="0" w:afterAutospacing="0"/>
              <w:rPr>
                <w:sz w:val="20"/>
                <w:szCs w:val="20"/>
              </w:rPr>
            </w:pPr>
            <w:r>
              <w:rPr>
                <w:sz w:val="20"/>
                <w:szCs w:val="20"/>
              </w:rPr>
              <w:t>*</w:t>
            </w:r>
          </w:p>
        </w:tc>
        <w:tc>
          <w:tcPr>
            <w:tcW w:w="0" w:type="auto"/>
            <w:hideMark/>
          </w:tcPr>
          <w:p w:rsidR="00000000" w:rsidRDefault="008325ED">
            <w:pPr>
              <w:pStyle w:val="a3"/>
              <w:spacing w:before="0" w:beforeAutospacing="0" w:after="0" w:afterAutospacing="0"/>
              <w:rPr>
                <w:sz w:val="20"/>
                <w:szCs w:val="20"/>
              </w:rPr>
            </w:pPr>
            <w:r>
              <w:rPr>
                <w:sz w:val="20"/>
                <w:szCs w:val="20"/>
              </w:rPr>
              <w:t>Filed herewith.</w:t>
            </w:r>
          </w:p>
        </w:tc>
      </w:tr>
    </w:tbl>
    <w:p w:rsidR="00000000" w:rsidRDefault="008325ED">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18392446"/>
        </w:trPr>
        <w:tc>
          <w:tcPr>
            <w:tcW w:w="227" w:type="pct"/>
            <w:noWrap/>
            <w:hideMark/>
          </w:tcPr>
          <w:p w:rsidR="00000000" w:rsidRDefault="008325ED">
            <w:pPr>
              <w:pStyle w:val="a3"/>
              <w:spacing w:before="0" w:beforeAutospacing="0" w:after="0" w:afterAutospacing="0"/>
              <w:jc w:val="both"/>
              <w:rPr>
                <w:sz w:val="20"/>
                <w:szCs w:val="20"/>
              </w:rPr>
            </w:pPr>
            <w:r>
              <w:rPr>
                <w:sz w:val="20"/>
                <w:szCs w:val="20"/>
              </w:rPr>
              <w:t>**</w:t>
            </w:r>
          </w:p>
        </w:tc>
        <w:tc>
          <w:tcPr>
            <w:tcW w:w="0" w:type="auto"/>
            <w:hideMark/>
          </w:tcPr>
          <w:p w:rsidR="00000000" w:rsidRDefault="008325ED">
            <w:pPr>
              <w:pStyle w:val="a3"/>
              <w:spacing w:before="0" w:beforeAutospacing="0" w:after="0" w:afterAutospacing="0"/>
              <w:jc w:val="both"/>
              <w:rPr>
                <w:sz w:val="20"/>
                <w:szCs w:val="20"/>
              </w:rPr>
            </w:pPr>
            <w:r>
              <w:rPr>
                <w:sz w:val="20"/>
                <w:szCs w:val="20"/>
              </w:rPr>
              <w:t xml:space="preserve">Furnished herewith. </w:t>
            </w:r>
          </w:p>
        </w:tc>
      </w:tr>
    </w:tbl>
    <w:p w:rsidR="00000000" w:rsidRDefault="008325ED">
      <w:pPr>
        <w:pStyle w:val="a3"/>
        <w:spacing w:before="240" w:beforeAutospacing="0" w:after="0" w:afterAutospacing="0"/>
        <w:jc w:val="center"/>
        <w:rPr>
          <w:sz w:val="20"/>
          <w:szCs w:val="20"/>
        </w:rPr>
      </w:pPr>
      <w:r>
        <w:rPr>
          <w:sz w:val="20"/>
          <w:szCs w:val="20"/>
        </w:rPr>
        <w:t>48</w:t>
      </w:r>
    </w:p>
    <w:p w:rsidR="00000000" w:rsidRDefault="008325ED">
      <w:pPr>
        <w:rPr>
          <w:rFonts w:eastAsia="Times New Roman"/>
        </w:rPr>
      </w:pPr>
      <w:r>
        <w:rPr>
          <w:rFonts w:eastAsia="Times New Roman"/>
        </w:rPr>
        <w:pict>
          <v:rect id="_x0000_i1074" style="width:0;height:1.5pt" o:hralign="center" o:hrstd="t" o:hr="t" fillcolor="#a0a0a0" stroked="f"/>
        </w:pic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rPr>
          <w:sz w:val="20"/>
          <w:szCs w:val="20"/>
        </w:rPr>
      </w:pPr>
      <w:r>
        <w:rPr>
          <w:sz w:val="20"/>
          <w:szCs w:val="20"/>
        </w:rPr>
        <w:t> </w:t>
      </w:r>
    </w:p>
    <w:p w:rsidR="00000000" w:rsidRDefault="008325ED">
      <w:pPr>
        <w:pStyle w:val="a3"/>
        <w:spacing w:before="0" w:beforeAutospacing="0" w:after="0" w:afterAutospacing="0"/>
        <w:jc w:val="center"/>
        <w:rPr>
          <w:b/>
          <w:bCs/>
          <w:sz w:val="20"/>
          <w:szCs w:val="20"/>
        </w:rPr>
      </w:pPr>
      <w:r>
        <w:rPr>
          <w:b/>
          <w:bCs/>
          <w:sz w:val="20"/>
          <w:szCs w:val="20"/>
        </w:rPr>
        <w:t>SIGNATURES</w:t>
      </w:r>
    </w:p>
    <w:p w:rsidR="00000000" w:rsidRDefault="008325ED">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8325ED">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gridSpan w:val="2"/>
            <w:hideMark/>
          </w:tcPr>
          <w:p w:rsidR="00000000" w:rsidRDefault="008325ED">
            <w:pPr>
              <w:pStyle w:val="a3"/>
              <w:spacing w:before="0" w:beforeAutospacing="0" w:after="0" w:afterAutospacing="0"/>
              <w:rPr>
                <w:b/>
                <w:bCs/>
                <w:sz w:val="20"/>
                <w:szCs w:val="20"/>
              </w:rPr>
            </w:pPr>
            <w:r>
              <w:rPr>
                <w:b/>
                <w:bCs/>
                <w:sz w:val="20"/>
                <w:szCs w:val="20"/>
              </w:rPr>
              <w:t>CORECIVIC, INC.</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hideMark/>
          </w:tcPr>
          <w:p w:rsidR="00000000" w:rsidRDefault="008325ED">
            <w:pPr>
              <w:pStyle w:val="a3"/>
              <w:spacing w:before="0" w:beforeAutospacing="0" w:after="0" w:afterAutospacing="0"/>
              <w:rPr>
                <w:sz w:val="20"/>
                <w:szCs w:val="20"/>
              </w:rPr>
            </w:pPr>
            <w:r>
              <w:rPr>
                <w:sz w:val="20"/>
                <w:szCs w:val="20"/>
              </w:rPr>
              <w:t> </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Date:  August 9, 2021</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hideMark/>
          </w:tcPr>
          <w:p w:rsidR="00000000" w:rsidRDefault="008325ED">
            <w:pPr>
              <w:pStyle w:val="a3"/>
              <w:spacing w:before="0" w:beforeAutospacing="0" w:after="0" w:afterAutospacing="0"/>
              <w:rPr>
                <w:sz w:val="20"/>
                <w:szCs w:val="20"/>
              </w:rPr>
            </w:pPr>
            <w:r>
              <w:rPr>
                <w:sz w:val="20"/>
                <w:szCs w:val="20"/>
              </w:rPr>
              <w:t> </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8325ED">
            <w:pPr>
              <w:pStyle w:val="a3"/>
              <w:spacing w:before="0" w:beforeAutospacing="0" w:after="0" w:afterAutospacing="0"/>
              <w:rPr>
                <w:sz w:val="20"/>
                <w:szCs w:val="20"/>
              </w:rPr>
            </w:pPr>
            <w:r>
              <w:rPr>
                <w:sz w:val="20"/>
                <w:szCs w:val="20"/>
              </w:rPr>
              <w:t>/s/ Damon T. Hininger</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8325ED">
            <w:pPr>
              <w:pStyle w:val="a3"/>
              <w:spacing w:before="0" w:beforeAutospacing="0" w:after="0" w:afterAutospacing="0"/>
              <w:rPr>
                <w:sz w:val="20"/>
                <w:szCs w:val="20"/>
              </w:rPr>
            </w:pPr>
            <w:r>
              <w:rPr>
                <w:sz w:val="20"/>
                <w:szCs w:val="20"/>
              </w:rPr>
              <w:t>Damon T. Hininger</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hideMark/>
          </w:tcPr>
          <w:p w:rsidR="00000000" w:rsidRDefault="008325ED">
            <w:pPr>
              <w:pStyle w:val="a3"/>
              <w:spacing w:before="0" w:beforeAutospacing="0" w:after="0" w:afterAutospacing="0"/>
              <w:rPr>
                <w:sz w:val="20"/>
                <w:szCs w:val="20"/>
              </w:rPr>
            </w:pPr>
            <w:r>
              <w:rPr>
                <w:sz w:val="20"/>
                <w:szCs w:val="20"/>
              </w:rPr>
              <w:t>President and Chief Executive Officer</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hideMark/>
          </w:tcPr>
          <w:p w:rsidR="00000000" w:rsidRDefault="008325ED">
            <w:pPr>
              <w:pStyle w:val="a3"/>
              <w:spacing w:before="0" w:beforeAutospacing="0" w:after="0" w:afterAutospacing="0"/>
              <w:rPr>
                <w:sz w:val="20"/>
                <w:szCs w:val="20"/>
              </w:rPr>
            </w:pPr>
            <w:r>
              <w:rPr>
                <w:sz w:val="20"/>
                <w:szCs w:val="20"/>
              </w:rPr>
              <w:t> </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8325ED">
            <w:pPr>
              <w:pStyle w:val="a3"/>
              <w:spacing w:before="0" w:beforeAutospacing="0" w:after="0" w:afterAutospacing="0"/>
              <w:rPr>
                <w:sz w:val="20"/>
                <w:szCs w:val="20"/>
              </w:rPr>
            </w:pPr>
            <w:r>
              <w:rPr>
                <w:sz w:val="20"/>
                <w:szCs w:val="20"/>
              </w:rPr>
              <w:t>/s/ David M. Garfinkle</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8325ED">
            <w:pPr>
              <w:pStyle w:val="a3"/>
              <w:spacing w:before="0" w:beforeAutospacing="0" w:after="0" w:afterAutospacing="0"/>
              <w:rPr>
                <w:sz w:val="20"/>
                <w:szCs w:val="20"/>
              </w:rPr>
            </w:pPr>
            <w:r>
              <w:rPr>
                <w:sz w:val="20"/>
                <w:szCs w:val="20"/>
              </w:rPr>
              <w:t>David M. Garfinkle</w:t>
            </w:r>
          </w:p>
        </w:tc>
      </w:tr>
      <w:tr w:rsidR="00000000">
        <w:trPr>
          <w:divId w:val="782765487"/>
        </w:trPr>
        <w:tc>
          <w:tcPr>
            <w:tcW w:w="2500" w:type="pct"/>
            <w:hideMark/>
          </w:tcPr>
          <w:p w:rsidR="00000000" w:rsidRDefault="008325ED">
            <w:pPr>
              <w:pStyle w:val="a3"/>
              <w:spacing w:before="0" w:beforeAutospacing="0" w:after="0" w:afterAutospacing="0"/>
              <w:rPr>
                <w:sz w:val="20"/>
                <w:szCs w:val="20"/>
              </w:rPr>
            </w:pPr>
            <w:r>
              <w:rPr>
                <w:sz w:val="20"/>
                <w:szCs w:val="20"/>
              </w:rPr>
              <w:t> </w:t>
            </w:r>
          </w:p>
        </w:tc>
        <w:tc>
          <w:tcPr>
            <w:tcW w:w="250" w:type="pct"/>
            <w:hideMark/>
          </w:tcPr>
          <w:p w:rsidR="00000000" w:rsidRDefault="008325ED">
            <w:pPr>
              <w:pStyle w:val="a3"/>
              <w:spacing w:before="0" w:beforeAutospacing="0" w:after="0" w:afterAutospacing="0"/>
              <w:rPr>
                <w:sz w:val="20"/>
                <w:szCs w:val="20"/>
              </w:rPr>
            </w:pPr>
            <w:r>
              <w:rPr>
                <w:sz w:val="20"/>
                <w:szCs w:val="20"/>
              </w:rPr>
              <w:t> </w:t>
            </w:r>
          </w:p>
        </w:tc>
        <w:tc>
          <w:tcPr>
            <w:tcW w:w="2250" w:type="pct"/>
            <w:hideMark/>
          </w:tcPr>
          <w:p w:rsidR="00000000" w:rsidRDefault="008325ED">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8325ED">
      <w:pPr>
        <w:pStyle w:val="a3"/>
        <w:spacing w:before="0" w:beforeAutospacing="0" w:after="0" w:afterAutospacing="0"/>
        <w:rPr>
          <w:sz w:val="23"/>
          <w:szCs w:val="23"/>
        </w:rPr>
      </w:pPr>
      <w:r>
        <w:rPr>
          <w:sz w:val="23"/>
          <w:szCs w:val="23"/>
        </w:rPr>
        <w:t> </w:t>
      </w:r>
    </w:p>
    <w:p w:rsidR="008325ED" w:rsidRDefault="008325ED">
      <w:pPr>
        <w:pStyle w:val="a3"/>
        <w:spacing w:before="240" w:beforeAutospacing="0" w:after="0" w:afterAutospacing="0"/>
        <w:jc w:val="center"/>
        <w:rPr>
          <w:sz w:val="20"/>
          <w:szCs w:val="20"/>
        </w:rPr>
      </w:pPr>
      <w:r>
        <w:rPr>
          <w:sz w:val="20"/>
          <w:szCs w:val="20"/>
        </w:rPr>
        <w:t>49</w:t>
      </w:r>
    </w:p>
    <w:sectPr w:rsidR="008325E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5ED"/>
    <w:rsid w:val="008325ED"/>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cca.com/20210630"/>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20-01-31"/>
  <w:attachedSchema w:val="http://xbrl.sec.gov/dei-ent-std/2020-01-31"/>
  <w:attachedSchema w:val="http://xbrl.sec.gov/dei/2020-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dtr/type/2020-01-21"/>
  <w:attachedSchema w:val="http://xbrl.org/2020/extensible-enumerations-2.0"/>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080">
      <w:marLeft w:val="0"/>
      <w:marRight w:val="0"/>
      <w:marTop w:val="0"/>
      <w:marBottom w:val="0"/>
      <w:divBdr>
        <w:top w:val="none" w:sz="0" w:space="0" w:color="auto"/>
        <w:left w:val="none" w:sz="0" w:space="0" w:color="auto"/>
        <w:bottom w:val="none" w:sz="0" w:space="0" w:color="auto"/>
        <w:right w:val="none" w:sz="0" w:space="0" w:color="auto"/>
      </w:divBdr>
    </w:div>
    <w:div w:id="43258890">
      <w:marLeft w:val="0"/>
      <w:marRight w:val="0"/>
      <w:marTop w:val="0"/>
      <w:marBottom w:val="0"/>
      <w:divBdr>
        <w:top w:val="none" w:sz="0" w:space="0" w:color="auto"/>
        <w:left w:val="none" w:sz="0" w:space="0" w:color="auto"/>
        <w:bottom w:val="none" w:sz="0" w:space="0" w:color="auto"/>
        <w:right w:val="none" w:sz="0" w:space="0" w:color="auto"/>
      </w:divBdr>
    </w:div>
    <w:div w:id="65227039">
      <w:marLeft w:val="0"/>
      <w:marRight w:val="0"/>
      <w:marTop w:val="0"/>
      <w:marBottom w:val="0"/>
      <w:divBdr>
        <w:top w:val="none" w:sz="0" w:space="0" w:color="auto"/>
        <w:left w:val="none" w:sz="0" w:space="0" w:color="auto"/>
        <w:bottom w:val="none" w:sz="0" w:space="0" w:color="auto"/>
        <w:right w:val="none" w:sz="0" w:space="0" w:color="auto"/>
      </w:divBdr>
    </w:div>
    <w:div w:id="137110984">
      <w:marLeft w:val="0"/>
      <w:marRight w:val="0"/>
      <w:marTop w:val="0"/>
      <w:marBottom w:val="0"/>
      <w:divBdr>
        <w:top w:val="none" w:sz="0" w:space="0" w:color="auto"/>
        <w:left w:val="none" w:sz="0" w:space="0" w:color="auto"/>
        <w:bottom w:val="none" w:sz="0" w:space="0" w:color="auto"/>
        <w:right w:val="none" w:sz="0" w:space="0" w:color="auto"/>
      </w:divBdr>
    </w:div>
    <w:div w:id="156505819">
      <w:marLeft w:val="0"/>
      <w:marRight w:val="0"/>
      <w:marTop w:val="0"/>
      <w:marBottom w:val="0"/>
      <w:divBdr>
        <w:top w:val="none" w:sz="0" w:space="0" w:color="auto"/>
        <w:left w:val="none" w:sz="0" w:space="0" w:color="auto"/>
        <w:bottom w:val="none" w:sz="0" w:space="0" w:color="auto"/>
        <w:right w:val="none" w:sz="0" w:space="0" w:color="auto"/>
      </w:divBdr>
    </w:div>
    <w:div w:id="218440767">
      <w:marLeft w:val="0"/>
      <w:marRight w:val="0"/>
      <w:marTop w:val="0"/>
      <w:marBottom w:val="0"/>
      <w:divBdr>
        <w:top w:val="none" w:sz="0" w:space="0" w:color="auto"/>
        <w:left w:val="none" w:sz="0" w:space="0" w:color="auto"/>
        <w:bottom w:val="none" w:sz="0" w:space="0" w:color="auto"/>
        <w:right w:val="none" w:sz="0" w:space="0" w:color="auto"/>
      </w:divBdr>
    </w:div>
    <w:div w:id="239559823">
      <w:marLeft w:val="0"/>
      <w:marRight w:val="0"/>
      <w:marTop w:val="0"/>
      <w:marBottom w:val="0"/>
      <w:divBdr>
        <w:top w:val="none" w:sz="0" w:space="0" w:color="auto"/>
        <w:left w:val="none" w:sz="0" w:space="0" w:color="auto"/>
        <w:bottom w:val="none" w:sz="0" w:space="0" w:color="auto"/>
        <w:right w:val="none" w:sz="0" w:space="0" w:color="auto"/>
      </w:divBdr>
    </w:div>
    <w:div w:id="281424172">
      <w:marLeft w:val="0"/>
      <w:marRight w:val="0"/>
      <w:marTop w:val="0"/>
      <w:marBottom w:val="0"/>
      <w:divBdr>
        <w:top w:val="none" w:sz="0" w:space="0" w:color="auto"/>
        <w:left w:val="none" w:sz="0" w:space="0" w:color="auto"/>
        <w:bottom w:val="none" w:sz="0" w:space="0" w:color="auto"/>
        <w:right w:val="none" w:sz="0" w:space="0" w:color="auto"/>
      </w:divBdr>
    </w:div>
    <w:div w:id="305283675">
      <w:marLeft w:val="0"/>
      <w:marRight w:val="0"/>
      <w:marTop w:val="0"/>
      <w:marBottom w:val="0"/>
      <w:divBdr>
        <w:top w:val="none" w:sz="0" w:space="0" w:color="auto"/>
        <w:left w:val="none" w:sz="0" w:space="0" w:color="auto"/>
        <w:bottom w:val="none" w:sz="0" w:space="0" w:color="auto"/>
        <w:right w:val="none" w:sz="0" w:space="0" w:color="auto"/>
      </w:divBdr>
    </w:div>
    <w:div w:id="372192196">
      <w:marLeft w:val="0"/>
      <w:marRight w:val="0"/>
      <w:marTop w:val="0"/>
      <w:marBottom w:val="0"/>
      <w:divBdr>
        <w:top w:val="none" w:sz="0" w:space="0" w:color="auto"/>
        <w:left w:val="none" w:sz="0" w:space="0" w:color="auto"/>
        <w:bottom w:val="none" w:sz="0" w:space="0" w:color="auto"/>
        <w:right w:val="none" w:sz="0" w:space="0" w:color="auto"/>
      </w:divBdr>
    </w:div>
    <w:div w:id="402682212">
      <w:marLeft w:val="0"/>
      <w:marRight w:val="0"/>
      <w:marTop w:val="0"/>
      <w:marBottom w:val="0"/>
      <w:divBdr>
        <w:top w:val="none" w:sz="0" w:space="0" w:color="auto"/>
        <w:left w:val="none" w:sz="0" w:space="0" w:color="auto"/>
        <w:bottom w:val="none" w:sz="0" w:space="0" w:color="auto"/>
        <w:right w:val="none" w:sz="0" w:space="0" w:color="auto"/>
      </w:divBdr>
    </w:div>
    <w:div w:id="422838918">
      <w:marLeft w:val="0"/>
      <w:marRight w:val="0"/>
      <w:marTop w:val="0"/>
      <w:marBottom w:val="0"/>
      <w:divBdr>
        <w:top w:val="none" w:sz="0" w:space="0" w:color="auto"/>
        <w:left w:val="none" w:sz="0" w:space="0" w:color="auto"/>
        <w:bottom w:val="none" w:sz="0" w:space="0" w:color="auto"/>
        <w:right w:val="none" w:sz="0" w:space="0" w:color="auto"/>
      </w:divBdr>
    </w:div>
    <w:div w:id="463542615">
      <w:marLeft w:val="0"/>
      <w:marRight w:val="0"/>
      <w:marTop w:val="0"/>
      <w:marBottom w:val="0"/>
      <w:divBdr>
        <w:top w:val="none" w:sz="0" w:space="0" w:color="auto"/>
        <w:left w:val="none" w:sz="0" w:space="0" w:color="auto"/>
        <w:bottom w:val="none" w:sz="0" w:space="0" w:color="auto"/>
        <w:right w:val="none" w:sz="0" w:space="0" w:color="auto"/>
      </w:divBdr>
    </w:div>
    <w:div w:id="518392446">
      <w:marLeft w:val="0"/>
      <w:marRight w:val="0"/>
      <w:marTop w:val="0"/>
      <w:marBottom w:val="0"/>
      <w:divBdr>
        <w:top w:val="none" w:sz="0" w:space="0" w:color="auto"/>
        <w:left w:val="none" w:sz="0" w:space="0" w:color="auto"/>
        <w:bottom w:val="none" w:sz="0" w:space="0" w:color="auto"/>
        <w:right w:val="none" w:sz="0" w:space="0" w:color="auto"/>
      </w:divBdr>
    </w:div>
    <w:div w:id="534319459">
      <w:marLeft w:val="0"/>
      <w:marRight w:val="0"/>
      <w:marTop w:val="0"/>
      <w:marBottom w:val="0"/>
      <w:divBdr>
        <w:top w:val="none" w:sz="0" w:space="0" w:color="auto"/>
        <w:left w:val="none" w:sz="0" w:space="0" w:color="auto"/>
        <w:bottom w:val="none" w:sz="0" w:space="0" w:color="auto"/>
        <w:right w:val="none" w:sz="0" w:space="0" w:color="auto"/>
      </w:divBdr>
    </w:div>
    <w:div w:id="544607832">
      <w:marLeft w:val="0"/>
      <w:marRight w:val="0"/>
      <w:marTop w:val="0"/>
      <w:marBottom w:val="0"/>
      <w:divBdr>
        <w:top w:val="none" w:sz="0" w:space="0" w:color="auto"/>
        <w:left w:val="none" w:sz="0" w:space="0" w:color="auto"/>
        <w:bottom w:val="none" w:sz="0" w:space="0" w:color="auto"/>
        <w:right w:val="none" w:sz="0" w:space="0" w:color="auto"/>
      </w:divBdr>
    </w:div>
    <w:div w:id="556860822">
      <w:marLeft w:val="0"/>
      <w:marRight w:val="0"/>
      <w:marTop w:val="0"/>
      <w:marBottom w:val="0"/>
      <w:divBdr>
        <w:top w:val="none" w:sz="0" w:space="0" w:color="auto"/>
        <w:left w:val="none" w:sz="0" w:space="0" w:color="auto"/>
        <w:bottom w:val="none" w:sz="0" w:space="0" w:color="auto"/>
        <w:right w:val="none" w:sz="0" w:space="0" w:color="auto"/>
      </w:divBdr>
    </w:div>
    <w:div w:id="565381954">
      <w:marLeft w:val="0"/>
      <w:marRight w:val="0"/>
      <w:marTop w:val="0"/>
      <w:marBottom w:val="0"/>
      <w:divBdr>
        <w:top w:val="none" w:sz="0" w:space="0" w:color="auto"/>
        <w:left w:val="none" w:sz="0" w:space="0" w:color="auto"/>
        <w:bottom w:val="none" w:sz="0" w:space="0" w:color="auto"/>
        <w:right w:val="none" w:sz="0" w:space="0" w:color="auto"/>
      </w:divBdr>
    </w:div>
    <w:div w:id="619604342">
      <w:marLeft w:val="0"/>
      <w:marRight w:val="0"/>
      <w:marTop w:val="0"/>
      <w:marBottom w:val="0"/>
      <w:divBdr>
        <w:top w:val="none" w:sz="0" w:space="0" w:color="auto"/>
        <w:left w:val="none" w:sz="0" w:space="0" w:color="auto"/>
        <w:bottom w:val="none" w:sz="0" w:space="0" w:color="auto"/>
        <w:right w:val="none" w:sz="0" w:space="0" w:color="auto"/>
      </w:divBdr>
    </w:div>
    <w:div w:id="631793861">
      <w:marLeft w:val="0"/>
      <w:marRight w:val="0"/>
      <w:marTop w:val="0"/>
      <w:marBottom w:val="0"/>
      <w:divBdr>
        <w:top w:val="none" w:sz="0" w:space="0" w:color="auto"/>
        <w:left w:val="none" w:sz="0" w:space="0" w:color="auto"/>
        <w:bottom w:val="none" w:sz="0" w:space="0" w:color="auto"/>
        <w:right w:val="none" w:sz="0" w:space="0" w:color="auto"/>
      </w:divBdr>
    </w:div>
    <w:div w:id="687488103">
      <w:marLeft w:val="0"/>
      <w:marRight w:val="0"/>
      <w:marTop w:val="0"/>
      <w:marBottom w:val="0"/>
      <w:divBdr>
        <w:top w:val="none" w:sz="0" w:space="0" w:color="auto"/>
        <w:left w:val="none" w:sz="0" w:space="0" w:color="auto"/>
        <w:bottom w:val="none" w:sz="0" w:space="0" w:color="auto"/>
        <w:right w:val="none" w:sz="0" w:space="0" w:color="auto"/>
      </w:divBdr>
    </w:div>
    <w:div w:id="699166020">
      <w:marLeft w:val="0"/>
      <w:marRight w:val="0"/>
      <w:marTop w:val="0"/>
      <w:marBottom w:val="0"/>
      <w:divBdr>
        <w:top w:val="none" w:sz="0" w:space="0" w:color="auto"/>
        <w:left w:val="none" w:sz="0" w:space="0" w:color="auto"/>
        <w:bottom w:val="none" w:sz="0" w:space="0" w:color="auto"/>
        <w:right w:val="none" w:sz="0" w:space="0" w:color="auto"/>
      </w:divBdr>
    </w:div>
    <w:div w:id="704988370">
      <w:marLeft w:val="0"/>
      <w:marRight w:val="0"/>
      <w:marTop w:val="0"/>
      <w:marBottom w:val="0"/>
      <w:divBdr>
        <w:top w:val="none" w:sz="0" w:space="0" w:color="auto"/>
        <w:left w:val="none" w:sz="0" w:space="0" w:color="auto"/>
        <w:bottom w:val="none" w:sz="0" w:space="0" w:color="auto"/>
        <w:right w:val="none" w:sz="0" w:space="0" w:color="auto"/>
      </w:divBdr>
    </w:div>
    <w:div w:id="710571793">
      <w:marLeft w:val="0"/>
      <w:marRight w:val="0"/>
      <w:marTop w:val="0"/>
      <w:marBottom w:val="0"/>
      <w:divBdr>
        <w:top w:val="none" w:sz="0" w:space="0" w:color="auto"/>
        <w:left w:val="none" w:sz="0" w:space="0" w:color="auto"/>
        <w:bottom w:val="none" w:sz="0" w:space="0" w:color="auto"/>
        <w:right w:val="none" w:sz="0" w:space="0" w:color="auto"/>
      </w:divBdr>
    </w:div>
    <w:div w:id="732506716">
      <w:marLeft w:val="0"/>
      <w:marRight w:val="0"/>
      <w:marTop w:val="0"/>
      <w:marBottom w:val="0"/>
      <w:divBdr>
        <w:top w:val="none" w:sz="0" w:space="0" w:color="auto"/>
        <w:left w:val="none" w:sz="0" w:space="0" w:color="auto"/>
        <w:bottom w:val="none" w:sz="0" w:space="0" w:color="auto"/>
        <w:right w:val="none" w:sz="0" w:space="0" w:color="auto"/>
      </w:divBdr>
    </w:div>
    <w:div w:id="782765487">
      <w:marLeft w:val="0"/>
      <w:marRight w:val="0"/>
      <w:marTop w:val="0"/>
      <w:marBottom w:val="0"/>
      <w:divBdr>
        <w:top w:val="none" w:sz="0" w:space="0" w:color="auto"/>
        <w:left w:val="none" w:sz="0" w:space="0" w:color="auto"/>
        <w:bottom w:val="none" w:sz="0" w:space="0" w:color="auto"/>
        <w:right w:val="none" w:sz="0" w:space="0" w:color="auto"/>
      </w:divBdr>
    </w:div>
    <w:div w:id="790199580">
      <w:marLeft w:val="0"/>
      <w:marRight w:val="0"/>
      <w:marTop w:val="0"/>
      <w:marBottom w:val="0"/>
      <w:divBdr>
        <w:top w:val="none" w:sz="0" w:space="0" w:color="auto"/>
        <w:left w:val="none" w:sz="0" w:space="0" w:color="auto"/>
        <w:bottom w:val="none" w:sz="0" w:space="0" w:color="auto"/>
        <w:right w:val="none" w:sz="0" w:space="0" w:color="auto"/>
      </w:divBdr>
    </w:div>
    <w:div w:id="796997170">
      <w:marLeft w:val="0"/>
      <w:marRight w:val="0"/>
      <w:marTop w:val="0"/>
      <w:marBottom w:val="0"/>
      <w:divBdr>
        <w:top w:val="none" w:sz="0" w:space="0" w:color="auto"/>
        <w:left w:val="none" w:sz="0" w:space="0" w:color="auto"/>
        <w:bottom w:val="none" w:sz="0" w:space="0" w:color="auto"/>
        <w:right w:val="none" w:sz="0" w:space="0" w:color="auto"/>
      </w:divBdr>
    </w:div>
    <w:div w:id="868379187">
      <w:marLeft w:val="0"/>
      <w:marRight w:val="0"/>
      <w:marTop w:val="0"/>
      <w:marBottom w:val="0"/>
      <w:divBdr>
        <w:top w:val="none" w:sz="0" w:space="0" w:color="auto"/>
        <w:left w:val="none" w:sz="0" w:space="0" w:color="auto"/>
        <w:bottom w:val="none" w:sz="0" w:space="0" w:color="auto"/>
        <w:right w:val="none" w:sz="0" w:space="0" w:color="auto"/>
      </w:divBdr>
    </w:div>
    <w:div w:id="873662241">
      <w:marLeft w:val="0"/>
      <w:marRight w:val="0"/>
      <w:marTop w:val="0"/>
      <w:marBottom w:val="0"/>
      <w:divBdr>
        <w:top w:val="none" w:sz="0" w:space="0" w:color="auto"/>
        <w:left w:val="none" w:sz="0" w:space="0" w:color="auto"/>
        <w:bottom w:val="none" w:sz="0" w:space="0" w:color="auto"/>
        <w:right w:val="none" w:sz="0" w:space="0" w:color="auto"/>
      </w:divBdr>
    </w:div>
    <w:div w:id="900018402">
      <w:marLeft w:val="0"/>
      <w:marRight w:val="0"/>
      <w:marTop w:val="0"/>
      <w:marBottom w:val="0"/>
      <w:divBdr>
        <w:top w:val="none" w:sz="0" w:space="0" w:color="auto"/>
        <w:left w:val="none" w:sz="0" w:space="0" w:color="auto"/>
        <w:bottom w:val="none" w:sz="0" w:space="0" w:color="auto"/>
        <w:right w:val="none" w:sz="0" w:space="0" w:color="auto"/>
      </w:divBdr>
    </w:div>
    <w:div w:id="997608346">
      <w:marLeft w:val="0"/>
      <w:marRight w:val="0"/>
      <w:marTop w:val="0"/>
      <w:marBottom w:val="0"/>
      <w:divBdr>
        <w:top w:val="none" w:sz="0" w:space="0" w:color="auto"/>
        <w:left w:val="none" w:sz="0" w:space="0" w:color="auto"/>
        <w:bottom w:val="none" w:sz="0" w:space="0" w:color="auto"/>
        <w:right w:val="none" w:sz="0" w:space="0" w:color="auto"/>
      </w:divBdr>
    </w:div>
    <w:div w:id="1002003256">
      <w:marLeft w:val="0"/>
      <w:marRight w:val="0"/>
      <w:marTop w:val="0"/>
      <w:marBottom w:val="0"/>
      <w:divBdr>
        <w:top w:val="none" w:sz="0" w:space="0" w:color="auto"/>
        <w:left w:val="none" w:sz="0" w:space="0" w:color="auto"/>
        <w:bottom w:val="none" w:sz="0" w:space="0" w:color="auto"/>
        <w:right w:val="none" w:sz="0" w:space="0" w:color="auto"/>
      </w:divBdr>
    </w:div>
    <w:div w:id="1047798475">
      <w:marLeft w:val="0"/>
      <w:marRight w:val="0"/>
      <w:marTop w:val="0"/>
      <w:marBottom w:val="0"/>
      <w:divBdr>
        <w:top w:val="none" w:sz="0" w:space="0" w:color="auto"/>
        <w:left w:val="none" w:sz="0" w:space="0" w:color="auto"/>
        <w:bottom w:val="none" w:sz="0" w:space="0" w:color="auto"/>
        <w:right w:val="none" w:sz="0" w:space="0" w:color="auto"/>
      </w:divBdr>
    </w:div>
    <w:div w:id="1051536061">
      <w:marLeft w:val="0"/>
      <w:marRight w:val="0"/>
      <w:marTop w:val="0"/>
      <w:marBottom w:val="0"/>
      <w:divBdr>
        <w:top w:val="none" w:sz="0" w:space="0" w:color="auto"/>
        <w:left w:val="none" w:sz="0" w:space="0" w:color="auto"/>
        <w:bottom w:val="none" w:sz="0" w:space="0" w:color="auto"/>
        <w:right w:val="none" w:sz="0" w:space="0" w:color="auto"/>
      </w:divBdr>
    </w:div>
    <w:div w:id="1140417066">
      <w:marLeft w:val="0"/>
      <w:marRight w:val="0"/>
      <w:marTop w:val="0"/>
      <w:marBottom w:val="0"/>
      <w:divBdr>
        <w:top w:val="none" w:sz="0" w:space="0" w:color="auto"/>
        <w:left w:val="none" w:sz="0" w:space="0" w:color="auto"/>
        <w:bottom w:val="none" w:sz="0" w:space="0" w:color="auto"/>
        <w:right w:val="none" w:sz="0" w:space="0" w:color="auto"/>
      </w:divBdr>
    </w:div>
    <w:div w:id="1164786243">
      <w:marLeft w:val="0"/>
      <w:marRight w:val="0"/>
      <w:marTop w:val="0"/>
      <w:marBottom w:val="0"/>
      <w:divBdr>
        <w:top w:val="none" w:sz="0" w:space="0" w:color="auto"/>
        <w:left w:val="none" w:sz="0" w:space="0" w:color="auto"/>
        <w:bottom w:val="none" w:sz="0" w:space="0" w:color="auto"/>
        <w:right w:val="none" w:sz="0" w:space="0" w:color="auto"/>
      </w:divBdr>
    </w:div>
    <w:div w:id="1179468573">
      <w:marLeft w:val="0"/>
      <w:marRight w:val="0"/>
      <w:marTop w:val="0"/>
      <w:marBottom w:val="0"/>
      <w:divBdr>
        <w:top w:val="none" w:sz="0" w:space="0" w:color="auto"/>
        <w:left w:val="none" w:sz="0" w:space="0" w:color="auto"/>
        <w:bottom w:val="none" w:sz="0" w:space="0" w:color="auto"/>
        <w:right w:val="none" w:sz="0" w:space="0" w:color="auto"/>
      </w:divBdr>
    </w:div>
    <w:div w:id="1201625948">
      <w:marLeft w:val="0"/>
      <w:marRight w:val="0"/>
      <w:marTop w:val="0"/>
      <w:marBottom w:val="0"/>
      <w:divBdr>
        <w:top w:val="none" w:sz="0" w:space="0" w:color="auto"/>
        <w:left w:val="none" w:sz="0" w:space="0" w:color="auto"/>
        <w:bottom w:val="none" w:sz="0" w:space="0" w:color="auto"/>
        <w:right w:val="none" w:sz="0" w:space="0" w:color="auto"/>
      </w:divBdr>
    </w:div>
    <w:div w:id="1271936356">
      <w:marLeft w:val="0"/>
      <w:marRight w:val="0"/>
      <w:marTop w:val="0"/>
      <w:marBottom w:val="0"/>
      <w:divBdr>
        <w:top w:val="none" w:sz="0" w:space="0" w:color="auto"/>
        <w:left w:val="none" w:sz="0" w:space="0" w:color="auto"/>
        <w:bottom w:val="none" w:sz="0" w:space="0" w:color="auto"/>
        <w:right w:val="none" w:sz="0" w:space="0" w:color="auto"/>
      </w:divBdr>
    </w:div>
    <w:div w:id="1276135604">
      <w:marLeft w:val="0"/>
      <w:marRight w:val="0"/>
      <w:marTop w:val="0"/>
      <w:marBottom w:val="0"/>
      <w:divBdr>
        <w:top w:val="none" w:sz="0" w:space="0" w:color="auto"/>
        <w:left w:val="none" w:sz="0" w:space="0" w:color="auto"/>
        <w:bottom w:val="none" w:sz="0" w:space="0" w:color="auto"/>
        <w:right w:val="none" w:sz="0" w:space="0" w:color="auto"/>
      </w:divBdr>
    </w:div>
    <w:div w:id="1287395957">
      <w:marLeft w:val="0"/>
      <w:marRight w:val="0"/>
      <w:marTop w:val="0"/>
      <w:marBottom w:val="0"/>
      <w:divBdr>
        <w:top w:val="none" w:sz="0" w:space="0" w:color="auto"/>
        <w:left w:val="none" w:sz="0" w:space="0" w:color="auto"/>
        <w:bottom w:val="none" w:sz="0" w:space="0" w:color="auto"/>
        <w:right w:val="none" w:sz="0" w:space="0" w:color="auto"/>
      </w:divBdr>
    </w:div>
    <w:div w:id="1374620679">
      <w:marLeft w:val="0"/>
      <w:marRight w:val="0"/>
      <w:marTop w:val="0"/>
      <w:marBottom w:val="0"/>
      <w:divBdr>
        <w:top w:val="none" w:sz="0" w:space="0" w:color="auto"/>
        <w:left w:val="none" w:sz="0" w:space="0" w:color="auto"/>
        <w:bottom w:val="none" w:sz="0" w:space="0" w:color="auto"/>
        <w:right w:val="none" w:sz="0" w:space="0" w:color="auto"/>
      </w:divBdr>
    </w:div>
    <w:div w:id="1416777879">
      <w:marLeft w:val="0"/>
      <w:marRight w:val="0"/>
      <w:marTop w:val="0"/>
      <w:marBottom w:val="0"/>
      <w:divBdr>
        <w:top w:val="none" w:sz="0" w:space="0" w:color="auto"/>
        <w:left w:val="none" w:sz="0" w:space="0" w:color="auto"/>
        <w:bottom w:val="none" w:sz="0" w:space="0" w:color="auto"/>
        <w:right w:val="none" w:sz="0" w:space="0" w:color="auto"/>
      </w:divBdr>
    </w:div>
    <w:div w:id="1444838109">
      <w:marLeft w:val="0"/>
      <w:marRight w:val="0"/>
      <w:marTop w:val="0"/>
      <w:marBottom w:val="0"/>
      <w:divBdr>
        <w:top w:val="none" w:sz="0" w:space="0" w:color="auto"/>
        <w:left w:val="none" w:sz="0" w:space="0" w:color="auto"/>
        <w:bottom w:val="none" w:sz="0" w:space="0" w:color="auto"/>
        <w:right w:val="none" w:sz="0" w:space="0" w:color="auto"/>
      </w:divBdr>
    </w:div>
    <w:div w:id="1479876702">
      <w:marLeft w:val="0"/>
      <w:marRight w:val="0"/>
      <w:marTop w:val="0"/>
      <w:marBottom w:val="0"/>
      <w:divBdr>
        <w:top w:val="none" w:sz="0" w:space="0" w:color="auto"/>
        <w:left w:val="none" w:sz="0" w:space="0" w:color="auto"/>
        <w:bottom w:val="none" w:sz="0" w:space="0" w:color="auto"/>
        <w:right w:val="none" w:sz="0" w:space="0" w:color="auto"/>
      </w:divBdr>
    </w:div>
    <w:div w:id="1504466929">
      <w:marLeft w:val="0"/>
      <w:marRight w:val="0"/>
      <w:marTop w:val="0"/>
      <w:marBottom w:val="0"/>
      <w:divBdr>
        <w:top w:val="none" w:sz="0" w:space="0" w:color="auto"/>
        <w:left w:val="none" w:sz="0" w:space="0" w:color="auto"/>
        <w:bottom w:val="none" w:sz="0" w:space="0" w:color="auto"/>
        <w:right w:val="none" w:sz="0" w:space="0" w:color="auto"/>
      </w:divBdr>
    </w:div>
    <w:div w:id="1519075660">
      <w:marLeft w:val="0"/>
      <w:marRight w:val="0"/>
      <w:marTop w:val="0"/>
      <w:marBottom w:val="0"/>
      <w:divBdr>
        <w:top w:val="none" w:sz="0" w:space="0" w:color="auto"/>
        <w:left w:val="none" w:sz="0" w:space="0" w:color="auto"/>
        <w:bottom w:val="none" w:sz="0" w:space="0" w:color="auto"/>
        <w:right w:val="none" w:sz="0" w:space="0" w:color="auto"/>
      </w:divBdr>
    </w:div>
    <w:div w:id="1520121122">
      <w:marLeft w:val="0"/>
      <w:marRight w:val="0"/>
      <w:marTop w:val="0"/>
      <w:marBottom w:val="0"/>
      <w:divBdr>
        <w:top w:val="none" w:sz="0" w:space="0" w:color="auto"/>
        <w:left w:val="none" w:sz="0" w:space="0" w:color="auto"/>
        <w:bottom w:val="none" w:sz="0" w:space="0" w:color="auto"/>
        <w:right w:val="none" w:sz="0" w:space="0" w:color="auto"/>
      </w:divBdr>
    </w:div>
    <w:div w:id="1531526574">
      <w:marLeft w:val="0"/>
      <w:marRight w:val="0"/>
      <w:marTop w:val="0"/>
      <w:marBottom w:val="0"/>
      <w:divBdr>
        <w:top w:val="none" w:sz="0" w:space="0" w:color="auto"/>
        <w:left w:val="none" w:sz="0" w:space="0" w:color="auto"/>
        <w:bottom w:val="none" w:sz="0" w:space="0" w:color="auto"/>
        <w:right w:val="none" w:sz="0" w:space="0" w:color="auto"/>
      </w:divBdr>
    </w:div>
    <w:div w:id="1721392839">
      <w:marLeft w:val="0"/>
      <w:marRight w:val="0"/>
      <w:marTop w:val="0"/>
      <w:marBottom w:val="0"/>
      <w:divBdr>
        <w:top w:val="none" w:sz="0" w:space="0" w:color="auto"/>
        <w:left w:val="none" w:sz="0" w:space="0" w:color="auto"/>
        <w:bottom w:val="none" w:sz="0" w:space="0" w:color="auto"/>
        <w:right w:val="none" w:sz="0" w:space="0" w:color="auto"/>
      </w:divBdr>
    </w:div>
    <w:div w:id="1723674599">
      <w:marLeft w:val="0"/>
      <w:marRight w:val="0"/>
      <w:marTop w:val="0"/>
      <w:marBottom w:val="0"/>
      <w:divBdr>
        <w:top w:val="none" w:sz="0" w:space="0" w:color="auto"/>
        <w:left w:val="none" w:sz="0" w:space="0" w:color="auto"/>
        <w:bottom w:val="none" w:sz="0" w:space="0" w:color="auto"/>
        <w:right w:val="none" w:sz="0" w:space="0" w:color="auto"/>
      </w:divBdr>
    </w:div>
    <w:div w:id="1777628012">
      <w:marLeft w:val="0"/>
      <w:marRight w:val="0"/>
      <w:marTop w:val="0"/>
      <w:marBottom w:val="0"/>
      <w:divBdr>
        <w:top w:val="none" w:sz="0" w:space="0" w:color="auto"/>
        <w:left w:val="none" w:sz="0" w:space="0" w:color="auto"/>
        <w:bottom w:val="none" w:sz="0" w:space="0" w:color="auto"/>
        <w:right w:val="none" w:sz="0" w:space="0" w:color="auto"/>
      </w:divBdr>
    </w:div>
    <w:div w:id="1815677965">
      <w:marLeft w:val="0"/>
      <w:marRight w:val="0"/>
      <w:marTop w:val="0"/>
      <w:marBottom w:val="0"/>
      <w:divBdr>
        <w:top w:val="none" w:sz="0" w:space="0" w:color="auto"/>
        <w:left w:val="none" w:sz="0" w:space="0" w:color="auto"/>
        <w:bottom w:val="none" w:sz="0" w:space="0" w:color="auto"/>
        <w:right w:val="none" w:sz="0" w:space="0" w:color="auto"/>
      </w:divBdr>
    </w:div>
    <w:div w:id="1824001544">
      <w:marLeft w:val="0"/>
      <w:marRight w:val="0"/>
      <w:marTop w:val="0"/>
      <w:marBottom w:val="0"/>
      <w:divBdr>
        <w:top w:val="none" w:sz="0" w:space="0" w:color="auto"/>
        <w:left w:val="none" w:sz="0" w:space="0" w:color="auto"/>
        <w:bottom w:val="none" w:sz="0" w:space="0" w:color="auto"/>
        <w:right w:val="none" w:sz="0" w:space="0" w:color="auto"/>
      </w:divBdr>
    </w:div>
    <w:div w:id="1830444973">
      <w:marLeft w:val="0"/>
      <w:marRight w:val="0"/>
      <w:marTop w:val="0"/>
      <w:marBottom w:val="0"/>
      <w:divBdr>
        <w:top w:val="none" w:sz="0" w:space="0" w:color="auto"/>
        <w:left w:val="none" w:sz="0" w:space="0" w:color="auto"/>
        <w:bottom w:val="none" w:sz="0" w:space="0" w:color="auto"/>
        <w:right w:val="none" w:sz="0" w:space="0" w:color="auto"/>
      </w:divBdr>
    </w:div>
    <w:div w:id="1859153193">
      <w:marLeft w:val="0"/>
      <w:marRight w:val="0"/>
      <w:marTop w:val="0"/>
      <w:marBottom w:val="0"/>
      <w:divBdr>
        <w:top w:val="none" w:sz="0" w:space="0" w:color="auto"/>
        <w:left w:val="none" w:sz="0" w:space="0" w:color="auto"/>
        <w:bottom w:val="none" w:sz="0" w:space="0" w:color="auto"/>
        <w:right w:val="none" w:sz="0" w:space="0" w:color="auto"/>
      </w:divBdr>
    </w:div>
    <w:div w:id="1917279802">
      <w:marLeft w:val="0"/>
      <w:marRight w:val="0"/>
      <w:marTop w:val="0"/>
      <w:marBottom w:val="0"/>
      <w:divBdr>
        <w:top w:val="none" w:sz="0" w:space="0" w:color="auto"/>
        <w:left w:val="none" w:sz="0" w:space="0" w:color="auto"/>
        <w:bottom w:val="none" w:sz="0" w:space="0" w:color="auto"/>
        <w:right w:val="none" w:sz="0" w:space="0" w:color="auto"/>
      </w:divBdr>
    </w:div>
    <w:div w:id="1921014809">
      <w:marLeft w:val="0"/>
      <w:marRight w:val="0"/>
      <w:marTop w:val="0"/>
      <w:marBottom w:val="0"/>
      <w:divBdr>
        <w:top w:val="none" w:sz="0" w:space="0" w:color="auto"/>
        <w:left w:val="none" w:sz="0" w:space="0" w:color="auto"/>
        <w:bottom w:val="none" w:sz="0" w:space="0" w:color="auto"/>
        <w:right w:val="none" w:sz="0" w:space="0" w:color="auto"/>
      </w:divBdr>
    </w:div>
    <w:div w:id="1924870424">
      <w:marLeft w:val="0"/>
      <w:marRight w:val="0"/>
      <w:marTop w:val="0"/>
      <w:marBottom w:val="0"/>
      <w:divBdr>
        <w:top w:val="none" w:sz="0" w:space="0" w:color="auto"/>
        <w:left w:val="none" w:sz="0" w:space="0" w:color="auto"/>
        <w:bottom w:val="none" w:sz="0" w:space="0" w:color="auto"/>
        <w:right w:val="none" w:sz="0" w:space="0" w:color="auto"/>
      </w:divBdr>
    </w:div>
    <w:div w:id="1933932185">
      <w:marLeft w:val="0"/>
      <w:marRight w:val="0"/>
      <w:marTop w:val="0"/>
      <w:marBottom w:val="0"/>
      <w:divBdr>
        <w:top w:val="none" w:sz="0" w:space="0" w:color="auto"/>
        <w:left w:val="none" w:sz="0" w:space="0" w:color="auto"/>
        <w:bottom w:val="none" w:sz="0" w:space="0" w:color="auto"/>
        <w:right w:val="none" w:sz="0" w:space="0" w:color="auto"/>
      </w:divBdr>
    </w:div>
    <w:div w:id="2042825641">
      <w:marLeft w:val="0"/>
      <w:marRight w:val="0"/>
      <w:marTop w:val="0"/>
      <w:marBottom w:val="0"/>
      <w:divBdr>
        <w:top w:val="none" w:sz="0" w:space="0" w:color="auto"/>
        <w:left w:val="none" w:sz="0" w:space="0" w:color="auto"/>
        <w:bottom w:val="none" w:sz="0" w:space="0" w:color="auto"/>
        <w:right w:val="none" w:sz="0" w:space="0" w:color="auto"/>
      </w:divBdr>
    </w:div>
    <w:div w:id="2094744146">
      <w:marLeft w:val="0"/>
      <w:marRight w:val="0"/>
      <w:marTop w:val="0"/>
      <w:marBottom w:val="0"/>
      <w:divBdr>
        <w:top w:val="none" w:sz="0" w:space="0" w:color="auto"/>
        <w:left w:val="none" w:sz="0" w:space="0" w:color="auto"/>
        <w:bottom w:val="none" w:sz="0" w:space="0" w:color="auto"/>
        <w:right w:val="none" w:sz="0" w:space="0" w:color="auto"/>
      </w:divBdr>
    </w:div>
    <w:div w:id="2137142378">
      <w:marLeft w:val="0"/>
      <w:marRight w:val="0"/>
      <w:marTop w:val="0"/>
      <w:marBottom w:val="0"/>
      <w:divBdr>
        <w:top w:val="none" w:sz="0" w:space="0" w:color="auto"/>
        <w:left w:val="none" w:sz="0" w:space="0" w:color="auto"/>
        <w:bottom w:val="none" w:sz="0" w:space="0" w:color="auto"/>
        <w:right w:val="none" w:sz="0" w:space="0" w:color="auto"/>
      </w:divBdr>
    </w:div>
    <w:div w:id="214469503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1_9.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xw-ex221_7.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070985/000114036121012814/nt10022754x8_ex4-2.htm" TargetMode="External"/><Relationship Id="rId11" Type="http://schemas.openxmlformats.org/officeDocument/2006/relationships/hyperlink" Target="cxw-ex322_10.htm" TargetMode="External"/><Relationship Id="rId5" Type="http://schemas.openxmlformats.org/officeDocument/2006/relationships/hyperlink" Target="http://www.sec.gov/Archives/edgar/data/1070985/000114036121012814/nt10022754x8_ex4-2.htm" TargetMode="External"/><Relationship Id="rId10" Type="http://schemas.openxmlformats.org/officeDocument/2006/relationships/hyperlink" Target="cxw-ex321_8.htm" TargetMode="External"/><Relationship Id="rId4" Type="http://schemas.openxmlformats.org/officeDocument/2006/relationships/hyperlink" Target="http://www.sec.gov/Archives/edgar/data/1070985/000119312515328313/d93789dex41.htm" TargetMode="External"/><Relationship Id="rId9" Type="http://schemas.openxmlformats.org/officeDocument/2006/relationships/hyperlink" Target="cxw-ex312_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36006</Words>
  <Characters>205239</Characters>
  <Application>Microsoft Office Word</Application>
  <DocSecurity>0</DocSecurity>
  <Lines>1710</Lines>
  <Paragraphs>481</Paragraphs>
  <ScaleCrop>false</ScaleCrop>
  <Company/>
  <LinksUpToDate>false</LinksUpToDate>
  <CharactersWithSpaces>240764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cxw-10q_20210630.htm </dc:title>
  <dc:subject/>
  <dc:creator>Chongjian.Yue</dc:creator>
  <cp:keywords/>
  <dc:description/>
  <cp:lastModifiedBy>Yue Chongjian</cp:lastModifiedBy>
  <cp:revision>1</cp:revision>
  <dcterms:created xsi:type="dcterms:W3CDTF">2024-01-04T16:29:00Z</dcterms:created>
  <dcterms:modified xsi:type="dcterms:W3CDTF">2024-01-04T16:29:00Z</dcterms:modified>
</cp:coreProperties>
</file>