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206D2">
      <w:pPr>
        <w:divId w:val="1513374715"/>
        <w:rPr>
          <w:rFonts w:eastAsia="Times New Roman"/>
          <w:vanish/>
        </w:rPr>
      </w:pPr>
      <w:r>
        <w:rPr>
          <w:rFonts w:eastAsia="Times New Roman"/>
          <w:vanish/>
        </w:rPr>
        <w:t xml:space="preserve">false Q1 0001070985 --12-31 TN MD Interest payable periodically at variable interest rates. Interest payable periodically at variable interest rates. </w:t>
      </w:r>
      <w:r>
        <w:rPr>
          <w:rFonts w:eastAsia="Times New Roman"/>
          <w:vanish/>
        </w:rPr>
        <w:t>Interest payable periodically at variable interest rates. 2040-01-31 0.3333 1800000 2023-04-30 2023-04-30 2024-12-31 2023-05-31 2027-10-31 2026-04-30 2040-01-31 2023-04-30 2023-04-30 P5Y 2024-12-31 P3Y 0.3333 0001070985 2022-01-01 2022-03-31 xbrli:shares 0</w:t>
      </w:r>
      <w:r>
        <w:rPr>
          <w:rFonts w:eastAsia="Times New Roman"/>
          <w:vanish/>
        </w:rPr>
        <w:t>001070985 2022-04-29 iso4217:USD 0001070985 2022-03-31 0001070985 2021-12-31 iso4217:USD xbrli:shares 0001070985 2021-01-01 2021-03-31 0001070985 2020-12-31 0001070985 2021-03-31 0001070985 us-gaap:CommonStockMember 2021-12-31 0001070985 us-gaap:Additional</w:t>
      </w:r>
      <w:r>
        <w:rPr>
          <w:rFonts w:eastAsia="Times New Roman"/>
          <w:vanish/>
        </w:rPr>
        <w:t xml:space="preserve">PaidInCapitalMember 2021-12-31 0001070985 us-gaap:RetainedEarningsMember 2021-12-31 0001070985 us-gaap:ParentMember 2021-12-31 0001070985 us-gaap:RetainedEarningsMember 2022-01-01 2022-03-31 0001070985 us-gaap:ParentMember 2022-01-01 2022-03-31 0001070985 </w:t>
      </w:r>
      <w:r>
        <w:rPr>
          <w:rFonts w:eastAsia="Times New Roman"/>
          <w:vanish/>
        </w:rPr>
        <w:t>us-gaap:CommonStockMember 2022-01-01 2022-03-31 0001070985 us-gaap:AdditionalPaidInCapitalMember 2022-01-01 2022-03-31 0001070985 us-gaap:CommonStockMember 2022-03-31 0001070985 us-gaap:AdditionalPaidInCapitalMember 2022-03-31 0001070985 us-gaap:RetainedEa</w:t>
      </w:r>
      <w:r>
        <w:rPr>
          <w:rFonts w:eastAsia="Times New Roman"/>
          <w:vanish/>
        </w:rPr>
        <w:t>rningsMember 2022-03-31 0001070985 us-gaap:ParentMember 2022-03-31 0001070985 us-gaap:CommonStockMember 2020-12-31 0001070985 us-gaap:AdditionalPaidInCapitalMember 2020-12-31 0001070985 us-gaap:RetainedEarningsMember 2020-12-31 0001070985 us-gaap:ParentMem</w:t>
      </w:r>
      <w:r>
        <w:rPr>
          <w:rFonts w:eastAsia="Times New Roman"/>
          <w:vanish/>
        </w:rPr>
        <w:t>ber 2020-12-31 0001070985 us-gaap:NoncontrollingInterestMember 2020-12-31 0001070985 us-gaap:RetainedEarningsMember 2021-01-01 2021-03-31 0001070985 us-gaap:ParentMember 2021-01-01 2021-03-31 0001070985 us-gaap:CommonStockMember 2021-01-01 2021-03-31 00010</w:t>
      </w:r>
      <w:r>
        <w:rPr>
          <w:rFonts w:eastAsia="Times New Roman"/>
          <w:vanish/>
        </w:rPr>
        <w:t>70985 us-gaap:AdditionalPaidInCapitalMember 2021-01-01 2021-03-31 0001070985 us-gaap:CommonStockMember 2021-03-31 0001070985 us-gaap:AdditionalPaidInCapitalMember 2021-03-31 0001070985 us-gaap:RetainedEarningsMember 2021-03-31 0001070985 us-gaap:ParentMemb</w:t>
      </w:r>
      <w:r>
        <w:rPr>
          <w:rFonts w:eastAsia="Times New Roman"/>
          <w:vanish/>
        </w:rPr>
        <w:t>er 2021-03-31 0001070985 us-gaap:NoncontrollingInterestMember 2021-03-31 cxw:Segment cxw:Facility 0001070985 cxw:SafetySegmentMember 2022-03-31 cxw:Bed 0001070985 cxw:CommunitySegmentMember 2022-03-31 cxw:Property 0001070985 cxw:PropertiesSegmentMember 202</w:t>
      </w:r>
      <w:r>
        <w:rPr>
          <w:rFonts w:eastAsia="Times New Roman"/>
          <w:vanish/>
        </w:rPr>
        <w:t>2-03-31 utr:sqft xbrli:pure 0001070985 cxw:UnitedStatesMarshalsServiceMember 2022-01-01 2022-03-31 cxw:Contract 0001070985 cxw:UnitedStatesMarshalsServiceMember 2021-01-01 2021-12-31 0001070985 us-gaap:GovernmentContractsConcentrationRiskMember us-gaap:Sal</w:t>
      </w:r>
      <w:r>
        <w:rPr>
          <w:rFonts w:eastAsia="Times New Roman"/>
          <w:vanish/>
        </w:rPr>
        <w:t>esRevenueNetMember cxw:UnitedStatesMarshalsServiceMember 2021-01-01 2021-12-31 0001070985 us-gaap:GovernmentContractsConcentrationRiskMember us-gaap:SalesRevenueNetMember cxw:FederalBureauOfPrisonsMember 2021-01-01 2021-12-31 0001070985 cxw:SafetySegmentMe</w:t>
      </w:r>
      <w:r>
        <w:rPr>
          <w:rFonts w:eastAsia="Times New Roman"/>
          <w:vanish/>
        </w:rPr>
        <w:t>mber 2021-12-31 0001070985 2021-01-01 2021-12-31 0001070985 cxw:GovernmentRealEstateSolutionsLLCMember 2022-01-01 2022-03-31 0001070985 cxw:GovernmentRealEstateSolutionsLLCMember 2021-01-01 2021-09-30 0001070985 cxw:IdledCorrectionalFacilitiesMember 2022-0</w:t>
      </w:r>
      <w:r>
        <w:rPr>
          <w:rFonts w:eastAsia="Times New Roman"/>
          <w:vanish/>
        </w:rPr>
        <w:t>1-01 2022-03-31 0001070985 cxw:PrairieCorrectionalFacilityMember 2022-03-31 0001070985 cxw:HuerfanoCountyCorrectionalCenterMember 2022-03-31 0001070985 cxw:DiamondbackCorrectionalFacilityMember 2022-03-31 0001070985 cxw:MarionAdjustmentCenterMember 2022-03</w:t>
      </w:r>
      <w:r>
        <w:rPr>
          <w:rFonts w:eastAsia="Times New Roman"/>
          <w:vanish/>
        </w:rPr>
        <w:t>-31 0001070985 cxw:KitCarsonCorrectionalCenterMember 2022-03-31 0001070985 cxw:WestTennesseeDetentionFacilityMember 2022-03-31 0001070985 cxw:LeavenworthDetentionCenterMember 2022-03-31 0001070985 cxw:IdleFacilitiesMember 2022-03-31 0001070985 cxw:PrairieC</w:t>
      </w:r>
      <w:r>
        <w:rPr>
          <w:rFonts w:eastAsia="Times New Roman"/>
          <w:vanish/>
        </w:rPr>
        <w:t>orrectionalFacilityMember 2021-12-31 0001070985 cxw:HuerfanoCountyCorrectionalCenterMember 2021-12-31 0001070985 cxw:DiamondbackCorrectionalFacilityMember 2021-12-31 0001070985 cxw:MarionAdjustmentCenterMember 2021-12-31 0001070985 cxw:KitCarsonCorrectiona</w:t>
      </w:r>
      <w:r>
        <w:rPr>
          <w:rFonts w:eastAsia="Times New Roman"/>
          <w:vanish/>
        </w:rPr>
        <w:t>lCenterMember 2021-12-31 0001070985 cxw:WestTennesseeDetentionFacilityMember 2021-12-31 0001070985 cxw:LeavenworthDetentionCenterMember 2021-12-31 0001070985 cxw:IdleFacilitiesMember 2021-12-31 0001070985 cxw:IdledNonCoreFacilitiesMember cxw:SafetySegmentM</w:t>
      </w:r>
      <w:r>
        <w:rPr>
          <w:rFonts w:eastAsia="Times New Roman"/>
          <w:vanish/>
        </w:rPr>
        <w:t>ember 2022-01-01 2022-03-31 0001070985 cxw:IdledNonCoreFacilitiesMember cxw:SafetySegmentMember 2022-03-31 0001070985 cxw:IdleFacilitiesMember cxw:CommunitySegmentMember 2022-01-01 2022-03-31 0001070985 cxw:IdleFacilitiesMember cxw:CommunitySegmentMember 2</w:t>
      </w:r>
      <w:r>
        <w:rPr>
          <w:rFonts w:eastAsia="Times New Roman"/>
          <w:vanish/>
        </w:rPr>
        <w:t>022-03-31 0001070985 cxw:IdleFacilitiesMember 2022-01-01 2022-03-31 0001070985 cxw:IdleFacilitiesMember 2021-01-01 2021-03-31 0001070985 cxw:IdleFacilitiesMember cxw:WestTennesseeDetentionFacilityAndLeavenworthDetentionCenterMember 2022-01-01 2022-03-31 00</w:t>
      </w:r>
      <w:r>
        <w:rPr>
          <w:rFonts w:eastAsia="Times New Roman"/>
          <w:vanish/>
        </w:rPr>
        <w:t>01070985 cxw:TermLoanADueInAprilTwentyTwentyThreeMember 2022-03-31 0001070985 cxw:TermLoanADueInAprilTwentyTwentyThreeMember 2021-12-31 0001070985 cxw:TermLoanBDueInDecemberTwentyTwentyFourMember 2022-03-31 0001070985 cxw:TermLoanBDueInDecemberTwentyTwenty</w:t>
      </w:r>
      <w:r>
        <w:rPr>
          <w:rFonts w:eastAsia="Times New Roman"/>
          <w:vanish/>
        </w:rPr>
        <w:t>FourMember 2021-12-31 0001070985 cxw:SeniorNotesFourPointSixTwentyFivePercentDueTwentyTwentyThreeMember 2022-03-31 0001070985 cxw:SeniorNotesFourPointSixTwentyFivePercentDueTwentyTwentyThreeMember 2021-12-31 0001070985 cxw:SeniorNotesFourPointSeventyFivePe</w:t>
      </w:r>
      <w:r>
        <w:rPr>
          <w:rFonts w:eastAsia="Times New Roman"/>
          <w:vanish/>
        </w:rPr>
        <w:t>rcentDueTwentyTwentySevenMember 2022-03-31 0001070985 cxw:SeniorNotesFourPointSeventyFivePercentDueTwentyTwentySevenMember 2021-12-31 0001070985 cxw:SeniorNotesEightPointTwoFivePercentDueTwentyTwentySixMember 2022-03-31 0001070985 cxw:SeniorNotesEightPoint</w:t>
      </w:r>
      <w:r>
        <w:rPr>
          <w:rFonts w:eastAsia="Times New Roman"/>
          <w:vanish/>
        </w:rPr>
        <w:t>TwoFivePercentDueTwentyTwentySixMember 2021-12-31 0001070985 cxw:LansingCorrectionalCenterNonRecourseMortgageNoteFourPointFourThreePercentDueTwentyFortyMember 2022-03-31 0001070985 cxw:LansingCorrectionalCenterNonRecourseMortgageNoteFourPointFourThreePerce</w:t>
      </w:r>
      <w:r>
        <w:rPr>
          <w:rFonts w:eastAsia="Times New Roman"/>
          <w:vanish/>
        </w:rPr>
        <w:t>ntDueTwentyFortyMember 2021-12-31 0001070985 us-gaap:RevolvingCreditFacilityMember cxw:RevolvingCreditFacilityDueInAprilTwentyTwentyThreeMember 2022-01-01 2022-03-31 0001070985 cxw:TermLoanADueInAprilTwentyTwentyThreeMember 2022-01-01 2022-03-31 0001070985</w:t>
      </w:r>
      <w:r>
        <w:rPr>
          <w:rFonts w:eastAsia="Times New Roman"/>
          <w:vanish/>
        </w:rPr>
        <w:t xml:space="preserve"> cxw:TermLoanBDueInDecemberTwentyTwentyFourMember 2022-01-01 2022-03-31 0001070985 cxw:SeniorNotesFourPointSixTwentyFivePercentDueTwentyTwentyThreeMember 2022-01-01 2022-03-31 0001070985 cxw:SeniorNotesFourPointSeventyFivePercentDueTwentyTwentySevenMember </w:t>
      </w:r>
      <w:r>
        <w:rPr>
          <w:rFonts w:eastAsia="Times New Roman"/>
          <w:vanish/>
        </w:rPr>
        <w:t>2022-01-01 2022-03-31 0001070985 cxw:SeniorNotesEightPointTwoFivePercentDueTwentyTwentySixMember 2022-01-01 2022-03-31 0001070985 cxw:LansingCorrectionalCenterNonRecourseMortgageNoteFourPointFourThreePercentDueTwentyFortyMember 2022-01-01 2022-03-31 000107</w:t>
      </w:r>
      <w:r>
        <w:rPr>
          <w:rFonts w:eastAsia="Times New Roman"/>
          <w:vanish/>
        </w:rPr>
        <w:t>0985 us-gaap:RevolvingCreditFacilityMember srt:MinimumMember us-gaap:BaseRateMember 2018-04-16 2018-04-17 0001070985 us-gaap:RevolvingCreditFacilityMember srt:MaximumMember us-gaap:BaseRateMember 2018-04-16 2018-04-17 0001070985 us-gaap:RevolvingCreditFaci</w:t>
      </w:r>
      <w:r>
        <w:rPr>
          <w:rFonts w:eastAsia="Times New Roman"/>
          <w:vanish/>
        </w:rPr>
        <w:t>lityMember srt:MinimumMember us-gaap:LondonInterbankOfferedRateLIBORMember 2018-04-16 2018-04-17 0001070985 us-gaap:RevolvingCreditFacilityMember srt:MaximumMember us-gaap:LondonInterbankOfferedRateLIBORMember 2018-04-16 2018-04-17 0001070985 cxw:CreditAgr</w:t>
      </w:r>
      <w:r>
        <w:rPr>
          <w:rFonts w:eastAsia="Times New Roman"/>
          <w:vanish/>
        </w:rPr>
        <w:t>eementMember 2018-04-17 0001070985 cxw:CreditAgreementMember cxw:TermLoanADueInAprilTwentyTwentyThreeMember 2018-04-17 0001070985 us-gaap:RevolvingCreditFacilityMember cxw:CreditAgreementMember 2018-04-17 0001070985 cxw:CreditAgreementMember 2018-04-16 201</w:t>
      </w:r>
      <w:r>
        <w:rPr>
          <w:rFonts w:eastAsia="Times New Roman"/>
          <w:vanish/>
        </w:rPr>
        <w:t>8-04-17 0001070985 us-gaap:RevolvingCreditFacilityMember 2018-04-17 0001070985 us-gaap:RevolvingCreditFacilityMember 2022-01-01 2022-03-31 0001070985 us-gaap:RevolvingCreditFacilityMember 2022-03-31 0001070985 us-gaap:RevolvingCreditFacilityMember us-gaap:</w:t>
      </w:r>
      <w:r>
        <w:rPr>
          <w:rFonts w:eastAsia="Times New Roman"/>
          <w:vanish/>
        </w:rPr>
        <w:t>BaseRateMember 2022-01-01 2022-03-31 0001070985 us-gaap:RevolvingCreditFacilityMember us-gaap:LondonInterbankOfferedRateLIBORMember 2022-01-01 2022-03-31 0001070985 cxw:TermLoanADueInAprilTwentyTwentyThreeMember 2018-04-16 2018-04-17 0001070985 cxw:TermLoa</w:t>
      </w:r>
      <w:r>
        <w:rPr>
          <w:rFonts w:eastAsia="Times New Roman"/>
          <w:vanish/>
        </w:rPr>
        <w:t>nBDueInDecemberTwentyTwentyFourMember 2019-12-18 0001070985 us-gaap:LondonInterbankOfferedRateLIBORMember cxw:TermLoanBDueInDecemberTwentyTwentyFourMember 2019-12-18 2019-12-18 0001070985 us-gaap:LondonInterbankOfferedRateLIBORMember cxw:TermLoanBDueInDece</w:t>
      </w:r>
      <w:r>
        <w:rPr>
          <w:rFonts w:eastAsia="Times New Roman"/>
          <w:vanish/>
        </w:rPr>
        <w:t>mberTwentyTwentyFourMember 2019-12-18 0001070985 us-gaap:BaseRateMember cxw:TermLoanBDueInDecemberTwentyTwentyFourMember 2019-12-18 2019-12-18 0001070985 cxw:TermLoanBDueInDecemberTwentyTwentyFourMember 2019-12-18 2019-12-18 0001070985 cxw:TermLoanBDueInDe</w:t>
      </w:r>
      <w:r>
        <w:rPr>
          <w:rFonts w:eastAsia="Times New Roman"/>
          <w:vanish/>
        </w:rPr>
        <w:t>cemberTwentyTwentyFourMember 2021-10-01 2021-10-31 0001070985 cxw:SeniorNotesFourPointSixTwentyFivePercentDueTwentyTwentyThreeMember 2021-09-30 0001070985 cxw:SeniorNotesFourPointSixTwentyFivePercentDueTwentyTwentyThreeMember 2013-04-01 2013-04-30 00010709</w:t>
      </w:r>
      <w:r>
        <w:rPr>
          <w:rFonts w:eastAsia="Times New Roman"/>
          <w:vanish/>
        </w:rPr>
        <w:t>85 cxw:SeniorNotesFourPointSixTwentyFivePercentDueTwentyTwentyThreeMember 2013-04-30 0001070985 cxw:SeniorNotesFourPointSeventyFivePercentDueTwentyTwentySevenMember 2017-10-31 0001070985 cxw:SeniorNotesEightPointTwoFivePercentDueTwentyTwentySixMember 2021-</w:t>
      </w:r>
      <w:r>
        <w:rPr>
          <w:rFonts w:eastAsia="Times New Roman"/>
          <w:vanish/>
        </w:rPr>
        <w:t>04-30 0001070985 cxw:SeniorNotesFourPointSeventyFivePercentDueTwentyTwentySevenMember 2017-10-01 2017-10-31 0001070985 cxw:SeniorNotesEightPointTwoFivePercentDueTwentyTwentySixMember 2021-04-01 2021-04-30 0001070985 cxw:SeniorNotesEightPointTwoFivePercentD</w:t>
      </w:r>
      <w:r>
        <w:rPr>
          <w:rFonts w:eastAsia="Times New Roman"/>
          <w:vanish/>
        </w:rPr>
        <w:t>ueTwentyTwentySixMember 2021-09-30 0001070985 cxw:SeniorNotesEightPointTwoFivePercentDueTwentyTwentySixMember 2021-04-14 0001070985 cxw:SeniorNotesEightPointTwoFivePercentDueTwentyTwentySixMember us-gaap:DebtInstrumentRedemptionPeriodOneMember 2022-01-01 2</w:t>
      </w:r>
      <w:r>
        <w:rPr>
          <w:rFonts w:eastAsia="Times New Roman"/>
          <w:vanish/>
        </w:rPr>
        <w:t>022-03-31 0001070985 cxw:SeniorNotesEightPointTwoFivePercentDueTwentyTwentySixMember us-gaap:DebtInstrumentRedemptionPeriodTwoMember 2022-01-01 2022-03-31 0001070985 cxw:OriginalSeniorNotesEightPointTwoFivePercentDueTwentyTwentySixMember 2021-04-14 0001070</w:t>
      </w:r>
      <w:r>
        <w:rPr>
          <w:rFonts w:eastAsia="Times New Roman"/>
          <w:vanish/>
        </w:rPr>
        <w:t>985 cxw:OriginalSeniorNotesEightPointTwoFivePercentDueTwentyTwentySixMember 2021-04-14 2021-04-14 0001070985 cxw:SeniorNotesFivePointZeroPercentMember 2021-04-14 0001070985 cxw:SeniorNotesFivePointZeroPercentMember 2021-04-14 2021-04-14 0001070985 cxw:Seni</w:t>
      </w:r>
      <w:r>
        <w:rPr>
          <w:rFonts w:eastAsia="Times New Roman"/>
          <w:vanish/>
        </w:rPr>
        <w:t>orNotesFourPointSixTwoFivePercentageMember 2021-04-14 0001070985 cxw:SeniorNotesFourPointSixTwoFivePercentageMember 2022-03-31 0001070985 cxw:SeniorNotesFourPointSixTwoFivePercentageMember 2021-04-14 2021-04-14 0001070985 cxw:SeniorNotesFourPointSixTwoFive</w:t>
      </w:r>
      <w:r>
        <w:rPr>
          <w:rFonts w:eastAsia="Times New Roman"/>
          <w:vanish/>
        </w:rPr>
        <w:t>PercentageMember srt:MaximumMember 2021-04-14 0001070985 cxw:SeniorNotesFourPointSixTwoFivePercentageMember srt:MinimumMember 2021-04-14 0001070985 cxw:SeniorNotesFourPointSixTwoFivePercentageMember 2021-06-30 0001070985 cxw:SeniorNotesFourPointSixTwoFiveP</w:t>
      </w:r>
      <w:r>
        <w:rPr>
          <w:rFonts w:eastAsia="Times New Roman"/>
          <w:vanish/>
        </w:rPr>
        <w:t>ercentageMember 2021-12-31 0001070985 cxw:FivePointZeroPercentageAndFourPointSixTwoFivePercentageSeniorNotesMember 2021-04-01 2021-06-30 0001070985 cxw:AdditionalSeniorNotesEightPointTwoFivePercentDueTwentyTwentySixMember 2021-09-29 0001070985 cxw:Addition</w:t>
      </w:r>
      <w:r>
        <w:rPr>
          <w:rFonts w:eastAsia="Times New Roman"/>
          <w:vanish/>
        </w:rPr>
        <w:t>alSeniorNotesEightPointTwoFivePercentDueTwentyTwentySixMember 2021-09-29 2021-09-29 0001070985 cxw:SeniorNotesEightPointTwoFivePercentDueTwentyTwentySixMember 2021-09-29 0001070985 us-gaap:PrivatePlacementMember cxw:NonRecourseSeniorSecuredNotesMember 2018</w:t>
      </w:r>
      <w:r>
        <w:rPr>
          <w:rFonts w:eastAsia="Times New Roman"/>
          <w:vanish/>
        </w:rPr>
        <w:t>-04-20 0001070985 us-gaap:PrivatePlacementMember cxw:NonRecourseSeniorSecuredNotesMember 2018-04-19 2018-04-20 0001070985 us-gaap:PrivatePlacementMember cxw:NonRecourseSeniorSecuredNotesMember 2022-03-31 0001070985 cxw:EmployeesAndNonEmployeeDirectorsMembe</w:t>
      </w:r>
      <w:r>
        <w:rPr>
          <w:rFonts w:eastAsia="Times New Roman"/>
          <w:vanish/>
        </w:rPr>
        <w:t>r us-gaap:RestrictedStockMember 2022-01-01 2022-03-31 0001070985 us-gaap:RestrictedStockMember 2022-01-01 2022-03-31 0001070985 cxw:EmployeesAndNonEmployeeDirectorsMember us-gaap:GeneralAndAdministrativeExpenseMember us-gaap:RestrictedStockMember 2022-01-0</w:t>
      </w:r>
      <w:r>
        <w:rPr>
          <w:rFonts w:eastAsia="Times New Roman"/>
          <w:vanish/>
        </w:rPr>
        <w:t>1 2022-03-31 0001070985 cxw:EmployeeMember us-gaap:OperatingExpenseMember us-gaap:RestrictedStockMember 2022-01-01 2022-03-31 0001070985 cxw:EmployeesAndNonEmployeeDirectorsMember us-gaap:RestrictedStockMember 2021-01-01 2021-12-31 0001070985 us-gaap:Restr</w:t>
      </w:r>
      <w:r>
        <w:rPr>
          <w:rFonts w:eastAsia="Times New Roman"/>
          <w:vanish/>
        </w:rPr>
        <w:t>ictedStockMember 2021-01-01 2021-12-31 0001070985 cxw:EmployeesAndNonEmployeeDirectorsMember us-gaap:GeneralAndAdministrativeExpenseMember us-gaap:RestrictedStockMember 2021-01-01 2021-12-31 0001070985 cxw:EmployeeMember us-gaap:OperatingExpenseMember us-g</w:t>
      </w:r>
      <w:r>
        <w:rPr>
          <w:rFonts w:eastAsia="Times New Roman"/>
          <w:vanish/>
        </w:rPr>
        <w:t>aap:RestrictedStockMember 2021-01-01 2021-12-31 0001070985 us-gaap:RestrictedStockMember cxw:OfficersAndExecutiveOfficersMember 2022-01-01 2022-03-31 0001070985 us-gaap:RestrictedStockMember srt:MinimumMember 2022-01-01 2022-03-31 0001070985 us-gaap:Restri</w:t>
      </w:r>
      <w:r>
        <w:rPr>
          <w:rFonts w:eastAsia="Times New Roman"/>
          <w:vanish/>
        </w:rPr>
        <w:t>ctedStockMember srt:MaximumMember 2022-01-01 2022-03-31 0001070985 us-gaap:RestrictedStockMember cxw:OtherEmployeesMember 2022-01-01 2022-03-31 0001070985 us-gaap:RestrictedStockMember cxw:NonEmployeeDirectorsMember 2022-01-01 2022-03-31 0001070985 us-gaap</w:t>
      </w:r>
      <w:r>
        <w:rPr>
          <w:rFonts w:eastAsia="Times New Roman"/>
          <w:vanish/>
        </w:rPr>
        <w:t>:RestrictedStockMember 2021-01-01 2021-03-31 0001070985 us-gaap:OperatingExpenseMember us-gaap:RestrictedStockMember 2022-01-01 2022-03-31 0001070985 us-gaap:OperatingExpenseMember us-gaap:RestrictedStockMember 2021-01-01 2021-03-31 0001070985 us-gaap:Gene</w:t>
      </w:r>
      <w:r>
        <w:rPr>
          <w:rFonts w:eastAsia="Times New Roman"/>
          <w:vanish/>
        </w:rPr>
        <w:t>ralAndAdministrativeExpenseMember us-gaap:RestrictedStockMember 2022-01-01 2022-03-31 0001070985 us-gaap:GeneralAndAdministrativeExpenseMember us-gaap:RestrictedStockMember 2021-01-01 2021-03-31 0001070985 us-gaap:RestrictedStockMember 2022-03-31 000107098</w:t>
      </w:r>
      <w:r>
        <w:rPr>
          <w:rFonts w:eastAsia="Times New Roman"/>
          <w:vanish/>
        </w:rPr>
        <w:t xml:space="preserve">5 us-gaap:RestrictedStockMember 2021-01-01 2021-03-31 0001070985 cxw:OperatingPartnershipUnitMember 2021-01-01 2021-03-31 0001070985 us-gaap:EmployeeStockOptionMember 2022-01-01 2022-03-31 0001070985 us-gaap:EmployeeStockOptionMember 2021-01-01 2021-03-31 </w:t>
      </w:r>
      <w:r>
        <w:rPr>
          <w:rFonts w:eastAsia="Times New Roman"/>
          <w:vanish/>
        </w:rPr>
        <w:t>0001070985 2021-05-01 2021-05-31 0001070985 cxw:ResultingFromRevaluationOfDeferredTaxLiabilitiesMember 2021-01-01 2021-03-31 0001070985 us-gaap:OperatingSegmentsMember cxw:SafetySegmentMember 2022-01-01 2022-03-31 0001070985 us-gaap:OperatingSegmentsMember</w:t>
      </w:r>
      <w:r>
        <w:rPr>
          <w:rFonts w:eastAsia="Times New Roman"/>
          <w:vanish/>
        </w:rPr>
        <w:t xml:space="preserve"> cxw:SafetySegmentMember 2021-01-01 2021-03-31 0001070985 us-gaap:OperatingSegmentsMember cxw:CommunitySegmentMember 2022-01-01 2022-03-31 0001070985 us-gaap:OperatingSegmentsMember cxw:CommunitySegmentMember 2021-01-01 2021-03-31 0001070985 us-gaap:Operat</w:t>
      </w:r>
      <w:r>
        <w:rPr>
          <w:rFonts w:eastAsia="Times New Roman"/>
          <w:vanish/>
        </w:rPr>
        <w:t>ingSegmentsMember cxw:PropertiesSegmentMember 2022-01-01 2022-03-31 0001070985 us-gaap:OperatingSegmentsMember cxw:PropertiesSegmentMember 2021-01-01 2021-03-31 0001070985 us-gaap:OperatingSegmentsMember 2022-01-01 2022-03-31 0001070985 us-gaap:OperatingSe</w:t>
      </w:r>
      <w:r>
        <w:rPr>
          <w:rFonts w:eastAsia="Times New Roman"/>
          <w:vanish/>
        </w:rPr>
        <w:t>gmentsMember 2021-01-01 2021-03-31 0001070985 us-gaap:MaterialReconcilingItemsMember us-gaap:OtherIncomeMember 2022-01-01 2022-03-31 0001070985 us-gaap:MaterialReconcilingItemsMember us-gaap:OtherIncomeMember 2021-01-01 2021-03-31 0001070985 us-gaap:Materi</w:t>
      </w:r>
      <w:r>
        <w:rPr>
          <w:rFonts w:eastAsia="Times New Roman"/>
          <w:vanish/>
        </w:rPr>
        <w:t>alReconcilingItemsMember 2022-01-01 2022-03-31 0001070985 us-gaap:MaterialReconcilingItemsMember 2021-01-01 2021-03-31 0001070985 cxw:SafetySegmentMember 2022-01-01 2022-03-31 0001070985 cxw:SafetySegmentMember 2021-01-01 2021-03-31 0001070985 cxw:Communit</w:t>
      </w:r>
      <w:r>
        <w:rPr>
          <w:rFonts w:eastAsia="Times New Roman"/>
          <w:vanish/>
        </w:rPr>
        <w:t>ySegmentMember 2022-01-01 2022-03-31 0001070985 cxw:CommunitySegmentMember 2021-01-01 2021-03-31 0001070985 cxw:PropertiesSegmentMember 2021-01-01 2021-03-31 0001070985 us-gaap:CorporateAndOtherMember 2022-01-01 2022-03-31 0001070985 us-gaap:CorporateAndOt</w:t>
      </w:r>
      <w:r>
        <w:rPr>
          <w:rFonts w:eastAsia="Times New Roman"/>
          <w:vanish/>
        </w:rPr>
        <w:t xml:space="preserve">herMember 2021-01-01 2021-03-31 0001070985 cxw:CommunitySegmentMember 2021-12-31 0001070985 cxw:PropertiesSegmentMember 2021-12-31 0001070985 us-gaap:CorporateAndOtherMember 2022-03-31 0001070985 us-gaap:CorporateAndOtherMember 2021-12-31 </w:t>
      </w:r>
    </w:p>
    <w:p w:rsidR="00000000" w:rsidRDefault="008206D2">
      <w:pPr>
        <w:pStyle w:val="a3"/>
        <w:pBdr>
          <w:bottom w:val="double" w:sz="6" w:space="1" w:color="auto"/>
        </w:pBdr>
        <w:spacing w:before="0" w:beforeAutospacing="0" w:after="0" w:afterAutospacing="0"/>
        <w:rPr>
          <w:b/>
          <w:bCs/>
          <w:sz w:val="8"/>
          <w:szCs w:val="8"/>
        </w:rPr>
      </w:pPr>
      <w:r>
        <w:rPr>
          <w:b/>
          <w:bCs/>
          <w:sz w:val="8"/>
          <w:szCs w:val="8"/>
        </w:rPr>
        <w:t> </w:t>
      </w:r>
    </w:p>
    <w:p w:rsidR="00000000" w:rsidRDefault="008206D2">
      <w:pPr>
        <w:pStyle w:val="a3"/>
        <w:spacing w:before="80" w:beforeAutospacing="0" w:after="0" w:afterAutospacing="0"/>
        <w:jc w:val="center"/>
        <w:rPr>
          <w:b/>
          <w:bCs/>
          <w:sz w:val="36"/>
          <w:szCs w:val="36"/>
        </w:rPr>
      </w:pPr>
      <w:r>
        <w:rPr>
          <w:b/>
          <w:bCs/>
          <w:sz w:val="36"/>
          <w:szCs w:val="36"/>
        </w:rPr>
        <w:t>UNITED STATES</w:t>
      </w:r>
    </w:p>
    <w:p w:rsidR="00000000" w:rsidRDefault="008206D2">
      <w:pPr>
        <w:pStyle w:val="a3"/>
        <w:spacing w:before="0" w:beforeAutospacing="0" w:after="0" w:afterAutospacing="0"/>
        <w:jc w:val="center"/>
        <w:rPr>
          <w:b/>
          <w:bCs/>
          <w:sz w:val="36"/>
          <w:szCs w:val="36"/>
        </w:rPr>
      </w:pPr>
      <w:r>
        <w:rPr>
          <w:b/>
          <w:bCs/>
          <w:sz w:val="36"/>
          <w:szCs w:val="36"/>
        </w:rPr>
        <w:t>SECURITIES AND EXCHANGE COMMISSION</w:t>
      </w:r>
    </w:p>
    <w:p w:rsidR="00000000" w:rsidRDefault="008206D2">
      <w:pPr>
        <w:pStyle w:val="a3"/>
        <w:spacing w:before="0" w:beforeAutospacing="0" w:after="0" w:afterAutospacing="0"/>
        <w:jc w:val="center"/>
        <w:rPr>
          <w:b/>
          <w:bCs/>
        </w:rPr>
      </w:pPr>
      <w:r>
        <w:rPr>
          <w:b/>
          <w:bCs/>
        </w:rPr>
        <w:t>WASHINGTON, D.C.  20549</w:t>
      </w:r>
    </w:p>
    <w:p w:rsidR="00000000" w:rsidRDefault="008206D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8206D2">
      <w:pPr>
        <w:pStyle w:val="a3"/>
        <w:spacing w:before="0" w:beforeAutospacing="0" w:after="0" w:afterAutospacing="0"/>
        <w:jc w:val="center"/>
        <w:rPr>
          <w:b/>
          <w:bCs/>
          <w:sz w:val="36"/>
          <w:szCs w:val="36"/>
        </w:rPr>
      </w:pPr>
      <w:r>
        <w:rPr>
          <w:b/>
          <w:bCs/>
          <w:sz w:val="36"/>
          <w:szCs w:val="36"/>
        </w:rPr>
        <w:t>FORM 10-Q</w:t>
      </w:r>
    </w:p>
    <w:p w:rsidR="00000000" w:rsidRDefault="008206D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43986857"/>
        </w:trPr>
        <w:tc>
          <w:tcPr>
            <w:tcW w:w="227" w:type="pct"/>
            <w:noWrap/>
            <w:hideMark/>
          </w:tcPr>
          <w:p w:rsidR="00000000" w:rsidRDefault="008206D2">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8206D2">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EXCHANGE ACT OF 1934</w:t>
            </w:r>
          </w:p>
        </w:tc>
      </w:tr>
    </w:tbl>
    <w:p w:rsidR="00000000" w:rsidRDefault="008206D2">
      <w:pPr>
        <w:pStyle w:val="a3"/>
        <w:spacing w:before="40" w:beforeAutospacing="0" w:after="0" w:afterAutospacing="0"/>
        <w:jc w:val="center"/>
        <w:rPr>
          <w:b/>
          <w:bCs/>
          <w:sz w:val="20"/>
          <w:szCs w:val="20"/>
        </w:rPr>
      </w:pPr>
      <w:r>
        <w:rPr>
          <w:b/>
          <w:bCs/>
          <w:sz w:val="20"/>
          <w:szCs w:val="20"/>
        </w:rPr>
        <w:t>FOR THE QUARTERLY PERIOD ENDED:  MARCH 31, 2022</w:t>
      </w:r>
    </w:p>
    <w:p w:rsidR="00000000" w:rsidRDefault="008206D2">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31816070"/>
        </w:trPr>
        <w:tc>
          <w:tcPr>
            <w:tcW w:w="227" w:type="pct"/>
            <w:noWrap/>
            <w:hideMark/>
          </w:tcPr>
          <w:p w:rsidR="00000000" w:rsidRDefault="008206D2">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8206D2">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8206D2">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sz w:val="20"/>
          <w:szCs w:val="20"/>
        </w:rPr>
        <w:t xml:space="preserve"> </w:t>
      </w:r>
      <w:r>
        <w:rPr>
          <w:rFonts w:ascii="Calibri" w:hAnsi="Calibri" w:cs="Calibri"/>
          <w:b/>
          <w:bCs/>
          <w:sz w:val="20"/>
          <w:szCs w:val="20"/>
          <w:u w:val="single"/>
        </w:rPr>
        <w:t>          </w:t>
      </w:r>
      <w:r>
        <w:rPr>
          <w:rFonts w:ascii="Calibri" w:hAnsi="Calibri" w:cs="Calibri"/>
          <w:b/>
          <w:bCs/>
          <w:sz w:val="20"/>
          <w:szCs w:val="20"/>
        </w:rPr>
        <w:t xml:space="preserve"> </w:t>
      </w:r>
      <w:r>
        <w:rPr>
          <w:b/>
          <w:bCs/>
          <w:sz w:val="20"/>
          <w:szCs w:val="20"/>
        </w:rPr>
        <w:t>TO</w:t>
      </w:r>
      <w:r>
        <w:rPr>
          <w:rFonts w:ascii="Calibri" w:hAnsi="Calibri" w:cs="Calibri"/>
          <w:b/>
          <w:bCs/>
          <w:sz w:val="20"/>
          <w:szCs w:val="20"/>
        </w:rPr>
        <w:t xml:space="preserve"> </w:t>
      </w:r>
      <w:r>
        <w:rPr>
          <w:rFonts w:ascii="Calibri" w:hAnsi="Calibri" w:cs="Calibri"/>
          <w:b/>
          <w:bCs/>
          <w:sz w:val="20"/>
          <w:szCs w:val="20"/>
          <w:u w:val="single"/>
        </w:rPr>
        <w:t>          </w:t>
      </w:r>
    </w:p>
    <w:p w:rsidR="00000000" w:rsidRDefault="008206D2">
      <w:pPr>
        <w:pStyle w:val="a3"/>
        <w:spacing w:before="0" w:beforeAutospacing="0" w:after="0" w:afterAutospacing="0"/>
        <w:jc w:val="center"/>
        <w:rPr>
          <w:b/>
          <w:bCs/>
          <w:sz w:val="20"/>
          <w:szCs w:val="20"/>
        </w:rPr>
      </w:pPr>
      <w:r>
        <w:rPr>
          <w:b/>
          <w:bCs/>
          <w:sz w:val="20"/>
          <w:szCs w:val="20"/>
        </w:rPr>
        <w:t>COMMISSION FILE NUMBER: 001-16109</w:t>
      </w:r>
    </w:p>
    <w:p w:rsidR="00000000" w:rsidRDefault="008206D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8206D2">
      <w:pPr>
        <w:pStyle w:val="a3"/>
        <w:spacing w:before="0" w:beforeAutospacing="0" w:after="0" w:afterAutospacing="0"/>
        <w:jc w:val="center"/>
        <w:rPr>
          <w:b/>
          <w:bCs/>
          <w:sz w:val="48"/>
          <w:szCs w:val="48"/>
        </w:rPr>
      </w:pPr>
      <w:r>
        <w:rPr>
          <w:b/>
          <w:bCs/>
          <w:sz w:val="48"/>
          <w:szCs w:val="48"/>
        </w:rPr>
        <w:t>CORECIVIC, INC.</w:t>
      </w:r>
    </w:p>
    <w:p w:rsidR="00000000" w:rsidRDefault="008206D2">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8206D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8206D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131366247"/>
        </w:trPr>
        <w:tc>
          <w:tcPr>
            <w:tcW w:w="2500" w:type="pct"/>
            <w:shd w:val="clear" w:color="auto" w:fill="FFFFFF"/>
            <w:hideMark/>
          </w:tcPr>
          <w:p w:rsidR="00000000" w:rsidRDefault="008206D2">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8206D2">
            <w:pPr>
              <w:pStyle w:val="a3"/>
              <w:spacing w:before="0" w:beforeAutospacing="0" w:after="0" w:afterAutospacing="0"/>
              <w:jc w:val="center"/>
              <w:rPr>
                <w:b/>
                <w:bCs/>
                <w:sz w:val="20"/>
                <w:szCs w:val="20"/>
              </w:rPr>
            </w:pPr>
            <w:r>
              <w:rPr>
                <w:b/>
                <w:bCs/>
                <w:sz w:val="20"/>
                <w:szCs w:val="20"/>
              </w:rPr>
              <w:t>62-1763875</w:t>
            </w:r>
          </w:p>
        </w:tc>
      </w:tr>
      <w:tr w:rsidR="00000000">
        <w:trPr>
          <w:divId w:val="1131366247"/>
        </w:trPr>
        <w:tc>
          <w:tcPr>
            <w:tcW w:w="2500" w:type="pct"/>
            <w:shd w:val="clear" w:color="auto" w:fill="FFFFFF"/>
            <w:hideMark/>
          </w:tcPr>
          <w:p w:rsidR="00000000" w:rsidRDefault="008206D2">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8206D2">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8206D2">
            <w:pPr>
              <w:pStyle w:val="a3"/>
              <w:spacing w:before="0" w:beforeAutospacing="0" w:after="0" w:afterAutospacing="0"/>
              <w:jc w:val="center"/>
              <w:rPr>
                <w:b/>
                <w:bCs/>
                <w:sz w:val="16"/>
                <w:szCs w:val="16"/>
              </w:rPr>
            </w:pPr>
            <w:r>
              <w:rPr>
                <w:b/>
                <w:bCs/>
                <w:sz w:val="16"/>
                <w:szCs w:val="16"/>
              </w:rPr>
              <w:t xml:space="preserve">(I.R.S. Employer </w:t>
            </w:r>
          </w:p>
          <w:p w:rsidR="00000000" w:rsidRDefault="008206D2">
            <w:pPr>
              <w:pStyle w:val="a3"/>
              <w:spacing w:before="0" w:beforeAutospacing="0" w:after="0" w:afterAutospacing="0"/>
              <w:jc w:val="center"/>
              <w:rPr>
                <w:b/>
                <w:bCs/>
                <w:sz w:val="16"/>
                <w:szCs w:val="16"/>
              </w:rPr>
            </w:pPr>
            <w:r>
              <w:rPr>
                <w:b/>
                <w:bCs/>
                <w:sz w:val="16"/>
                <w:szCs w:val="16"/>
              </w:rPr>
              <w:t>Identification Number)</w:t>
            </w:r>
          </w:p>
        </w:tc>
      </w:tr>
      <w:tr w:rsidR="00000000">
        <w:trPr>
          <w:divId w:val="1131366247"/>
        </w:trPr>
        <w:tc>
          <w:tcPr>
            <w:tcW w:w="2500" w:type="pct"/>
            <w:shd w:val="clear" w:color="auto" w:fill="FFFFFF"/>
            <w:hideMark/>
          </w:tcPr>
          <w:p w:rsidR="00000000" w:rsidRDefault="008206D2">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rsidR="00000000" w:rsidRDefault="008206D2">
            <w:pPr>
              <w:pStyle w:val="a3"/>
              <w:spacing w:before="0" w:beforeAutospacing="0" w:after="0" w:afterAutospacing="0"/>
              <w:jc w:val="center"/>
              <w:rPr>
                <w:b/>
                <w:bCs/>
                <w:sz w:val="16"/>
                <w:szCs w:val="16"/>
              </w:rPr>
            </w:pPr>
            <w:r>
              <w:rPr>
                <w:b/>
                <w:bCs/>
                <w:sz w:val="16"/>
                <w:szCs w:val="16"/>
              </w:rPr>
              <w:t> </w:t>
            </w:r>
          </w:p>
        </w:tc>
      </w:tr>
      <w:tr w:rsidR="00000000">
        <w:trPr>
          <w:divId w:val="1131366247"/>
        </w:trPr>
        <w:tc>
          <w:tcPr>
            <w:tcW w:w="2500" w:type="pct"/>
            <w:shd w:val="clear" w:color="auto" w:fill="FFFFFF"/>
            <w:hideMark/>
          </w:tcPr>
          <w:p w:rsidR="00000000" w:rsidRDefault="008206D2">
            <w:pPr>
              <w:pStyle w:val="a3"/>
              <w:spacing w:before="0" w:beforeAutospacing="0" w:after="0" w:afterAutospacing="0"/>
              <w:jc w:val="center"/>
              <w:rPr>
                <w:b/>
                <w:bCs/>
                <w:sz w:val="20"/>
                <w:szCs w:val="20"/>
              </w:rPr>
            </w:pPr>
            <w:r>
              <w:rPr>
                <w:b/>
                <w:bCs/>
                <w:sz w:val="20"/>
                <w:szCs w:val="20"/>
              </w:rPr>
              <w:t>5501 VIRGINIA WAY</w:t>
            </w:r>
          </w:p>
          <w:p w:rsidR="00000000" w:rsidRDefault="008206D2">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rsidR="00000000" w:rsidRDefault="008206D2">
            <w:pPr>
              <w:pStyle w:val="a3"/>
              <w:spacing w:before="0" w:beforeAutospacing="0" w:after="0" w:afterAutospacing="0"/>
              <w:jc w:val="center"/>
              <w:rPr>
                <w:b/>
                <w:bCs/>
                <w:sz w:val="20"/>
                <w:szCs w:val="20"/>
              </w:rPr>
            </w:pPr>
            <w:r>
              <w:rPr>
                <w:b/>
                <w:bCs/>
                <w:sz w:val="20"/>
                <w:szCs w:val="20"/>
              </w:rPr>
              <w:t xml:space="preserve">37027 </w:t>
            </w:r>
          </w:p>
          <w:p w:rsidR="00000000" w:rsidRDefault="008206D2">
            <w:pPr>
              <w:pStyle w:val="a3"/>
              <w:spacing w:before="0" w:beforeAutospacing="0" w:after="0" w:afterAutospacing="0"/>
              <w:jc w:val="center"/>
              <w:rPr>
                <w:b/>
                <w:bCs/>
                <w:sz w:val="16"/>
                <w:szCs w:val="16"/>
              </w:rPr>
            </w:pPr>
            <w:r>
              <w:rPr>
                <w:b/>
                <w:bCs/>
                <w:sz w:val="16"/>
                <w:szCs w:val="16"/>
              </w:rPr>
              <w:t>(Zip Code)</w:t>
            </w:r>
          </w:p>
        </w:tc>
      </w:tr>
      <w:tr w:rsidR="00000000">
        <w:trPr>
          <w:divId w:val="1131366247"/>
        </w:trPr>
        <w:tc>
          <w:tcPr>
            <w:tcW w:w="2500" w:type="pct"/>
            <w:shd w:val="clear" w:color="auto" w:fill="FFFFFF"/>
            <w:hideMark/>
          </w:tcPr>
          <w:p w:rsidR="00000000" w:rsidRDefault="008206D2">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rsidR="00000000" w:rsidRDefault="008206D2">
            <w:pPr>
              <w:pStyle w:val="a3"/>
              <w:spacing w:before="0" w:beforeAutospacing="0" w:after="0" w:afterAutospacing="0"/>
              <w:jc w:val="center"/>
              <w:rPr>
                <w:b/>
                <w:bCs/>
                <w:sz w:val="20"/>
                <w:szCs w:val="20"/>
              </w:rPr>
            </w:pPr>
            <w:r>
              <w:rPr>
                <w:b/>
                <w:bCs/>
                <w:sz w:val="20"/>
                <w:szCs w:val="20"/>
              </w:rPr>
              <w:t> </w:t>
            </w:r>
          </w:p>
        </w:tc>
      </w:tr>
    </w:tbl>
    <w:p w:rsidR="00000000" w:rsidRDefault="008206D2">
      <w:pPr>
        <w:pStyle w:val="a3"/>
        <w:spacing w:before="0" w:beforeAutospacing="0" w:after="0" w:afterAutospacing="0"/>
        <w:rPr>
          <w:sz w:val="10"/>
          <w:szCs w:val="10"/>
        </w:rPr>
      </w:pPr>
      <w:r>
        <w:rPr>
          <w:sz w:val="10"/>
          <w:szCs w:val="10"/>
        </w:rPr>
        <w:t> </w:t>
      </w:r>
    </w:p>
    <w:p w:rsidR="00000000" w:rsidRDefault="008206D2">
      <w:pPr>
        <w:pStyle w:val="a3"/>
        <w:spacing w:before="0" w:beforeAutospacing="0" w:after="0" w:afterAutospacing="0"/>
        <w:jc w:val="center"/>
        <w:rPr>
          <w:b/>
          <w:bCs/>
          <w:sz w:val="20"/>
          <w:szCs w:val="20"/>
        </w:rPr>
      </w:pPr>
      <w:r>
        <w:rPr>
          <w:b/>
          <w:bCs/>
          <w:sz w:val="20"/>
          <w:szCs w:val="20"/>
        </w:rPr>
        <w:t>(615) 263-3000</w:t>
      </w:r>
    </w:p>
    <w:p w:rsidR="00000000" w:rsidRDefault="008206D2">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8206D2">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8206D2">
      <w:pPr>
        <w:pStyle w:val="a3"/>
        <w:spacing w:before="0" w:beforeAutospacing="0" w:afterAutospacing="0"/>
        <w:jc w:val="center"/>
        <w:rPr>
          <w:sz w:val="20"/>
          <w:szCs w:val="20"/>
        </w:rPr>
      </w:pPr>
      <w:r>
        <w:rPr>
          <w:sz w:val="20"/>
          <w:szCs w:val="20"/>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111"/>
        <w:gridCol w:w="2075"/>
        <w:gridCol w:w="3112"/>
      </w:tblGrid>
      <w:tr w:rsidR="00000000">
        <w:trPr>
          <w:divId w:val="2091269149"/>
        </w:trPr>
        <w:tc>
          <w:tcPr>
            <w:tcW w:w="1873" w:type="pct"/>
            <w:vAlign w:val="center"/>
            <w:hideMark/>
          </w:tcPr>
          <w:p w:rsidR="00000000" w:rsidRDefault="008206D2">
            <w:pPr>
              <w:rPr>
                <w:sz w:val="20"/>
                <w:szCs w:val="20"/>
              </w:rPr>
            </w:pPr>
          </w:p>
        </w:tc>
        <w:tc>
          <w:tcPr>
            <w:tcW w:w="1249" w:type="pct"/>
            <w:vAlign w:val="center"/>
            <w:hideMark/>
          </w:tcPr>
          <w:p w:rsidR="00000000" w:rsidRDefault="008206D2">
            <w:pPr>
              <w:spacing w:before="100" w:beforeAutospacing="1" w:after="100" w:afterAutospacing="1"/>
              <w:rPr>
                <w:rFonts w:eastAsia="Times New Roman"/>
                <w:sz w:val="20"/>
                <w:szCs w:val="20"/>
              </w:rPr>
            </w:pPr>
          </w:p>
        </w:tc>
        <w:tc>
          <w:tcPr>
            <w:tcW w:w="1873" w:type="pct"/>
            <w:vAlign w:val="center"/>
            <w:hideMark/>
          </w:tcPr>
          <w:p w:rsidR="00000000" w:rsidRDefault="008206D2">
            <w:pPr>
              <w:spacing w:before="100" w:beforeAutospacing="1" w:after="100" w:afterAutospacing="1"/>
              <w:rPr>
                <w:rFonts w:eastAsia="Times New Roman"/>
                <w:sz w:val="20"/>
                <w:szCs w:val="20"/>
              </w:rPr>
            </w:pPr>
          </w:p>
        </w:tc>
      </w:tr>
      <w:tr w:rsidR="00000000">
        <w:trPr>
          <w:divId w:val="2091269149"/>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Name of each exchange on which registered</w:t>
            </w:r>
          </w:p>
        </w:tc>
      </w:tr>
      <w:tr w:rsidR="00000000">
        <w:trPr>
          <w:divId w:val="2091269149"/>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New York Stock Exchange</w:t>
            </w:r>
          </w:p>
        </w:tc>
      </w:tr>
    </w:tbl>
    <w:p w:rsidR="00000000" w:rsidRDefault="008206D2">
      <w:pPr>
        <w:pStyle w:val="a3"/>
        <w:spacing w:before="8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20"/>
          <w:szCs w:val="20"/>
        </w:rPr>
        <w:t>such reports), and (2) has been subject to such filing requirements for the past 90 days.</w:t>
      </w:r>
    </w:p>
    <w:p w:rsidR="00000000" w:rsidRDefault="008206D2">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8206D2">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w:t>
      </w:r>
      <w:r>
        <w:rPr>
          <w:sz w:val="20"/>
          <w:szCs w:val="20"/>
        </w:rPr>
        <w:t>f Regulation S-T during the preceding 12 months (or for such shorter period that the registrant was required to submit such files).</w:t>
      </w:r>
    </w:p>
    <w:p w:rsidR="00000000" w:rsidRDefault="008206D2">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8206D2">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w:t>
      </w:r>
      <w:r>
        <w:rPr>
          <w:sz w:val="20"/>
          <w:szCs w:val="20"/>
        </w:rPr>
        <w:t xml:space="preserve">lerated filer, a smaller reporting company, or an emerging growth company. See definitions of "large accelerated filer", "accelerated filer", "smaller reporting company", and "emerging growth company" in Rule 12b-2 of the Exchange Act. </w:t>
      </w:r>
    </w:p>
    <w:p w:rsidR="00000000" w:rsidRDefault="008206D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934045413"/>
        </w:trPr>
        <w:tc>
          <w:tcPr>
            <w:tcW w:w="1957" w:type="pct"/>
            <w:shd w:val="clear" w:color="auto" w:fill="FFFFFF"/>
            <w:vAlign w:val="bottom"/>
            <w:hideMark/>
          </w:tcPr>
          <w:p w:rsidR="00000000" w:rsidRDefault="008206D2">
            <w:pPr>
              <w:pStyle w:val="a3"/>
              <w:spacing w:before="0" w:beforeAutospacing="0" w:after="0" w:afterAutospacing="0"/>
              <w:rPr>
                <w:color w:val="000000"/>
                <w:sz w:val="20"/>
                <w:szCs w:val="20"/>
              </w:rPr>
            </w:pPr>
            <w:r>
              <w:rPr>
                <w:color w:val="000000"/>
                <w:sz w:val="20"/>
                <w:szCs w:val="20"/>
              </w:rPr>
              <w:t>Large accelerated</w:t>
            </w:r>
            <w:r>
              <w:rPr>
                <w:color w:val="000000"/>
                <w:sz w:val="20"/>
                <w:szCs w:val="20"/>
              </w:rPr>
              <w:t xml:space="preserve"> filer</w:t>
            </w:r>
          </w:p>
        </w:tc>
        <w:tc>
          <w:tcPr>
            <w:tcW w:w="209" w:type="pct"/>
            <w:shd w:val="clear" w:color="auto" w:fill="FFFFFF"/>
            <w:vAlign w:val="bottom"/>
            <w:hideMark/>
          </w:tcPr>
          <w:p w:rsidR="00000000" w:rsidRDefault="008206D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8206D2">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8206D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934045413"/>
        </w:trPr>
        <w:tc>
          <w:tcPr>
            <w:tcW w:w="1957" w:type="pct"/>
            <w:shd w:val="clear" w:color="auto" w:fill="FFFFFF"/>
            <w:vAlign w:val="bottom"/>
            <w:hideMark/>
          </w:tcPr>
          <w:p w:rsidR="00000000" w:rsidRDefault="008206D2">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8206D2">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8206D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206D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206D2">
            <w:pPr>
              <w:pStyle w:val="a3"/>
              <w:spacing w:before="0" w:beforeAutospacing="0" w:after="0" w:afterAutospacing="0"/>
              <w:jc w:val="center"/>
              <w:rPr>
                <w:sz w:val="4"/>
                <w:szCs w:val="4"/>
              </w:rPr>
            </w:pPr>
            <w:r>
              <w:rPr>
                <w:sz w:val="4"/>
                <w:szCs w:val="4"/>
              </w:rPr>
              <w:t> </w:t>
            </w:r>
          </w:p>
        </w:tc>
      </w:tr>
      <w:tr w:rsidR="00000000">
        <w:trPr>
          <w:divId w:val="1934045413"/>
        </w:trPr>
        <w:tc>
          <w:tcPr>
            <w:tcW w:w="1957" w:type="pct"/>
            <w:shd w:val="clear" w:color="auto" w:fill="FFFFFF"/>
            <w:vAlign w:val="bottom"/>
            <w:hideMark/>
          </w:tcPr>
          <w:p w:rsidR="00000000" w:rsidRDefault="008206D2">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8206D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8206D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8206D2">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8206D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934045413"/>
        </w:trPr>
        <w:tc>
          <w:tcPr>
            <w:tcW w:w="1957" w:type="pct"/>
            <w:shd w:val="clear" w:color="auto" w:fill="FFFFFF"/>
            <w:vAlign w:val="bottom"/>
            <w:hideMark/>
          </w:tcPr>
          <w:p w:rsidR="00000000" w:rsidRDefault="008206D2">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8206D2">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8206D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206D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206D2">
            <w:pPr>
              <w:pStyle w:val="a3"/>
              <w:spacing w:before="0" w:beforeAutospacing="0" w:after="0" w:afterAutospacing="0"/>
              <w:jc w:val="center"/>
              <w:rPr>
                <w:sz w:val="4"/>
                <w:szCs w:val="4"/>
              </w:rPr>
            </w:pPr>
            <w:r>
              <w:rPr>
                <w:sz w:val="4"/>
                <w:szCs w:val="4"/>
              </w:rPr>
              <w:t> </w:t>
            </w:r>
          </w:p>
        </w:tc>
      </w:tr>
      <w:tr w:rsidR="00000000">
        <w:trPr>
          <w:divId w:val="1934045413"/>
        </w:trPr>
        <w:tc>
          <w:tcPr>
            <w:tcW w:w="1957" w:type="pct"/>
            <w:shd w:val="clear" w:color="auto" w:fill="FFFFFF"/>
            <w:vAlign w:val="bottom"/>
            <w:hideMark/>
          </w:tcPr>
          <w:p w:rsidR="00000000" w:rsidRDefault="008206D2">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8206D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8206D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8206D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8206D2">
            <w:pPr>
              <w:pStyle w:val="a3"/>
              <w:spacing w:before="0" w:beforeAutospacing="0" w:after="0" w:afterAutospacing="0"/>
              <w:jc w:val="center"/>
              <w:rPr>
                <w:sz w:val="20"/>
                <w:szCs w:val="20"/>
              </w:rPr>
            </w:pPr>
            <w:r>
              <w:rPr>
                <w:sz w:val="20"/>
                <w:szCs w:val="20"/>
              </w:rPr>
              <w:t> </w:t>
            </w:r>
          </w:p>
        </w:tc>
      </w:tr>
    </w:tbl>
    <w:p w:rsidR="00000000" w:rsidRDefault="008206D2">
      <w:pPr>
        <w:pStyle w:val="a3"/>
        <w:spacing w:before="0" w:beforeAutospacing="0" w:after="0" w:afterAutospacing="0"/>
        <w:rPr>
          <w:sz w:val="10"/>
          <w:szCs w:val="10"/>
        </w:rPr>
      </w:pPr>
      <w:r>
        <w:rPr>
          <w:sz w:val="10"/>
          <w:szCs w:val="10"/>
        </w:rPr>
        <w:t> </w:t>
      </w:r>
    </w:p>
    <w:p w:rsidR="00000000" w:rsidRDefault="008206D2">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8206D2">
      <w:pPr>
        <w:pStyle w:val="a3"/>
        <w:spacing w:before="40" w:beforeAutospacing="0" w:after="0" w:afterAutospacing="0"/>
        <w:jc w:val="both"/>
        <w:rPr>
          <w:sz w:val="20"/>
          <w:szCs w:val="20"/>
        </w:rPr>
      </w:pPr>
      <w:r>
        <w:rPr>
          <w:sz w:val="20"/>
          <w:szCs w:val="20"/>
        </w:rPr>
        <w:lastRenderedPageBreak/>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8206D2">
      <w:pPr>
        <w:pStyle w:val="a3"/>
        <w:spacing w:before="40" w:beforeAutospacing="0" w:after="0" w:afterAutospacing="0"/>
        <w:jc w:val="both"/>
        <w:rPr>
          <w:sz w:val="20"/>
          <w:szCs w:val="20"/>
        </w:rPr>
      </w:pPr>
      <w:r>
        <w:rPr>
          <w:sz w:val="20"/>
          <w:szCs w:val="20"/>
        </w:rPr>
        <w:t>Indicate the number of shares outstanding of each class of Common Stock as of April 29, 2022:</w:t>
      </w:r>
    </w:p>
    <w:p w:rsidR="00000000" w:rsidRDefault="008206D2">
      <w:pPr>
        <w:pStyle w:val="a3"/>
        <w:spacing w:before="40" w:beforeAutospacing="0" w:after="0" w:afterAutospacing="0"/>
        <w:jc w:val="center"/>
        <w:rPr>
          <w:sz w:val="20"/>
          <w:szCs w:val="20"/>
        </w:rPr>
      </w:pPr>
      <w:r>
        <w:rPr>
          <w:sz w:val="20"/>
          <w:szCs w:val="20"/>
        </w:rPr>
        <w:t>Shares of Common Stock, $0.01 par v</w:t>
      </w:r>
      <w:r>
        <w:rPr>
          <w:sz w:val="20"/>
          <w:szCs w:val="20"/>
        </w:rPr>
        <w:t>alue per share: 121,593,309 shares outstanding.</w:t>
      </w:r>
    </w:p>
    <w:p w:rsidR="00000000" w:rsidRDefault="008206D2">
      <w:pPr>
        <w:pStyle w:val="a3"/>
        <w:pBdr>
          <w:bottom w:val="double" w:sz="6" w:space="1" w:color="auto"/>
        </w:pBdr>
        <w:spacing w:before="0" w:beforeAutospacing="0" w:after="0" w:afterAutospacing="0"/>
        <w:rPr>
          <w:sz w:val="8"/>
          <w:szCs w:val="8"/>
        </w:rPr>
      </w:pPr>
      <w:r>
        <w:rPr>
          <w:sz w:val="8"/>
          <w:szCs w:val="8"/>
        </w:rPr>
        <w:t> </w:t>
      </w:r>
    </w:p>
    <w:p w:rsidR="00000000" w:rsidRDefault="008206D2">
      <w:pPr>
        <w:pStyle w:val="a3"/>
        <w:spacing w:before="0" w:beforeAutospacing="0" w:after="0" w:afterAutospacing="0"/>
        <w:rPr>
          <w:sz w:val="4"/>
          <w:szCs w:val="4"/>
        </w:rPr>
      </w:pPr>
      <w:r>
        <w:rPr>
          <w:sz w:val="4"/>
          <w:szCs w:val="4"/>
        </w:rPr>
        <w:t> </w:t>
      </w:r>
    </w:p>
    <w:p w:rsidR="00000000" w:rsidRDefault="008206D2">
      <w:pPr>
        <w:pStyle w:val="a3"/>
        <w:spacing w:before="0" w:beforeAutospacing="0" w:after="0" w:afterAutospacing="0"/>
        <w:rPr>
          <w:b/>
          <w:bCs/>
          <w:sz w:val="4"/>
          <w:szCs w:val="4"/>
        </w:rPr>
      </w:pPr>
      <w:r>
        <w:rPr>
          <w:b/>
          <w:bCs/>
          <w:sz w:val="4"/>
          <w:szCs w:val="4"/>
        </w:rPr>
        <w:t> </w:t>
      </w:r>
    </w:p>
    <w:p w:rsidR="00000000" w:rsidRDefault="008206D2">
      <w:pPr>
        <w:pStyle w:val="a3"/>
        <w:spacing w:before="0" w:beforeAutospacing="0" w:after="0" w:afterAutospacing="0"/>
        <w:jc w:val="center"/>
        <w:rPr>
          <w:b/>
          <w:bCs/>
          <w:sz w:val="4"/>
          <w:szCs w:val="4"/>
        </w:rPr>
      </w:pPr>
      <w:r>
        <w:rPr>
          <w:b/>
          <w:bCs/>
          <w:sz w:val="4"/>
          <w:szCs w:val="4"/>
        </w:rPr>
        <w:t> </w:t>
      </w:r>
    </w:p>
    <w:p w:rsidR="00000000" w:rsidRDefault="008206D2">
      <w:pPr>
        <w:rPr>
          <w:rFonts w:eastAsia="Times New Roman"/>
        </w:rPr>
      </w:pPr>
      <w:r>
        <w:rPr>
          <w:rFonts w:eastAsia="Times New Roman"/>
        </w:rPr>
        <w:pict>
          <v:rect id="_x0000_i1025"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CORECIVIC, INC.</w:t>
      </w:r>
    </w:p>
    <w:p w:rsidR="00000000" w:rsidRDefault="008206D2">
      <w:pPr>
        <w:pStyle w:val="a3"/>
        <w:spacing w:before="0" w:beforeAutospacing="0" w:after="0" w:afterAutospacing="0"/>
        <w:jc w:val="center"/>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FORM 10-Q</w:t>
      </w:r>
    </w:p>
    <w:p w:rsidR="00000000" w:rsidRDefault="008206D2">
      <w:pPr>
        <w:pStyle w:val="a3"/>
        <w:spacing w:before="0" w:beforeAutospacing="0" w:after="0" w:afterAutospacing="0"/>
        <w:jc w:val="center"/>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FOR THE QUARTERLY PERIOD ENDED MARCH 31, 2022</w:t>
      </w:r>
    </w:p>
    <w:p w:rsidR="00000000" w:rsidRDefault="008206D2">
      <w:pPr>
        <w:pStyle w:val="a3"/>
        <w:spacing w:before="0" w:beforeAutospacing="0" w:after="0" w:afterAutospacing="0"/>
        <w:jc w:val="center"/>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INDEX</w:t>
      </w:r>
    </w:p>
    <w:p w:rsidR="00000000" w:rsidRDefault="008206D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2073380149"/>
        </w:trPr>
        <w:tc>
          <w:tcPr>
            <w:tcW w:w="50" w:type="pct"/>
            <w:gridSpan w:val="3"/>
            <w:hideMark/>
          </w:tcPr>
          <w:p w:rsidR="00000000" w:rsidRDefault="008206D2">
            <w:pPr>
              <w:pStyle w:val="a3"/>
              <w:spacing w:before="0" w:beforeAutospacing="0" w:after="0" w:afterAutospacing="0"/>
              <w:rPr>
                <w:b/>
                <w:bCs/>
                <w:sz w:val="20"/>
                <w:szCs w:val="20"/>
              </w:rPr>
            </w:pPr>
            <w:r>
              <w:rPr>
                <w:b/>
                <w:bCs/>
                <w:sz w:val="20"/>
                <w:szCs w:val="20"/>
              </w:rPr>
              <w:t> </w:t>
            </w:r>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8206D2">
            <w:pPr>
              <w:pStyle w:val="a3"/>
              <w:spacing w:before="0" w:beforeAutospacing="0" w:after="0" w:afterAutospacing="0"/>
              <w:jc w:val="center"/>
              <w:rPr>
                <w:sz w:val="20"/>
                <w:szCs w:val="20"/>
              </w:rPr>
            </w:pPr>
            <w:r>
              <w:rPr>
                <w:sz w:val="20"/>
                <w:szCs w:val="20"/>
              </w:rPr>
              <w:t>PAGE</w:t>
            </w:r>
          </w:p>
        </w:tc>
      </w:tr>
      <w:tr w:rsidR="00000000">
        <w:trPr>
          <w:divId w:val="2073380149"/>
        </w:trPr>
        <w:tc>
          <w:tcPr>
            <w:tcW w:w="50" w:type="pct"/>
            <w:gridSpan w:val="3"/>
            <w:hideMark/>
          </w:tcPr>
          <w:p w:rsidR="00000000" w:rsidRDefault="008206D2">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center"/>
              <w:rPr>
                <w:sz w:val="20"/>
                <w:szCs w:val="20"/>
              </w:rPr>
            </w:pPr>
            <w:r>
              <w:rPr>
                <w:sz w:val="20"/>
                <w:szCs w:val="20"/>
              </w:rPr>
              <w:t> </w:t>
            </w:r>
          </w:p>
        </w:tc>
      </w:tr>
      <w:tr w:rsidR="00000000">
        <w:trPr>
          <w:divId w:val="2073380149"/>
        </w:trPr>
        <w:tc>
          <w:tcPr>
            <w:tcW w:w="385" w:type="pct"/>
            <w:hideMark/>
          </w:tcPr>
          <w:p w:rsidR="00000000" w:rsidRDefault="008206D2">
            <w:pPr>
              <w:pStyle w:val="a3"/>
              <w:spacing w:before="0" w:beforeAutospacing="0" w:after="0" w:afterAutospacing="0"/>
              <w:rPr>
                <w:b/>
                <w:bCs/>
                <w:sz w:val="12"/>
                <w:szCs w:val="12"/>
              </w:rPr>
            </w:pPr>
            <w:r>
              <w:rPr>
                <w:b/>
                <w:bCs/>
                <w:sz w:val="12"/>
                <w:szCs w:val="12"/>
              </w:rPr>
              <w:t> </w:t>
            </w:r>
          </w:p>
        </w:tc>
        <w:tc>
          <w:tcPr>
            <w:tcW w:w="50" w:type="pct"/>
            <w:hideMark/>
          </w:tcPr>
          <w:p w:rsidR="00000000" w:rsidRDefault="008206D2">
            <w:pPr>
              <w:pStyle w:val="a3"/>
              <w:spacing w:before="0" w:beforeAutospacing="0" w:after="0" w:afterAutospacing="0"/>
              <w:rPr>
                <w:b/>
                <w:bCs/>
                <w:sz w:val="12"/>
                <w:szCs w:val="12"/>
              </w:rPr>
            </w:pPr>
            <w:r>
              <w:rPr>
                <w:b/>
                <w:bCs/>
                <w:sz w:val="12"/>
                <w:szCs w:val="12"/>
              </w:rPr>
              <w:t> </w:t>
            </w:r>
          </w:p>
        </w:tc>
        <w:tc>
          <w:tcPr>
            <w:tcW w:w="4174" w:type="pct"/>
            <w:hideMark/>
          </w:tcPr>
          <w:p w:rsidR="00000000" w:rsidRDefault="008206D2">
            <w:pPr>
              <w:pStyle w:val="a3"/>
              <w:spacing w:before="0" w:beforeAutospacing="0" w:after="0" w:afterAutospacing="0"/>
              <w:rPr>
                <w:b/>
                <w:bCs/>
                <w:sz w:val="12"/>
                <w:szCs w:val="12"/>
              </w:rPr>
            </w:pPr>
            <w:r>
              <w:rPr>
                <w:b/>
                <w:bCs/>
                <w:sz w:val="12"/>
                <w:szCs w:val="12"/>
              </w:rPr>
              <w:t> </w:t>
            </w:r>
          </w:p>
        </w:tc>
        <w:tc>
          <w:tcPr>
            <w:tcW w:w="51" w:type="pct"/>
            <w:hideMark/>
          </w:tcPr>
          <w:p w:rsidR="00000000" w:rsidRDefault="008206D2">
            <w:pPr>
              <w:pStyle w:val="a3"/>
              <w:spacing w:before="0" w:beforeAutospacing="0" w:after="0" w:afterAutospacing="0"/>
              <w:rPr>
                <w:b/>
                <w:bCs/>
                <w:sz w:val="12"/>
                <w:szCs w:val="12"/>
              </w:rPr>
            </w:pPr>
            <w:r>
              <w:rPr>
                <w:b/>
                <w:bCs/>
                <w:sz w:val="12"/>
                <w:szCs w:val="12"/>
              </w:rPr>
              <w:t> </w:t>
            </w:r>
          </w:p>
        </w:tc>
        <w:tc>
          <w:tcPr>
            <w:tcW w:w="281" w:type="pct"/>
            <w:hideMark/>
          </w:tcPr>
          <w:p w:rsidR="00000000" w:rsidRDefault="008206D2">
            <w:pPr>
              <w:pStyle w:val="a3"/>
              <w:spacing w:before="0" w:beforeAutospacing="0" w:after="0" w:afterAutospacing="0"/>
              <w:rPr>
                <w:b/>
                <w:bCs/>
                <w:sz w:val="12"/>
                <w:szCs w:val="12"/>
              </w:rPr>
            </w:pPr>
            <w:r>
              <w:rPr>
                <w:b/>
                <w:bCs/>
                <w:sz w:val="12"/>
                <w:szCs w:val="12"/>
              </w:rPr>
              <w:t> </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1.</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    a)</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CONSOLIDATED_BALANCE_SHEETS" w:history="1">
              <w:r>
                <w:rPr>
                  <w:rStyle w:val="a4"/>
                  <w:sz w:val="20"/>
                  <w:szCs w:val="20"/>
                </w:rPr>
                <w:t>Consolidated Balance Sheets as of March 31, 2022 (Unaudited) and December 31, 2021</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    b)</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(Unaudited)</w:t>
              </w:r>
              <w:r>
                <w:rPr>
                  <w:rStyle w:val="a4"/>
                  <w:sz w:val="20"/>
                  <w:szCs w:val="20"/>
                </w:rPr>
                <w:t xml:space="preserve"> for the three months ended March 31, 2022 and 2021</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8206D2">
            <w:pPr>
              <w:pStyle w:val="a3"/>
              <w:spacing w:before="0" w:beforeAutospacing="0" w:after="0" w:afterAutospacing="0"/>
              <w:jc w:val="right"/>
              <w:rPr>
                <w:sz w:val="20"/>
                <w:szCs w:val="20"/>
              </w:rPr>
            </w:pPr>
            <w:r>
              <w:rPr>
                <w:sz w:val="20"/>
                <w:szCs w:val="20"/>
              </w:rPr>
              <w:t>2</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    c)</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three months ended March 31, 2022 and 2021</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3</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    d)</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 ended March 31, 2022</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    e)</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 ended March 31, 2021</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5</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    f)</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6</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2.</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 Results of Operations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19</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3.</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40</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4.</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40</w:t>
            </w:r>
          </w:p>
        </w:tc>
      </w:tr>
      <w:tr w:rsidR="00000000">
        <w:trPr>
          <w:divId w:val="2073380149"/>
        </w:trPr>
        <w:tc>
          <w:tcPr>
            <w:tcW w:w="385" w:type="pct"/>
            <w:hideMark/>
          </w:tcPr>
          <w:p w:rsidR="00000000" w:rsidRDefault="008206D2">
            <w:pPr>
              <w:pStyle w:val="a3"/>
              <w:spacing w:before="0" w:beforeAutospacing="0" w:after="0" w:afterAutospacing="0"/>
              <w:rPr>
                <w:b/>
                <w:bCs/>
                <w:sz w:val="12"/>
                <w:szCs w:val="12"/>
              </w:rPr>
            </w:pPr>
            <w:r>
              <w:rPr>
                <w:b/>
                <w:bCs/>
                <w:sz w:val="12"/>
                <w:szCs w:val="12"/>
              </w:rPr>
              <w:t> </w:t>
            </w:r>
          </w:p>
        </w:tc>
        <w:tc>
          <w:tcPr>
            <w:tcW w:w="50" w:type="pct"/>
            <w:hideMark/>
          </w:tcPr>
          <w:p w:rsidR="00000000" w:rsidRDefault="008206D2">
            <w:pPr>
              <w:pStyle w:val="a3"/>
              <w:spacing w:before="0" w:beforeAutospacing="0" w:after="0" w:afterAutospacing="0"/>
              <w:rPr>
                <w:b/>
                <w:bCs/>
                <w:sz w:val="12"/>
                <w:szCs w:val="12"/>
              </w:rPr>
            </w:pPr>
            <w:r>
              <w:rPr>
                <w:b/>
                <w:bCs/>
                <w:sz w:val="12"/>
                <w:szCs w:val="12"/>
              </w:rPr>
              <w:t> </w:t>
            </w:r>
          </w:p>
        </w:tc>
        <w:tc>
          <w:tcPr>
            <w:tcW w:w="4174" w:type="pct"/>
            <w:hideMark/>
          </w:tcPr>
          <w:p w:rsidR="00000000" w:rsidRDefault="008206D2">
            <w:pPr>
              <w:pStyle w:val="a3"/>
              <w:spacing w:before="0" w:beforeAutospacing="0" w:after="0" w:afterAutospacing="0"/>
              <w:rPr>
                <w:b/>
                <w:bCs/>
                <w:sz w:val="12"/>
                <w:szCs w:val="12"/>
              </w:rPr>
            </w:pPr>
            <w:r>
              <w:rPr>
                <w:b/>
                <w:bCs/>
                <w:sz w:val="12"/>
                <w:szCs w:val="12"/>
              </w:rPr>
              <w:t> </w:t>
            </w:r>
          </w:p>
        </w:tc>
        <w:tc>
          <w:tcPr>
            <w:tcW w:w="51" w:type="pct"/>
            <w:hideMark/>
          </w:tcPr>
          <w:p w:rsidR="00000000" w:rsidRDefault="008206D2">
            <w:pPr>
              <w:pStyle w:val="a3"/>
              <w:spacing w:before="0" w:beforeAutospacing="0" w:after="0" w:afterAutospacing="0"/>
              <w:rPr>
                <w:b/>
                <w:bCs/>
                <w:sz w:val="12"/>
                <w:szCs w:val="12"/>
              </w:rPr>
            </w:pPr>
            <w:r>
              <w:rPr>
                <w:b/>
                <w:bCs/>
                <w:sz w:val="12"/>
                <w:szCs w:val="12"/>
              </w:rPr>
              <w:t> </w:t>
            </w:r>
          </w:p>
        </w:tc>
        <w:tc>
          <w:tcPr>
            <w:tcW w:w="281" w:type="pct"/>
            <w:hideMark/>
          </w:tcPr>
          <w:p w:rsidR="00000000" w:rsidRDefault="008206D2">
            <w:pPr>
              <w:pStyle w:val="a3"/>
              <w:spacing w:before="0" w:beforeAutospacing="0" w:after="0" w:afterAutospacing="0"/>
              <w:jc w:val="right"/>
              <w:rPr>
                <w:sz w:val="12"/>
                <w:szCs w:val="12"/>
              </w:rPr>
            </w:pPr>
            <w:r>
              <w:rPr>
                <w:sz w:val="12"/>
                <w:szCs w:val="12"/>
              </w:rPr>
              <w:t> </w:t>
            </w:r>
          </w:p>
        </w:tc>
      </w:tr>
      <w:tr w:rsidR="00000000">
        <w:trPr>
          <w:divId w:val="2073380149"/>
        </w:trPr>
        <w:tc>
          <w:tcPr>
            <w:tcW w:w="50" w:type="pct"/>
            <w:gridSpan w:val="3"/>
            <w:hideMark/>
          </w:tcPr>
          <w:p w:rsidR="00000000" w:rsidRDefault="008206D2">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 </w:t>
            </w:r>
          </w:p>
        </w:tc>
      </w:tr>
      <w:tr w:rsidR="00000000">
        <w:trPr>
          <w:divId w:val="2073380149"/>
        </w:trPr>
        <w:tc>
          <w:tcPr>
            <w:tcW w:w="385" w:type="pct"/>
            <w:hideMark/>
          </w:tcPr>
          <w:p w:rsidR="00000000" w:rsidRDefault="008206D2">
            <w:pPr>
              <w:pStyle w:val="a3"/>
              <w:spacing w:before="0" w:beforeAutospacing="0" w:after="0" w:afterAutospacing="0"/>
              <w:rPr>
                <w:b/>
                <w:bCs/>
                <w:sz w:val="12"/>
                <w:szCs w:val="12"/>
              </w:rPr>
            </w:pPr>
            <w:r>
              <w:rPr>
                <w:b/>
                <w:bCs/>
                <w:sz w:val="12"/>
                <w:szCs w:val="12"/>
              </w:rPr>
              <w:t> </w:t>
            </w:r>
          </w:p>
        </w:tc>
        <w:tc>
          <w:tcPr>
            <w:tcW w:w="50" w:type="pct"/>
            <w:hideMark/>
          </w:tcPr>
          <w:p w:rsidR="00000000" w:rsidRDefault="008206D2">
            <w:pPr>
              <w:pStyle w:val="a3"/>
              <w:spacing w:before="0" w:beforeAutospacing="0" w:after="0" w:afterAutospacing="0"/>
              <w:rPr>
                <w:b/>
                <w:bCs/>
                <w:sz w:val="12"/>
                <w:szCs w:val="12"/>
              </w:rPr>
            </w:pPr>
            <w:r>
              <w:rPr>
                <w:b/>
                <w:bCs/>
                <w:sz w:val="12"/>
                <w:szCs w:val="12"/>
              </w:rPr>
              <w:t> </w:t>
            </w:r>
          </w:p>
        </w:tc>
        <w:tc>
          <w:tcPr>
            <w:tcW w:w="4174" w:type="pct"/>
            <w:hideMark/>
          </w:tcPr>
          <w:p w:rsidR="00000000" w:rsidRDefault="008206D2">
            <w:pPr>
              <w:pStyle w:val="a3"/>
              <w:spacing w:before="0" w:beforeAutospacing="0" w:after="0" w:afterAutospacing="0"/>
              <w:rPr>
                <w:b/>
                <w:bCs/>
                <w:sz w:val="12"/>
                <w:szCs w:val="12"/>
              </w:rPr>
            </w:pPr>
            <w:r>
              <w:rPr>
                <w:b/>
                <w:bCs/>
                <w:sz w:val="12"/>
                <w:szCs w:val="12"/>
              </w:rPr>
              <w:t> </w:t>
            </w:r>
          </w:p>
        </w:tc>
        <w:tc>
          <w:tcPr>
            <w:tcW w:w="51" w:type="pct"/>
            <w:hideMark/>
          </w:tcPr>
          <w:p w:rsidR="00000000" w:rsidRDefault="008206D2">
            <w:pPr>
              <w:pStyle w:val="a3"/>
              <w:spacing w:before="0" w:beforeAutospacing="0" w:after="0" w:afterAutospacing="0"/>
              <w:rPr>
                <w:b/>
                <w:bCs/>
                <w:sz w:val="12"/>
                <w:szCs w:val="12"/>
              </w:rPr>
            </w:pPr>
            <w:r>
              <w:rPr>
                <w:b/>
                <w:bCs/>
                <w:sz w:val="12"/>
                <w:szCs w:val="12"/>
              </w:rPr>
              <w:t> </w:t>
            </w:r>
          </w:p>
        </w:tc>
        <w:tc>
          <w:tcPr>
            <w:tcW w:w="281" w:type="pct"/>
            <w:hideMark/>
          </w:tcPr>
          <w:p w:rsidR="00000000" w:rsidRDefault="008206D2">
            <w:pPr>
              <w:pStyle w:val="a3"/>
              <w:spacing w:before="0" w:beforeAutospacing="0" w:after="0" w:afterAutospacing="0"/>
              <w:jc w:val="right"/>
              <w:rPr>
                <w:sz w:val="12"/>
                <w:szCs w:val="12"/>
              </w:rPr>
            </w:pPr>
            <w:r>
              <w:rPr>
                <w:sz w:val="12"/>
                <w:szCs w:val="12"/>
              </w:rPr>
              <w:t> </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1.</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1A.</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2.</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3.</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4.</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5.</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41</w:t>
            </w:r>
          </w:p>
        </w:tc>
      </w:tr>
      <w:tr w:rsidR="00000000">
        <w:trPr>
          <w:divId w:val="2073380149"/>
        </w:trPr>
        <w:tc>
          <w:tcPr>
            <w:tcW w:w="385" w:type="pct"/>
            <w:hideMark/>
          </w:tcPr>
          <w:p w:rsidR="00000000" w:rsidRDefault="008206D2">
            <w:pPr>
              <w:pStyle w:val="a3"/>
              <w:spacing w:before="0" w:beforeAutospacing="0" w:after="0" w:afterAutospacing="0"/>
              <w:rPr>
                <w:sz w:val="20"/>
                <w:szCs w:val="20"/>
              </w:rPr>
            </w:pPr>
            <w:r>
              <w:rPr>
                <w:sz w:val="20"/>
                <w:szCs w:val="20"/>
              </w:rPr>
              <w:t>Item 6.</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42</w:t>
            </w:r>
          </w:p>
        </w:tc>
      </w:tr>
      <w:tr w:rsidR="00000000">
        <w:trPr>
          <w:divId w:val="2073380149"/>
          <w:trHeight w:val="130"/>
        </w:trPr>
        <w:tc>
          <w:tcPr>
            <w:tcW w:w="385" w:type="pct"/>
            <w:hideMark/>
          </w:tcPr>
          <w:p w:rsidR="00000000" w:rsidRDefault="008206D2">
            <w:pPr>
              <w:pStyle w:val="a3"/>
              <w:spacing w:before="0" w:beforeAutospacing="0" w:after="0" w:afterAutospacing="0"/>
              <w:rPr>
                <w:sz w:val="20"/>
                <w:szCs w:val="20"/>
              </w:rPr>
            </w:pPr>
            <w:r>
              <w:rPr>
                <w:sz w:val="20"/>
                <w:szCs w:val="20"/>
              </w:rPr>
              <w:t> </w:t>
            </w:r>
          </w:p>
        </w:tc>
        <w:tc>
          <w:tcPr>
            <w:tcW w:w="50" w:type="pct"/>
            <w:hideMark/>
          </w:tcPr>
          <w:p w:rsidR="00000000" w:rsidRDefault="008206D2">
            <w:pPr>
              <w:pStyle w:val="a3"/>
              <w:spacing w:before="0" w:beforeAutospacing="0" w:after="0" w:afterAutospacing="0"/>
              <w:rPr>
                <w:b/>
                <w:bCs/>
                <w:sz w:val="20"/>
                <w:szCs w:val="20"/>
              </w:rPr>
            </w:pPr>
            <w:r>
              <w:rPr>
                <w:b/>
                <w:bCs/>
                <w:sz w:val="20"/>
                <w:szCs w:val="20"/>
              </w:rPr>
              <w:t> </w:t>
            </w:r>
          </w:p>
        </w:tc>
        <w:tc>
          <w:tcPr>
            <w:tcW w:w="4174" w:type="pct"/>
            <w:hideMark/>
          </w:tcPr>
          <w:p w:rsidR="00000000" w:rsidRDefault="008206D2">
            <w:pPr>
              <w:pStyle w:val="a3"/>
              <w:spacing w:before="0" w:beforeAutospacing="0" w:after="0" w:afterAutospacing="0"/>
              <w:rPr>
                <w:sz w:val="20"/>
                <w:szCs w:val="20"/>
              </w:rPr>
            </w:pPr>
            <w:r>
              <w:rPr>
                <w:sz w:val="20"/>
                <w:szCs w:val="20"/>
              </w:rPr>
              <w:t> </w:t>
            </w:r>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 </w:t>
            </w:r>
          </w:p>
        </w:tc>
      </w:tr>
      <w:tr w:rsidR="00000000">
        <w:trPr>
          <w:divId w:val="2073380149"/>
        </w:trPr>
        <w:tc>
          <w:tcPr>
            <w:tcW w:w="50" w:type="pct"/>
            <w:gridSpan w:val="3"/>
            <w:hideMark/>
          </w:tcPr>
          <w:p w:rsidR="00000000" w:rsidRDefault="008206D2">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8206D2">
            <w:pPr>
              <w:pStyle w:val="a3"/>
              <w:spacing w:before="0" w:beforeAutospacing="0" w:after="0" w:afterAutospacing="0"/>
              <w:rPr>
                <w:b/>
                <w:bCs/>
                <w:sz w:val="20"/>
                <w:szCs w:val="20"/>
              </w:rPr>
            </w:pPr>
            <w:r>
              <w:rPr>
                <w:b/>
                <w:bCs/>
                <w:sz w:val="20"/>
                <w:szCs w:val="20"/>
              </w:rPr>
              <w:t> </w:t>
            </w:r>
          </w:p>
        </w:tc>
        <w:tc>
          <w:tcPr>
            <w:tcW w:w="281" w:type="pct"/>
            <w:hideMark/>
          </w:tcPr>
          <w:p w:rsidR="00000000" w:rsidRDefault="008206D2">
            <w:pPr>
              <w:pStyle w:val="a3"/>
              <w:spacing w:before="0" w:beforeAutospacing="0" w:after="0" w:afterAutospacing="0"/>
              <w:jc w:val="right"/>
              <w:rPr>
                <w:sz w:val="20"/>
                <w:szCs w:val="20"/>
              </w:rPr>
            </w:pPr>
            <w:r>
              <w:rPr>
                <w:sz w:val="20"/>
                <w:szCs w:val="20"/>
              </w:rPr>
              <w:t>43</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240" w:beforeAutospacing="0" w:after="0" w:afterAutospacing="0"/>
        <w:jc w:val="center"/>
        <w:rPr>
          <w:sz w:val="20"/>
          <w:szCs w:val="20"/>
        </w:rPr>
      </w:pPr>
      <w:r>
        <w:rPr>
          <w:sz w:val="20"/>
          <w:szCs w:val="20"/>
        </w:rPr>
        <w:t> </w:t>
      </w:r>
    </w:p>
    <w:p w:rsidR="00000000" w:rsidRDefault="008206D2">
      <w:pPr>
        <w:rPr>
          <w:rFonts w:eastAsia="Times New Roman"/>
        </w:rPr>
      </w:pPr>
      <w:r>
        <w:rPr>
          <w:rFonts w:eastAsia="Times New Roman"/>
        </w:rPr>
        <w:pict>
          <v:rect id="_x0000_i1026"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PART I – FINANCIAL INFORMATION</w:t>
      </w:r>
    </w:p>
    <w:p w:rsidR="00000000" w:rsidRDefault="008206D2">
      <w:pPr>
        <w:pStyle w:val="a3"/>
        <w:spacing w:before="240" w:beforeAutospacing="0" w:after="0" w:afterAutospacing="0"/>
        <w:jc w:val="both"/>
        <w:rPr>
          <w:b/>
          <w:bCs/>
          <w:sz w:val="20"/>
          <w:szCs w:val="20"/>
        </w:rPr>
      </w:pPr>
      <w:r>
        <w:rPr>
          <w:b/>
          <w:bCs/>
          <w:sz w:val="20"/>
          <w:szCs w:val="20"/>
        </w:rPr>
        <w:t>ITEM 1. – FINANCIAL STATEMENTS.</w:t>
      </w:r>
    </w:p>
    <w:p w:rsidR="00000000" w:rsidRDefault="008206D2">
      <w:pPr>
        <w:pStyle w:val="a3"/>
        <w:spacing w:before="240" w:beforeAutospacing="0" w:after="0" w:afterAutospacing="0"/>
        <w:jc w:val="center"/>
        <w:rPr>
          <w:b/>
          <w:bCs/>
          <w:sz w:val="20"/>
          <w:szCs w:val="20"/>
        </w:rPr>
      </w:pPr>
      <w:r>
        <w:rPr>
          <w:b/>
          <w:bCs/>
          <w:sz w:val="20"/>
          <w:szCs w:val="20"/>
        </w:rPr>
        <w:t>CORECIVIC, INC. AND SUBSIDIARIES</w:t>
      </w:r>
    </w:p>
    <w:p w:rsidR="00000000" w:rsidRDefault="008206D2">
      <w:pPr>
        <w:pStyle w:val="a3"/>
        <w:spacing w:before="0" w:beforeAutospacing="0" w:after="0" w:afterAutospacing="0"/>
        <w:jc w:val="center"/>
        <w:rPr>
          <w:b/>
          <w:bCs/>
          <w:sz w:val="20"/>
          <w:szCs w:val="20"/>
        </w:rPr>
      </w:pPr>
      <w:r>
        <w:rPr>
          <w:b/>
          <w:bCs/>
          <w:sz w:val="20"/>
          <w:szCs w:val="20"/>
        </w:rPr>
        <w:t>CONSOLIDATED BALANCE SHEETS</w:t>
      </w:r>
    </w:p>
    <w:p w:rsidR="00000000" w:rsidRDefault="008206D2">
      <w:pPr>
        <w:pStyle w:val="a3"/>
        <w:spacing w:before="0" w:beforeAutospacing="0" w:after="0" w:afterAutospacing="0"/>
        <w:jc w:val="center"/>
        <w:rPr>
          <w:sz w:val="20"/>
          <w:szCs w:val="20"/>
        </w:rPr>
      </w:pPr>
      <w:r>
        <w:rPr>
          <w:sz w:val="20"/>
          <w:szCs w:val="20"/>
        </w:rPr>
        <w:lastRenderedPageBreak/>
        <w:t>(UNAUDITED AND AMOUNTS IN THOUSANDS, EXCEPT PER SHARE AMOUNTS)</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26"/>
        <w:gridCol w:w="85"/>
        <w:gridCol w:w="115"/>
        <w:gridCol w:w="1022"/>
        <w:gridCol w:w="82"/>
        <w:gridCol w:w="65"/>
        <w:gridCol w:w="116"/>
        <w:gridCol w:w="1213"/>
        <w:gridCol w:w="82"/>
      </w:tblGrid>
      <w:tr w:rsidR="00000000">
        <w:trPr>
          <w:divId w:val="25713295"/>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March 31, 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25713295"/>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378,204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299,645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12,330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11,062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Accounts receivable, net of credit loss reserve of $8,488 and $7,931, respectively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262,467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282,809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27,759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26,872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Assets held for sale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6,996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680,760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627,384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$1,685,556</w:t>
            </w:r>
          </w:p>
          <w:p w:rsidR="00000000" w:rsidRDefault="008206D2">
            <w:pPr>
              <w:pStyle w:val="a3"/>
              <w:spacing w:before="0" w:beforeAutospacing="0" w:after="0" w:afterAutospacing="0"/>
              <w:rPr>
                <w:color w:val="000000"/>
                <w:sz w:val="20"/>
                <w:szCs w:val="20"/>
              </w:rPr>
            </w:pPr>
            <w:r>
              <w:rPr>
                <w:color w:val="000000"/>
                <w:sz w:val="20"/>
                <w:szCs w:val="20"/>
              </w:rPr>
              <w:t>       and $1,657,709, respectively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2,269,913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2,283,256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216,161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218,915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4,844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4,844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357,874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364,539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3,529,552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3,498,938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tcBorders>
              <w:bottom w:val="single" w:sz="6" w:space="0" w:color="000000"/>
            </w:tcBorders>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r>
      <w:tr w:rsidR="00000000">
        <w:trPr>
          <w:divId w:val="25713295"/>
        </w:trPr>
        <w:tc>
          <w:tcPr>
            <w:tcW w:w="3354" w:type="pct"/>
            <w:tcBorders>
              <w:top w:val="single" w:sz="6" w:space="0" w:color="000000"/>
            </w:tcBorders>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326,003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305,592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Current portion of long-term debt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37,072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35,376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363,075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340,968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1,483,948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1,492,046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26,311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27,551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Non-current deferred tax liabilities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90,836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88,157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173,865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177,748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2,138,035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2,126,470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8206D2">
            <w:pPr>
              <w:pStyle w:val="a3"/>
              <w:spacing w:before="0" w:beforeAutospacing="0" w:after="0" w:afterAutospacing="0"/>
              <w:rPr>
                <w:color w:val="000000"/>
                <w:sz w:val="20"/>
                <w:szCs w:val="20"/>
              </w:rPr>
            </w:pPr>
            <w:r>
              <w:rPr>
                <w:color w:val="000000"/>
                <w:sz w:val="20"/>
                <w:szCs w:val="20"/>
              </w:rPr>
              <w:t>   at March 31, 2022 and December 31, 2021, respectively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Common stock – $0.01 par value; 300,000 shares authorized; 121,586 and 120,285 shares</w:t>
            </w:r>
          </w:p>
          <w:p w:rsidR="00000000" w:rsidRDefault="008206D2">
            <w:pPr>
              <w:pStyle w:val="a3"/>
              <w:spacing w:before="0" w:beforeAutospacing="0" w:after="0" w:afterAutospacing="0"/>
              <w:rPr>
                <w:color w:val="000000"/>
                <w:sz w:val="20"/>
                <w:szCs w:val="20"/>
              </w:rPr>
            </w:pPr>
            <w:r>
              <w:rPr>
                <w:color w:val="000000"/>
                <w:sz w:val="20"/>
                <w:szCs w:val="20"/>
              </w:rPr>
              <w:t>   issued and outstanding at March 31, 2022 and D</w:t>
            </w:r>
            <w:r>
              <w:rPr>
                <w:color w:val="000000"/>
                <w:sz w:val="20"/>
                <w:szCs w:val="20"/>
              </w:rPr>
              <w:t>ecember 31, 2021, respectively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1,216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1,870,065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1,869,955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(479,764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(498,690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257132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1,391,517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1,372,468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57132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3,529,552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3,498,938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8206D2">
      <w:pPr>
        <w:pStyle w:val="a3"/>
        <w:spacing w:before="240" w:beforeAutospacing="0" w:after="0" w:afterAutospacing="0"/>
        <w:jc w:val="center"/>
        <w:rPr>
          <w:sz w:val="20"/>
          <w:szCs w:val="20"/>
        </w:rPr>
      </w:pPr>
      <w:r>
        <w:rPr>
          <w:sz w:val="20"/>
          <w:szCs w:val="20"/>
        </w:rPr>
        <w:t>1</w:t>
      </w:r>
    </w:p>
    <w:p w:rsidR="00000000" w:rsidRDefault="008206D2">
      <w:pPr>
        <w:rPr>
          <w:rFonts w:eastAsia="Times New Roman"/>
        </w:rPr>
      </w:pPr>
      <w:r>
        <w:rPr>
          <w:rFonts w:eastAsia="Times New Roman"/>
        </w:rPr>
        <w:pict>
          <v:rect id="_x0000_i1027" style="width:0;height:1.5pt" o:hralign="center" o:hrstd="t" o:hr="t" fillcolor="#a0a0a0" stroked="f"/>
        </w:pict>
      </w:r>
    </w:p>
    <w:p w:rsidR="00000000" w:rsidRDefault="008206D2">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8206D2">
      <w:pPr>
        <w:pStyle w:val="a3"/>
        <w:spacing w:before="0" w:beforeAutospacing="0" w:after="0" w:afterAutospacing="0"/>
        <w:jc w:val="center"/>
        <w:rPr>
          <w:b/>
          <w:bCs/>
          <w:sz w:val="20"/>
          <w:szCs w:val="20"/>
        </w:rPr>
      </w:pPr>
      <w:r>
        <w:rPr>
          <w:b/>
          <w:bCs/>
          <w:sz w:val="20"/>
          <w:szCs w:val="20"/>
        </w:rPr>
        <w:t>CONSOLIDATED STATEMENTS OF OPERATIONS</w:t>
      </w:r>
    </w:p>
    <w:p w:rsidR="00000000" w:rsidRDefault="008206D2">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REVENUE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452,988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454,718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EXPENSES: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344,629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332,884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31,101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29,530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32,028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32,712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Shareholder litigation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51,745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lastRenderedPageBreak/>
              <w:t>Asset impairments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407,758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448,179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OTHER INCOME (EXPENSE):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Interest expense, net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(22,920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(18,428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Gain on sale of real estate assets, net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2,261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Other income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1,042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INCOME (LOSS) BEFORE INCOME TAXES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25,613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(12,037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Income tax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(6,610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(113,531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3806639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BASIC EARNINGS (LOSS) PER SHARE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0.16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3806639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DILUTED EARNINGS (LOSS) PER SHARE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0.16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sz w:val="20"/>
          <w:szCs w:val="20"/>
        </w:rPr>
      </w:pPr>
      <w:r>
        <w:rPr>
          <w:sz w:val="20"/>
          <w:szCs w:val="20"/>
        </w:rPr>
        <w:t> </w:t>
      </w:r>
    </w:p>
    <w:p w:rsidR="00000000" w:rsidRDefault="008206D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8206D2">
      <w:pPr>
        <w:pStyle w:val="a3"/>
        <w:spacing w:before="0" w:beforeAutospacing="0" w:after="0" w:afterAutospacing="0"/>
        <w:jc w:val="center"/>
        <w:rPr>
          <w:sz w:val="18"/>
          <w:szCs w:val="18"/>
        </w:rPr>
      </w:pPr>
      <w:r>
        <w:rPr>
          <w:sz w:val="18"/>
          <w:szCs w:val="18"/>
        </w:rPr>
        <w:t> </w:t>
      </w:r>
    </w:p>
    <w:p w:rsidR="00000000" w:rsidRDefault="008206D2">
      <w:pPr>
        <w:pStyle w:val="a3"/>
        <w:spacing w:before="240" w:beforeAutospacing="0" w:after="0" w:afterAutospacing="0"/>
        <w:jc w:val="center"/>
        <w:rPr>
          <w:sz w:val="20"/>
          <w:szCs w:val="20"/>
        </w:rPr>
      </w:pPr>
      <w:r>
        <w:rPr>
          <w:sz w:val="20"/>
          <w:szCs w:val="20"/>
        </w:rPr>
        <w:t>2</w:t>
      </w:r>
    </w:p>
    <w:p w:rsidR="00000000" w:rsidRDefault="008206D2">
      <w:pPr>
        <w:rPr>
          <w:rFonts w:eastAsia="Times New Roman"/>
        </w:rPr>
      </w:pPr>
      <w:r>
        <w:rPr>
          <w:rFonts w:eastAsia="Times New Roman"/>
        </w:rPr>
        <w:pict>
          <v:rect id="_x0000_i1028"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8206D2">
      <w:pPr>
        <w:pStyle w:val="a3"/>
        <w:spacing w:before="0" w:beforeAutospacing="0" w:after="0" w:afterAutospacing="0"/>
        <w:jc w:val="center"/>
        <w:rPr>
          <w:b/>
          <w:bCs/>
          <w:sz w:val="20"/>
          <w:szCs w:val="20"/>
        </w:rPr>
      </w:pPr>
      <w:r>
        <w:rPr>
          <w:b/>
          <w:bCs/>
          <w:sz w:val="20"/>
          <w:szCs w:val="20"/>
        </w:rPr>
        <w:t>CONSOLIDATED STATEMENTS OF CASH FLOWS</w:t>
      </w:r>
    </w:p>
    <w:p w:rsidR="00000000" w:rsidRDefault="008206D2">
      <w:pPr>
        <w:pStyle w:val="a3"/>
        <w:spacing w:before="0" w:beforeAutospacing="0" w:after="0" w:afterAutospacing="0"/>
        <w:jc w:val="center"/>
        <w:rPr>
          <w:sz w:val="20"/>
          <w:szCs w:val="20"/>
        </w:rPr>
      </w:pPr>
      <w:r>
        <w:rPr>
          <w:sz w:val="20"/>
          <w:szCs w:val="20"/>
        </w:rPr>
        <w:t>(UNAUDITED AND AMOUNTS IN THOUSANDS)</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Net income (loss)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19,003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Adjustments to reconcile net income (loss) to net cash provided by</w:t>
            </w:r>
          </w:p>
          <w:p w:rsidR="00000000" w:rsidRDefault="008206D2">
            <w:pPr>
              <w:pStyle w:val="a3"/>
              <w:spacing w:before="0" w:beforeAutospacing="0" w:after="0" w:afterAutospacing="0"/>
              <w:ind w:left="274"/>
              <w:rPr>
                <w:color w:val="000000"/>
                <w:sz w:val="20"/>
                <w:szCs w:val="20"/>
              </w:rPr>
            </w:pPr>
            <w:r>
              <w:rPr>
                <w:color w:val="000000"/>
                <w:sz w:val="20"/>
                <w:szCs w:val="20"/>
              </w:rPr>
              <w:t>      operating activities: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32,028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32,712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1,730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1,566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Gain on sale of real estate assets, net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(2,261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2,679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96,469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(1,753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5,267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1,343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2,403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19,369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13,670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20,302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72,438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97,707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99,596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(2,916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(4,001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(9,007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(12,221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Net proceeds from sale of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9,316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Increase in other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(1,205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(1,167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(17,359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Scheduled principal repayments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(7,903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(9,945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(20,000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Payment of debt defeasance, issuance and other refinancing and related costs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Contingent consideration for acquisition of business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Dividends paid</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(866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(1,611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lastRenderedPageBreak/>
              <w:t>Purchase and retirement of common stock</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(5,144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1094"/>
              <w:rPr>
                <w:color w:val="000000"/>
                <w:sz w:val="20"/>
                <w:szCs w:val="20"/>
              </w:rPr>
            </w:pPr>
            <w:r>
              <w:rPr>
                <w:color w:val="000000"/>
                <w:sz w:val="20"/>
                <w:szCs w:val="20"/>
              </w:rPr>
              <w:t>Net cash used in financing activities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(14,068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(34,451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NET INCREASE IN CASH, CASH EQUIVALENTS AND RESTRICTED CASH</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79,827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47,786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310,707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136,768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390,534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184,554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550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Interest (net of amounts capitalized of $0.2 million and $0.0 million in 2022 and</w:t>
            </w:r>
          </w:p>
          <w:p w:rsidR="00000000" w:rsidRDefault="008206D2">
            <w:pPr>
              <w:pStyle w:val="a3"/>
              <w:spacing w:before="0" w:beforeAutospacing="0" w:after="0" w:afterAutospacing="0"/>
              <w:ind w:left="547"/>
              <w:rPr>
                <w:color w:val="000000"/>
                <w:sz w:val="20"/>
                <w:szCs w:val="20"/>
              </w:rPr>
            </w:pPr>
            <w:r>
              <w:rPr>
                <w:color w:val="000000"/>
                <w:sz w:val="20"/>
                <w:szCs w:val="20"/>
              </w:rPr>
              <w:t>    2021, respectively)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4,668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9,251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8870536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Income taxes paid</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20" w:beforeAutospacing="0" w:after="0" w:afterAutospacing="0"/>
        <w:jc w:val="center"/>
        <w:rPr>
          <w:sz w:val="20"/>
          <w:szCs w:val="20"/>
        </w:rPr>
      </w:pPr>
      <w:r>
        <w:rPr>
          <w:sz w:val="20"/>
          <w:szCs w:val="20"/>
        </w:rPr>
        <w:t> </w:t>
      </w:r>
    </w:p>
    <w:p w:rsidR="00000000" w:rsidRDefault="008206D2">
      <w:pPr>
        <w:pStyle w:val="a3"/>
        <w:spacing w:before="20" w:beforeAutospacing="0" w:after="0" w:afterAutospacing="0"/>
        <w:jc w:val="center"/>
        <w:rPr>
          <w:sz w:val="20"/>
          <w:szCs w:val="20"/>
        </w:rPr>
      </w:pPr>
      <w:r>
        <w:rPr>
          <w:sz w:val="20"/>
          <w:szCs w:val="20"/>
        </w:rPr>
        <w:t> </w:t>
      </w:r>
    </w:p>
    <w:p w:rsidR="00000000" w:rsidRDefault="008206D2">
      <w:pPr>
        <w:pStyle w:val="a3"/>
        <w:spacing w:before="20" w:beforeAutospacing="0" w:after="0" w:afterAutospacing="0"/>
        <w:jc w:val="center"/>
        <w:rPr>
          <w:sz w:val="20"/>
          <w:szCs w:val="20"/>
        </w:rPr>
      </w:pPr>
      <w:r>
        <w:rPr>
          <w:sz w:val="20"/>
          <w:szCs w:val="20"/>
        </w:rPr>
        <w:t>The accompanying notes are an integral part of these consolidated financial statements.</w:t>
      </w:r>
    </w:p>
    <w:p w:rsidR="00000000" w:rsidRDefault="008206D2">
      <w:pPr>
        <w:pStyle w:val="a3"/>
        <w:spacing w:before="0" w:beforeAutospacing="0" w:after="0" w:afterAutospacing="0"/>
        <w:jc w:val="center"/>
        <w:rPr>
          <w:sz w:val="18"/>
          <w:szCs w:val="18"/>
        </w:rPr>
      </w:pPr>
      <w:r>
        <w:rPr>
          <w:sz w:val="18"/>
          <w:szCs w:val="18"/>
        </w:rPr>
        <w:t> </w:t>
      </w:r>
    </w:p>
    <w:p w:rsidR="00000000" w:rsidRDefault="008206D2">
      <w:pPr>
        <w:pStyle w:val="a3"/>
        <w:spacing w:before="240" w:beforeAutospacing="0" w:after="0" w:afterAutospacing="0"/>
        <w:jc w:val="center"/>
        <w:rPr>
          <w:sz w:val="20"/>
          <w:szCs w:val="20"/>
        </w:rPr>
      </w:pPr>
      <w:r>
        <w:rPr>
          <w:sz w:val="20"/>
          <w:szCs w:val="20"/>
        </w:rPr>
        <w:t>3</w:t>
      </w:r>
    </w:p>
    <w:p w:rsidR="00000000" w:rsidRDefault="008206D2">
      <w:pPr>
        <w:rPr>
          <w:rFonts w:eastAsia="Times New Roman"/>
        </w:rPr>
      </w:pPr>
      <w:r>
        <w:rPr>
          <w:rFonts w:eastAsia="Times New Roman"/>
        </w:rPr>
        <w:pict>
          <v:rect id="_x0000_i1029"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CORECIVIC, INC. AND SUBSIDIARIES</w:t>
      </w:r>
    </w:p>
    <w:p w:rsidR="00000000" w:rsidRDefault="008206D2">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8206D2">
      <w:pPr>
        <w:pStyle w:val="a3"/>
        <w:spacing w:before="0" w:beforeAutospacing="0" w:after="0" w:afterAutospacing="0"/>
        <w:jc w:val="center"/>
        <w:rPr>
          <w:b/>
          <w:bCs/>
          <w:sz w:val="20"/>
          <w:szCs w:val="20"/>
        </w:rPr>
      </w:pPr>
      <w:r>
        <w:rPr>
          <w:b/>
          <w:bCs/>
          <w:sz w:val="20"/>
          <w:szCs w:val="20"/>
        </w:rPr>
        <w:t>FOR THE QUARTERLY PERIOD ENDED MARCH 31, 2022</w:t>
      </w:r>
    </w:p>
    <w:p w:rsidR="00000000" w:rsidRDefault="008206D2">
      <w:pPr>
        <w:pStyle w:val="a3"/>
        <w:spacing w:before="0" w:beforeAutospacing="0" w:after="0" w:afterAutospacing="0"/>
        <w:jc w:val="center"/>
        <w:rPr>
          <w:sz w:val="20"/>
          <w:szCs w:val="20"/>
        </w:rPr>
      </w:pPr>
      <w:r>
        <w:rPr>
          <w:sz w:val="20"/>
          <w:szCs w:val="20"/>
        </w:rPr>
        <w:t>(UNAUDITED AND AMOUNTS IN THOUSANDS)</w:t>
      </w:r>
    </w:p>
    <w:p w:rsidR="00000000" w:rsidRDefault="008206D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437"/>
        <w:gridCol w:w="65"/>
        <w:gridCol w:w="65"/>
        <w:gridCol w:w="665"/>
        <w:gridCol w:w="82"/>
        <w:gridCol w:w="65"/>
        <w:gridCol w:w="115"/>
        <w:gridCol w:w="465"/>
        <w:gridCol w:w="82"/>
        <w:gridCol w:w="65"/>
        <w:gridCol w:w="115"/>
        <w:gridCol w:w="815"/>
        <w:gridCol w:w="82"/>
        <w:gridCol w:w="65"/>
        <w:gridCol w:w="116"/>
        <w:gridCol w:w="818"/>
        <w:gridCol w:w="82"/>
        <w:gridCol w:w="65"/>
        <w:gridCol w:w="116"/>
        <w:gridCol w:w="844"/>
        <w:gridCol w:w="82"/>
      </w:tblGrid>
      <w:tr w:rsidR="00000000">
        <w:trPr>
          <w:divId w:val="1975522447"/>
        </w:trPr>
        <w:tc>
          <w:tcPr>
            <w:tcW w:w="224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pPr>
            <w: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651"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975522447"/>
        </w:trPr>
        <w:tc>
          <w:tcPr>
            <w:tcW w:w="224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6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975522447"/>
        </w:trPr>
        <w:tc>
          <w:tcPr>
            <w:tcW w:w="224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975522447"/>
        </w:trPr>
        <w:tc>
          <w:tcPr>
            <w:tcW w:w="224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38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975522447"/>
        </w:trPr>
        <w:tc>
          <w:tcPr>
            <w:tcW w:w="224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Balance as of December 31, 2021</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120,285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1,869,955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(498,690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1,372,468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75522447"/>
        </w:trPr>
        <w:tc>
          <w:tcPr>
            <w:tcW w:w="224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Net income</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6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75522447"/>
        </w:trPr>
        <w:tc>
          <w:tcPr>
            <w:tcW w:w="224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6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(5,139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(5,144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75522447"/>
        </w:trPr>
        <w:tc>
          <w:tcPr>
            <w:tcW w:w="224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Dividends on RSUs</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6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975522447"/>
        </w:trPr>
        <w:tc>
          <w:tcPr>
            <w:tcW w:w="224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Restricted stock compensation, net of</w:t>
            </w:r>
          </w:p>
          <w:p w:rsidR="00000000" w:rsidRDefault="008206D2">
            <w:pPr>
              <w:pStyle w:val="a3"/>
              <w:spacing w:before="0" w:beforeAutospacing="0" w:after="0" w:afterAutospacing="0"/>
              <w:rPr>
                <w:color w:val="000000"/>
                <w:sz w:val="20"/>
                <w:szCs w:val="20"/>
              </w:rPr>
            </w:pPr>
            <w:r>
              <w:rPr>
                <w:color w:val="000000"/>
                <w:sz w:val="20"/>
                <w:szCs w:val="20"/>
              </w:rPr>
              <w:t>   forfeitures</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6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5,267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5,267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75522447"/>
        </w:trPr>
        <w:tc>
          <w:tcPr>
            <w:tcW w:w="224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975522447"/>
        </w:trPr>
        <w:tc>
          <w:tcPr>
            <w:tcW w:w="224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Balance as of March 31, 2022</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3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121,586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1,216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1,870,065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r>
              <w:rPr>
                <w:color w:val="000000"/>
                <w:sz w:val="20"/>
                <w:szCs w:val="20"/>
              </w:rPr>
              <w:t>479,764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1,391,517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rPr>
          <w:b/>
          <w:bCs/>
          <w:sz w:val="20"/>
          <w:szCs w:val="20"/>
        </w:rPr>
      </w:pPr>
      <w:r>
        <w:rPr>
          <w:b/>
          <w:bCs/>
          <w:sz w:val="20"/>
          <w:szCs w:val="20"/>
        </w:rPr>
        <w:t> </w:t>
      </w:r>
    </w:p>
    <w:p w:rsidR="00000000" w:rsidRDefault="008206D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center"/>
        <w:rPr>
          <w:sz w:val="20"/>
          <w:szCs w:val="20"/>
        </w:rPr>
      </w:pPr>
      <w:r>
        <w:rPr>
          <w:sz w:val="20"/>
          <w:szCs w:val="20"/>
        </w:rPr>
        <w:t>4</w:t>
      </w:r>
    </w:p>
    <w:p w:rsidR="00000000" w:rsidRDefault="008206D2">
      <w:pPr>
        <w:rPr>
          <w:rFonts w:eastAsia="Times New Roman"/>
        </w:rPr>
      </w:pPr>
      <w:r>
        <w:rPr>
          <w:rFonts w:eastAsia="Times New Roman"/>
        </w:rPr>
        <w:pict>
          <v:rect id="_x0000_i1030"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CORECIVIC, INC. AND SUBSIDIARIES</w:t>
      </w:r>
    </w:p>
    <w:p w:rsidR="00000000" w:rsidRDefault="008206D2">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8206D2">
      <w:pPr>
        <w:pStyle w:val="a3"/>
        <w:spacing w:before="0" w:beforeAutospacing="0" w:after="0" w:afterAutospacing="0"/>
        <w:jc w:val="center"/>
        <w:rPr>
          <w:b/>
          <w:bCs/>
          <w:sz w:val="20"/>
          <w:szCs w:val="20"/>
        </w:rPr>
      </w:pPr>
      <w:r>
        <w:rPr>
          <w:b/>
          <w:bCs/>
          <w:sz w:val="20"/>
          <w:szCs w:val="20"/>
        </w:rPr>
        <w:t>FOR THE QUARTERLY PERIOD ENDED MARCH 31, 2021</w:t>
      </w:r>
    </w:p>
    <w:p w:rsidR="00000000" w:rsidRDefault="008206D2">
      <w:pPr>
        <w:pStyle w:val="a3"/>
        <w:spacing w:before="0" w:beforeAutospacing="0" w:after="0" w:afterAutospacing="0"/>
        <w:jc w:val="center"/>
        <w:rPr>
          <w:sz w:val="20"/>
          <w:szCs w:val="20"/>
        </w:rPr>
      </w:pPr>
      <w:r>
        <w:rPr>
          <w:sz w:val="20"/>
          <w:szCs w:val="20"/>
        </w:rPr>
        <w:t>(UNAUDITED AND AMOUNTS IN THOUSANDS)</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9"/>
        <w:gridCol w:w="65"/>
        <w:gridCol w:w="65"/>
        <w:gridCol w:w="665"/>
        <w:gridCol w:w="82"/>
        <w:gridCol w:w="65"/>
        <w:gridCol w:w="115"/>
        <w:gridCol w:w="465"/>
        <w:gridCol w:w="82"/>
        <w:gridCol w:w="65"/>
        <w:gridCol w:w="115"/>
        <w:gridCol w:w="815"/>
        <w:gridCol w:w="82"/>
        <w:gridCol w:w="65"/>
        <w:gridCol w:w="130"/>
        <w:gridCol w:w="792"/>
        <w:gridCol w:w="82"/>
        <w:gridCol w:w="65"/>
        <w:gridCol w:w="133"/>
        <w:gridCol w:w="816"/>
        <w:gridCol w:w="82"/>
        <w:gridCol w:w="65"/>
        <w:gridCol w:w="117"/>
        <w:gridCol w:w="717"/>
        <w:gridCol w:w="65"/>
        <w:gridCol w:w="65"/>
        <w:gridCol w:w="115"/>
        <w:gridCol w:w="815"/>
        <w:gridCol w:w="82"/>
      </w:tblGrid>
      <w:tr w:rsidR="00000000">
        <w:trPr>
          <w:divId w:val="1572620760"/>
        </w:trPr>
        <w:tc>
          <w:tcPr>
            <w:tcW w:w="184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pPr>
            <w:r>
              <w:lastRenderedPageBreak/>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8206D2">
        <w:trPr>
          <w:divId w:val="1572620760"/>
        </w:trPr>
        <w:tc>
          <w:tcPr>
            <w:tcW w:w="184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72620760"/>
        </w:trPr>
        <w:tc>
          <w:tcPr>
            <w:tcW w:w="184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72620760"/>
        </w:trPr>
        <w:tc>
          <w:tcPr>
            <w:tcW w:w="184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8206D2">
        <w:trPr>
          <w:divId w:val="1572620760"/>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Balance as of December 31, 2020</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119,638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1,835,494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(446,519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1,390,171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1,413,442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1572620760"/>
        </w:trPr>
        <w:tc>
          <w:tcPr>
            <w:tcW w:w="184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8206D2">
        <w:trPr>
          <w:divId w:val="1572620760"/>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(1,632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8206D2">
        <w:trPr>
          <w:divId w:val="1572620760"/>
        </w:trPr>
        <w:tc>
          <w:tcPr>
            <w:tcW w:w="184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Dividends on RSUs</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8206D2">
        <w:trPr>
          <w:divId w:val="1572620760"/>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1572620760"/>
        </w:trPr>
        <w:tc>
          <w:tcPr>
            <w:tcW w:w="184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859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1572620760"/>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Balance as of March 31, 2021</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120,277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1,838,066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(572,305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1,266,964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1,290,235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sz w:val="20"/>
          <w:szCs w:val="20"/>
        </w:rPr>
      </w:pPr>
      <w:r>
        <w:rPr>
          <w:sz w:val="20"/>
          <w:szCs w:val="20"/>
        </w:rPr>
        <w:t>The accompanying notes are an integral part of these consolidat</w:t>
      </w:r>
      <w:r>
        <w:rPr>
          <w:sz w:val="20"/>
          <w:szCs w:val="20"/>
        </w:rPr>
        <w:t>ed financial statements.</w:t>
      </w:r>
    </w:p>
    <w:p w:rsidR="00000000" w:rsidRDefault="008206D2">
      <w:pPr>
        <w:pStyle w:val="a3"/>
        <w:spacing w:before="0" w:beforeAutospacing="0" w:after="0" w:afterAutospacing="0"/>
        <w:jc w:val="center"/>
        <w:rPr>
          <w:sz w:val="18"/>
          <w:szCs w:val="18"/>
        </w:rPr>
      </w:pPr>
      <w:r>
        <w:rPr>
          <w:sz w:val="18"/>
          <w:szCs w:val="18"/>
        </w:rPr>
        <w:t> </w:t>
      </w:r>
    </w:p>
    <w:p w:rsidR="00000000" w:rsidRDefault="008206D2">
      <w:pPr>
        <w:pStyle w:val="a3"/>
        <w:spacing w:before="240" w:beforeAutospacing="0" w:after="0" w:afterAutospacing="0"/>
        <w:jc w:val="center"/>
        <w:rPr>
          <w:sz w:val="20"/>
          <w:szCs w:val="20"/>
        </w:rPr>
      </w:pPr>
      <w:r>
        <w:rPr>
          <w:sz w:val="20"/>
          <w:szCs w:val="20"/>
        </w:rPr>
        <w:t>5</w:t>
      </w:r>
    </w:p>
    <w:p w:rsidR="00000000" w:rsidRDefault="008206D2">
      <w:pPr>
        <w:rPr>
          <w:rFonts w:eastAsia="Times New Roman"/>
        </w:rPr>
      </w:pPr>
      <w:r>
        <w:rPr>
          <w:rFonts w:eastAsia="Times New Roman"/>
        </w:rPr>
        <w:pict>
          <v:rect id="_x0000_i1031"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CORECIVIC, INC. AND SUBSIDIARIES</w:t>
      </w:r>
    </w:p>
    <w:p w:rsidR="00000000" w:rsidRDefault="008206D2">
      <w:pPr>
        <w:pStyle w:val="a3"/>
        <w:spacing w:before="0" w:beforeAutospacing="0" w:after="0" w:afterAutospacing="0"/>
        <w:jc w:val="center"/>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8206D2">
      <w:pPr>
        <w:pStyle w:val="a3"/>
        <w:spacing w:before="0" w:beforeAutospacing="0" w:after="0" w:afterAutospacing="0"/>
        <w:jc w:val="center"/>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MARCH 31, 2022</w:t>
      </w:r>
    </w:p>
    <w:p w:rsidR="00000000" w:rsidRDefault="008206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1780543"/>
        </w:trPr>
        <w:tc>
          <w:tcPr>
            <w:tcW w:w="227" w:type="pct"/>
            <w:noWrap/>
            <w:hideMark/>
          </w:tcPr>
          <w:p w:rsidR="00000000" w:rsidRDefault="008206D2">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ORGANIZATION AND OPERATIONS</w:t>
            </w:r>
          </w:p>
        </w:tc>
      </w:tr>
    </w:tbl>
    <w:p w:rsidR="00000000" w:rsidRDefault="008206D2">
      <w:pPr>
        <w:pStyle w:val="a3"/>
        <w:spacing w:before="120" w:beforeAutospacing="0" w:after="0" w:afterAutospacing="0"/>
        <w:ind w:left="476"/>
        <w:jc w:val="both"/>
        <w:rPr>
          <w:sz w:val="20"/>
          <w:szCs w:val="20"/>
        </w:rPr>
      </w:pPr>
      <w:r>
        <w:rPr>
          <w:sz w:val="20"/>
          <w:szCs w:val="20"/>
        </w:rPr>
        <w:t>CoreCivic, Inc. (together with its subsidiaries, the "Company" or "CoreCivi</w:t>
      </w:r>
      <w:r>
        <w:rPr>
          <w:sz w:val="20"/>
          <w:szCs w:val="20"/>
        </w:rPr>
        <w:t>c") is the nation's largest owner of partnership correctional, detention, and residential reentry facilities and one of the largest prison operators in the United States.  The Company also believes it is the largest private owner of real estate used by gov</w:t>
      </w:r>
      <w:r>
        <w:rPr>
          <w:sz w:val="20"/>
          <w:szCs w:val="20"/>
        </w:rPr>
        <w:t>ernment agencies in the U.S. Through three segments, CoreCivic Safety, CoreCivic Community, and CoreCivic Properties, the Company provides a broad range of solutions to government partners that serve the public good through corrections and detention manage</w:t>
      </w:r>
      <w:r>
        <w:rPr>
          <w:sz w:val="20"/>
          <w:szCs w:val="20"/>
        </w:rPr>
        <w:t>ment, a network of residential reentry centers to help address America's recidivism crisis, and government real estate solutions.  As of March 31, 2022, through its CoreCivic Safety segment, the Company operated 45 correctional and detention facilities, 41</w:t>
      </w:r>
      <w:r>
        <w:rPr>
          <w:sz w:val="20"/>
          <w:szCs w:val="20"/>
        </w:rPr>
        <w:t xml:space="preserve"> of which the Company owned, with a total design capacity of approximately 68,000 beds.  Through its CoreCivic Community segment, the Company owned and operated 24 residential reentry centers with a total design capacity of approximately 5,000 beds.  In ad</w:t>
      </w:r>
      <w:r>
        <w:rPr>
          <w:sz w:val="20"/>
          <w:szCs w:val="20"/>
        </w:rPr>
        <w:t>dition, through its CoreCivic Properties segment, the Company owned 10 properties for lease to third parties and used by government agencies, totaling</w:t>
      </w:r>
      <w:r>
        <w:rPr>
          <w:sz w:val="20"/>
          <w:szCs w:val="20"/>
        </w:rPr>
        <w:t xml:space="preserve"> </w:t>
      </w:r>
      <w:r>
        <w:rPr>
          <w:sz w:val="20"/>
          <w:szCs w:val="20"/>
        </w:rPr>
        <w:t>1.8 millio</w:t>
      </w:r>
      <w:r>
        <w:rPr>
          <w:sz w:val="20"/>
          <w:szCs w:val="20"/>
        </w:rPr>
        <w:t>n</w:t>
      </w:r>
      <w:r>
        <w:rPr>
          <w:sz w:val="20"/>
          <w:szCs w:val="20"/>
        </w:rPr>
        <w:t xml:space="preserve"> square feet. </w:t>
      </w:r>
    </w:p>
    <w:p w:rsidR="00000000" w:rsidRDefault="008206D2">
      <w:pPr>
        <w:pStyle w:val="a3"/>
        <w:spacing w:before="240" w:beforeAutospacing="0" w:after="0" w:afterAutospacing="0"/>
        <w:ind w:left="476"/>
        <w:jc w:val="both"/>
        <w:rPr>
          <w:sz w:val="20"/>
          <w:szCs w:val="20"/>
        </w:rPr>
      </w:pPr>
      <w:r>
        <w:rPr>
          <w:sz w:val="20"/>
          <w:szCs w:val="20"/>
        </w:rPr>
        <w:t>In addition to providing fundamental residential services, CoreCivic's correcti</w:t>
      </w:r>
      <w:r>
        <w:rPr>
          <w:sz w:val="20"/>
          <w:szCs w:val="20"/>
        </w:rPr>
        <w:t>onal, detention, and reentry facilities offer a variety of rehabilitation and educational programs, including basic education, faith-based services, life skills and employment training, and substance abuse treatment.  These services are intended to help re</w:t>
      </w:r>
      <w:r>
        <w:rPr>
          <w:sz w:val="20"/>
          <w:szCs w:val="20"/>
        </w:rPr>
        <w:t xml:space="preserve">duce recidivism and to prepare offenders for their successful reentry into society upon their release.  CoreCivic also provides or makes available to offenders certain health care (including medical, dental, and mental health services), food services, and </w:t>
      </w:r>
      <w:r>
        <w:rPr>
          <w:sz w:val="20"/>
          <w:szCs w:val="20"/>
        </w:rPr>
        <w:t>work and recreational programs.</w:t>
      </w:r>
    </w:p>
    <w:p w:rsidR="00000000" w:rsidRDefault="008206D2">
      <w:pPr>
        <w:pStyle w:val="a3"/>
        <w:spacing w:before="240" w:beforeAutospacing="0" w:after="0" w:afterAutospacing="0"/>
        <w:ind w:left="476"/>
        <w:jc w:val="both"/>
        <w:rPr>
          <w:sz w:val="20"/>
          <w:szCs w:val="20"/>
        </w:rPr>
      </w:pPr>
      <w:r>
        <w:rPr>
          <w:sz w:val="20"/>
          <w:szCs w:val="20"/>
        </w:rPr>
        <w:t>CoreCivic operated as a real estate investment trust ("REIT") from January 1, 2013 through December 31, 2020.  </w:t>
      </w:r>
      <w:r>
        <w:rPr>
          <w:sz w:val="20"/>
          <w:szCs w:val="20"/>
        </w:rPr>
        <w:t>As a REIT, the Company provided services and conducted other business activities through taxable REIT subsidiaries ("TRSs"). A TRS is a subsidiary of a REIT that is subject to applicable corporate income tax rates and certain qualification requirements. Th</w:t>
      </w:r>
      <w:r>
        <w:rPr>
          <w:sz w:val="20"/>
          <w:szCs w:val="20"/>
        </w:rPr>
        <w:t>e Company's use of TRSs permitted CoreCivic to engage in certain business activities in which the REIT could not engage directly, so long as those activities were conducted in entities that elected to be treated as TRSs under the Internal Revenue Code of 1</w:t>
      </w:r>
      <w:r>
        <w:rPr>
          <w:sz w:val="20"/>
          <w:szCs w:val="20"/>
        </w:rPr>
        <w:t>986, as amended, and enabled CoreCivic to, among other things, provide correctional services at facilities it owns and at facilities owned by its government partners.  </w:t>
      </w:r>
    </w:p>
    <w:p w:rsidR="00000000" w:rsidRDefault="008206D2">
      <w:pPr>
        <w:pStyle w:val="a3"/>
        <w:spacing w:before="240" w:beforeAutospacing="0" w:after="0" w:afterAutospacing="0"/>
        <w:ind w:left="476"/>
        <w:jc w:val="both"/>
        <w:rPr>
          <w:sz w:val="20"/>
          <w:szCs w:val="20"/>
        </w:rPr>
      </w:pPr>
      <w:r>
        <w:rPr>
          <w:sz w:val="20"/>
          <w:szCs w:val="20"/>
        </w:rPr>
        <w:t>On August 5, 2020, the Company announced that the Board of Directors ("BOD") unanimousl</w:t>
      </w:r>
      <w:r>
        <w:rPr>
          <w:sz w:val="20"/>
          <w:szCs w:val="20"/>
        </w:rPr>
        <w:t>y approved a plan to revoke the Company's REIT election and become a taxable C Corporation, effective January 1, 2021.  As a result, the Company no longer operates under REIT rules, including the requirement to distribute at least 90% of its taxable income</w:t>
      </w:r>
      <w:r>
        <w:rPr>
          <w:sz w:val="20"/>
          <w:szCs w:val="20"/>
        </w:rPr>
        <w:t xml:space="preserve"> to its stockholders, which provides the Company with greater flexibility to use its free cash flow.  Effective January 1, 2021, the Company is subject to federal and state income taxes on its taxable income at applicable tax rates, and is no longer entitl</w:t>
      </w:r>
      <w:r>
        <w:rPr>
          <w:sz w:val="20"/>
          <w:szCs w:val="20"/>
        </w:rPr>
        <w:t>ed to a tax deduction for dividends paid.  The Company continued to operate as a REIT for the 2020 tax year, and existing REIT requirements and limitations, including those established by the Company’s organizational documents, remained in place until Janu</w:t>
      </w:r>
      <w:r>
        <w:rPr>
          <w:sz w:val="20"/>
          <w:szCs w:val="20"/>
        </w:rPr>
        <w:t>ary 1, 2021. The BOD also voted unanimously to discontinue the Company's quarterly dividend and prioritize allocating the Company’s free cash flow to reduce debt.</w:t>
      </w:r>
    </w:p>
    <w:p w:rsidR="00000000" w:rsidRDefault="008206D2">
      <w:pPr>
        <w:pStyle w:val="a3"/>
        <w:spacing w:before="240" w:beforeAutospacing="0" w:after="0" w:afterAutospacing="0"/>
        <w:ind w:left="476"/>
        <w:jc w:val="both"/>
        <w:rPr>
          <w:sz w:val="20"/>
          <w:szCs w:val="20"/>
        </w:rPr>
      </w:pPr>
      <w:r>
        <w:rPr>
          <w:sz w:val="20"/>
          <w:szCs w:val="20"/>
        </w:rPr>
        <w:t>  </w:t>
      </w:r>
    </w:p>
    <w:p w:rsidR="00000000" w:rsidRDefault="008206D2">
      <w:pPr>
        <w:pStyle w:val="a3"/>
        <w:spacing w:before="0" w:beforeAutospacing="0" w:after="0" w:afterAutospacing="0"/>
        <w:rPr>
          <w:sz w:val="23"/>
          <w:szCs w:val="23"/>
        </w:rPr>
      </w:pPr>
    </w:p>
    <w:p w:rsidR="00000000" w:rsidRDefault="008206D2">
      <w:pPr>
        <w:pStyle w:val="a3"/>
        <w:spacing w:before="240" w:beforeAutospacing="0" w:after="0" w:afterAutospacing="0"/>
        <w:jc w:val="center"/>
        <w:rPr>
          <w:sz w:val="20"/>
          <w:szCs w:val="20"/>
        </w:rPr>
      </w:pPr>
      <w:r>
        <w:rPr>
          <w:sz w:val="20"/>
          <w:szCs w:val="20"/>
        </w:rPr>
        <w:t>6</w:t>
      </w:r>
    </w:p>
    <w:p w:rsidR="00000000" w:rsidRDefault="008206D2">
      <w:pPr>
        <w:rPr>
          <w:rFonts w:eastAsia="Times New Roman"/>
        </w:rPr>
      </w:pPr>
      <w:r>
        <w:rPr>
          <w:rFonts w:eastAsia="Times New Roman"/>
        </w:rPr>
        <w:pict>
          <v:rect id="_x0000_i1032"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2270939"/>
        </w:trPr>
        <w:tc>
          <w:tcPr>
            <w:tcW w:w="227" w:type="pct"/>
            <w:noWrap/>
            <w:hideMark/>
          </w:tcPr>
          <w:p w:rsidR="00000000" w:rsidRDefault="008206D2">
            <w:pPr>
              <w:pStyle w:val="a3"/>
              <w:spacing w:before="360" w:beforeAutospacing="0" w:after="0" w:afterAutospacing="0"/>
              <w:rPr>
                <w:b/>
                <w:bCs/>
                <w:sz w:val="20"/>
                <w:szCs w:val="20"/>
              </w:rPr>
            </w:pPr>
            <w:r>
              <w:rPr>
                <w:b/>
                <w:bCs/>
                <w:sz w:val="20"/>
                <w:szCs w:val="20"/>
              </w:rPr>
              <w:t>2.</w:t>
            </w:r>
          </w:p>
        </w:tc>
        <w:tc>
          <w:tcPr>
            <w:tcW w:w="0" w:type="auto"/>
            <w:hideMark/>
          </w:tcPr>
          <w:p w:rsidR="00000000" w:rsidRDefault="008206D2">
            <w:pPr>
              <w:pStyle w:val="a3"/>
              <w:spacing w:before="360" w:beforeAutospacing="0" w:after="0" w:afterAutospacing="0"/>
              <w:rPr>
                <w:b/>
                <w:bCs/>
                <w:sz w:val="20"/>
                <w:szCs w:val="20"/>
              </w:rPr>
            </w:pPr>
            <w:r>
              <w:rPr>
                <w:b/>
                <w:bCs/>
                <w:sz w:val="20"/>
                <w:szCs w:val="20"/>
              </w:rPr>
              <w:t>BASIS OF PRESENTATION AND SUMMARY OF SIGNIF</w:t>
            </w:r>
            <w:r>
              <w:rPr>
                <w:b/>
                <w:bCs/>
                <w:sz w:val="20"/>
                <w:szCs w:val="20"/>
              </w:rPr>
              <w:t>ICANT ACCOUNTING POLICIES</w:t>
            </w:r>
          </w:p>
        </w:tc>
      </w:tr>
    </w:tbl>
    <w:p w:rsidR="00000000" w:rsidRDefault="008206D2">
      <w:pPr>
        <w:pStyle w:val="a3"/>
        <w:spacing w:before="0" w:beforeAutospacing="0" w:after="0" w:afterAutospacing="0"/>
        <w:jc w:val="both"/>
        <w:rPr>
          <w:b/>
          <w:bCs/>
          <w:sz w:val="12"/>
          <w:szCs w:val="12"/>
        </w:rPr>
      </w:pPr>
      <w:r>
        <w:rPr>
          <w:b/>
          <w:bCs/>
          <w:sz w:val="12"/>
          <w:szCs w:val="12"/>
        </w:rPr>
        <w:t> </w:t>
      </w:r>
    </w:p>
    <w:p w:rsidR="00000000" w:rsidRDefault="008206D2">
      <w:pPr>
        <w:pStyle w:val="a3"/>
        <w:spacing w:before="0" w:beforeAutospacing="0" w:after="0" w:afterAutospacing="0"/>
        <w:ind w:left="476"/>
        <w:jc w:val="both"/>
        <w:rPr>
          <w:sz w:val="20"/>
          <w:szCs w:val="20"/>
        </w:rPr>
      </w:pPr>
      <w:r>
        <w:rPr>
          <w:sz w:val="20"/>
          <w:szCs w:val="20"/>
        </w:rPr>
        <w:t>The accompanying unaudited interim consolidated financial statements have been prepared by the Company and, in the opinion of management, reflect all normal recurring adjustments necessary for a fair presentation of results for the unaudited interim period</w:t>
      </w:r>
      <w:r>
        <w:rPr>
          <w:sz w:val="20"/>
          <w:szCs w:val="20"/>
        </w:rPr>
        <w:t>s presented.  Certain information and footnote disclosures normally included in financial statements prepared in accordance with U.S. generally accepted accounting principles have been condensed or omitted.  The results of operations for the interim period</w:t>
      </w:r>
      <w:r>
        <w:rPr>
          <w:sz w:val="20"/>
          <w:szCs w:val="20"/>
        </w:rPr>
        <w:t xml:space="preserve"> are not necessarily indicative of the results to be obtained for the full fiscal year.  Reference is made to the audited financial statements of CoreCivic included in its Annual Report on Form 10-K for the year ended December 31, 2021 filed with the Secur</w:t>
      </w:r>
      <w:r>
        <w:rPr>
          <w:sz w:val="20"/>
          <w:szCs w:val="20"/>
        </w:rPr>
        <w:t xml:space="preserve">ities and Exchange Commission (the "SEC") on February 18, 2022 (the "2021 Form 10-K") with respect to certain significant accounting and financial reporting policies as well as other pertinent information of the Company. </w:t>
      </w:r>
    </w:p>
    <w:p w:rsidR="00000000" w:rsidRDefault="008206D2">
      <w:pPr>
        <w:pStyle w:val="a3"/>
        <w:spacing w:before="360" w:beforeAutospacing="0" w:after="0" w:afterAutospacing="0"/>
        <w:ind w:left="476"/>
        <w:jc w:val="both"/>
        <w:rPr>
          <w:b/>
          <w:bCs/>
          <w:sz w:val="20"/>
          <w:szCs w:val="20"/>
        </w:rPr>
      </w:pPr>
      <w:r>
        <w:rPr>
          <w:b/>
          <w:bCs/>
          <w:sz w:val="20"/>
          <w:szCs w:val="20"/>
        </w:rPr>
        <w:t>Risks and Uncertainties</w:t>
      </w:r>
    </w:p>
    <w:p w:rsidR="00000000" w:rsidRDefault="008206D2">
      <w:pPr>
        <w:pStyle w:val="a3"/>
        <w:spacing w:before="240" w:beforeAutospacing="0" w:after="0" w:afterAutospacing="0"/>
        <w:ind w:left="476"/>
        <w:jc w:val="both"/>
        <w:rPr>
          <w:sz w:val="20"/>
          <w:szCs w:val="20"/>
        </w:rPr>
      </w:pPr>
      <w:r>
        <w:rPr>
          <w:sz w:val="20"/>
          <w:szCs w:val="20"/>
        </w:rPr>
        <w:t xml:space="preserve">On January 26, 2021, President Biden issued the Executive Order on Reforming Our Incarceration System to Eliminate the Use of Privately Operated Criminal Detention Facilities ("Private Prison EO"). The Private Prison EO directs the Attorney General to not </w:t>
      </w:r>
      <w:r>
        <w:rPr>
          <w:sz w:val="20"/>
          <w:szCs w:val="20"/>
        </w:rPr>
        <w:t>renew United States Department of Justice ("DOJ") contracts with privately operated criminal detention facilities.  Two agencies of the DOJ, the United States Marshals Service ("USMS") and the Federal Bureau of Prisons ("BOP"), utilize CoreCivic's services</w:t>
      </w:r>
      <w:r>
        <w:rPr>
          <w:sz w:val="20"/>
          <w:szCs w:val="20"/>
        </w:rPr>
        <w:t>. U.S. Immigration and Customs Enforcement ("ICE") facilities are not covered by the Private Prison EO, as ICE is an agency of the Department of Homeland Security ("DHS"), not the DOJ, although it is possible that the federal government could choose to tak</w:t>
      </w:r>
      <w:r>
        <w:rPr>
          <w:sz w:val="20"/>
          <w:szCs w:val="20"/>
        </w:rPr>
        <w:t xml:space="preserve">e similar action on ICE facilities in the future. </w:t>
      </w:r>
      <w:r>
        <w:rPr>
          <w:color w:val="000000"/>
          <w:spacing w:val="3"/>
          <w:sz w:val="20"/>
          <w:szCs w:val="20"/>
        </w:rPr>
        <w:t>We currently have six detention facilities that have separate contracts where the USMS is the primary customer within the facility that all expire at various times over the next several years, with the exce</w:t>
      </w:r>
      <w:r>
        <w:rPr>
          <w:color w:val="000000"/>
          <w:spacing w:val="3"/>
          <w:sz w:val="20"/>
          <w:szCs w:val="20"/>
        </w:rPr>
        <w:t>ption of two contracts that have indefinite terms.  </w:t>
      </w:r>
      <w:r>
        <w:rPr>
          <w:sz w:val="20"/>
          <w:szCs w:val="20"/>
        </w:rPr>
        <w:t>As a result of the Private Prison EO, the Company expects that one contract with the BOP may not be renewed when it expires in November 2022. During 2021, the Company had four direct contracts with the US</w:t>
      </w:r>
      <w:r>
        <w:rPr>
          <w:sz w:val="20"/>
          <w:szCs w:val="20"/>
        </w:rPr>
        <w:t xml:space="preserve">MS that expired and were not renewed.  At one of these facilities, </w:t>
      </w:r>
      <w:r>
        <w:rPr>
          <w:color w:val="000000"/>
          <w:spacing w:val="3"/>
          <w:sz w:val="20"/>
          <w:szCs w:val="20"/>
        </w:rPr>
        <w:t xml:space="preserve">the Company entered into a new contract with a local government agency to utilize the beds previously contracted by the USMS.  The local government agency is responsible for County inmates </w:t>
      </w:r>
      <w:r>
        <w:rPr>
          <w:color w:val="000000"/>
          <w:spacing w:val="3"/>
          <w:sz w:val="20"/>
          <w:szCs w:val="20"/>
        </w:rPr>
        <w:t>and federal detainees, including USMS detainees, and the County is using the facility to address its population needs</w:t>
      </w:r>
      <w:r>
        <w:rPr>
          <w:sz w:val="20"/>
          <w:szCs w:val="20"/>
        </w:rPr>
        <w:t>.  At another of these facilities, the Company expanded a state contract to utilize the beds previously contracted by the USMS.  The remain</w:t>
      </w:r>
      <w:r>
        <w:rPr>
          <w:sz w:val="20"/>
          <w:szCs w:val="20"/>
        </w:rPr>
        <w:t>ing two facilities currently remain idle.  The Company expects that there may be further developments as each contract with the USMS reaches its expiration date, and will work with the USMS to enable it to continue to fulfill its mission. However, the Comp</w:t>
      </w:r>
      <w:r>
        <w:rPr>
          <w:sz w:val="20"/>
          <w:szCs w:val="20"/>
        </w:rPr>
        <w:t xml:space="preserve">any can provide no assurance that contracts with the USMS will be renewed or replaced upon their expiration.  The USMS and the BOP prison contracts accounted for 23% and 2%, respectively, of CoreCivic's total revenue for the year ended December 31, 2021. </w:t>
      </w:r>
    </w:p>
    <w:p w:rsidR="00000000" w:rsidRDefault="008206D2">
      <w:pPr>
        <w:pStyle w:val="a3"/>
        <w:spacing w:before="360" w:beforeAutospacing="0" w:after="0" w:afterAutospacing="0"/>
        <w:ind w:left="476"/>
        <w:jc w:val="both"/>
        <w:rPr>
          <w:b/>
          <w:bCs/>
          <w:sz w:val="20"/>
          <w:szCs w:val="20"/>
        </w:rPr>
      </w:pPr>
      <w:r>
        <w:rPr>
          <w:b/>
          <w:bCs/>
          <w:sz w:val="20"/>
          <w:szCs w:val="20"/>
        </w:rPr>
        <w:t xml:space="preserve">Recent Accounting Pronouncements </w:t>
      </w:r>
    </w:p>
    <w:p w:rsidR="00000000" w:rsidRDefault="008206D2">
      <w:pPr>
        <w:pStyle w:val="a3"/>
        <w:spacing w:before="120" w:beforeAutospacing="0" w:after="0" w:afterAutospacing="0"/>
        <w:ind w:left="476"/>
        <w:jc w:val="both"/>
        <w:rPr>
          <w:color w:val="000000"/>
          <w:sz w:val="20"/>
          <w:szCs w:val="20"/>
        </w:rPr>
      </w:pPr>
      <w:r>
        <w:rPr>
          <w:color w:val="000000"/>
          <w:sz w:val="20"/>
          <w:szCs w:val="20"/>
        </w:rPr>
        <w:t>Recent accounting pronouncements issued by the FASB (including its Emerging Issues Task Force), the American Institute of Certified Public Accountants and the SEC applicable to financial statements beginning January 1, 202</w:t>
      </w:r>
      <w:r>
        <w:rPr>
          <w:color w:val="000000"/>
          <w:sz w:val="20"/>
          <w:szCs w:val="20"/>
        </w:rPr>
        <w:t>2 or later did not, or are not expected to, have a material effect on the Company's results of operations or financial position.</w:t>
      </w:r>
    </w:p>
    <w:p w:rsidR="00000000" w:rsidRDefault="008206D2">
      <w:pPr>
        <w:pStyle w:val="a3"/>
        <w:spacing w:before="360" w:beforeAutospacing="0" w:after="0" w:afterAutospacing="0"/>
        <w:ind w:left="476"/>
        <w:jc w:val="both"/>
        <w:rPr>
          <w:b/>
          <w:bCs/>
          <w:sz w:val="20"/>
          <w:szCs w:val="20"/>
        </w:rPr>
      </w:pPr>
      <w:r>
        <w:rPr>
          <w:b/>
          <w:bCs/>
          <w:sz w:val="20"/>
          <w:szCs w:val="20"/>
        </w:rPr>
        <w:t>Fair Value of Financial Instruments</w:t>
      </w:r>
    </w:p>
    <w:p w:rsidR="00000000" w:rsidRDefault="008206D2">
      <w:pPr>
        <w:pStyle w:val="a3"/>
        <w:spacing w:before="60" w:beforeAutospacing="0" w:after="0" w:afterAutospacing="0"/>
        <w:ind w:left="476"/>
        <w:jc w:val="both"/>
        <w:rPr>
          <w:sz w:val="20"/>
          <w:szCs w:val="20"/>
        </w:rPr>
      </w:pPr>
      <w:r>
        <w:rPr>
          <w:sz w:val="20"/>
          <w:szCs w:val="20"/>
        </w:rPr>
        <w:t>To meet the reporting requirements of Accounting Standards Codification ("ASC") 825, "Finan</w:t>
      </w:r>
      <w:r>
        <w:rPr>
          <w:sz w:val="20"/>
          <w:szCs w:val="20"/>
        </w:rPr>
        <w:t>cial Instruments", regarding fair value of financial instruments, CoreCivic calculates the estimated fair value of financial instruments using market interest rates, quoted market prices of similar instruments, or discounted cash flow techniques with obser</w:t>
      </w:r>
      <w:r>
        <w:rPr>
          <w:sz w:val="20"/>
          <w:szCs w:val="20"/>
        </w:rPr>
        <w:t>vable Level 1 inputs for publicly traded debt and Level 2 inputs for all other financial instruments, as defined in ASC 820, "Fair Value Measurement".  At March 31, 2022 and December 31, 2021, there were no material differences between the carrying amounts</w:t>
      </w:r>
      <w:r>
        <w:rPr>
          <w:sz w:val="20"/>
          <w:szCs w:val="20"/>
        </w:rPr>
        <w:t xml:space="preserve"> and the estimated fair values of CoreCivic's financial instruments, other than as follows (in thousands):</w:t>
      </w:r>
    </w:p>
    <w:p w:rsidR="00000000" w:rsidRDefault="008206D2">
      <w:pPr>
        <w:pStyle w:val="a3"/>
        <w:spacing w:before="0" w:beforeAutospacing="0" w:after="0" w:afterAutospacing="0"/>
        <w:rPr>
          <w:sz w:val="20"/>
          <w:szCs w:val="20"/>
        </w:rPr>
      </w:pPr>
      <w:r>
        <w:rPr>
          <w:sz w:val="20"/>
          <w:szCs w:val="20"/>
        </w:rPr>
        <w:t> </w:t>
      </w:r>
    </w:p>
    <w:tbl>
      <w:tblPr>
        <w:tblW w:w="4273" w:type="pct"/>
        <w:tblInd w:w="4" w:type="dxa"/>
        <w:tblCellMar>
          <w:left w:w="0" w:type="dxa"/>
          <w:right w:w="0" w:type="dxa"/>
        </w:tblCellMar>
        <w:tblLook w:val="04A0" w:firstRow="1" w:lastRow="0" w:firstColumn="1" w:lastColumn="0" w:noHBand="0" w:noVBand="1"/>
      </w:tblPr>
      <w:tblGrid>
        <w:gridCol w:w="2522"/>
        <w:gridCol w:w="65"/>
        <w:gridCol w:w="115"/>
        <w:gridCol w:w="882"/>
        <w:gridCol w:w="82"/>
        <w:gridCol w:w="65"/>
        <w:gridCol w:w="115"/>
        <w:gridCol w:w="882"/>
        <w:gridCol w:w="82"/>
        <w:gridCol w:w="65"/>
        <w:gridCol w:w="115"/>
        <w:gridCol w:w="882"/>
        <w:gridCol w:w="82"/>
        <w:gridCol w:w="65"/>
        <w:gridCol w:w="115"/>
        <w:gridCol w:w="882"/>
        <w:gridCol w:w="82"/>
      </w:tblGrid>
      <w:tr w:rsidR="00000000">
        <w:trPr>
          <w:divId w:val="1575896285"/>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March 31, 2022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75896285"/>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8206D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8206D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75896285"/>
        </w:trPr>
        <w:tc>
          <w:tcPr>
            <w:tcW w:w="2523"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2,977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3,386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3,063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3,491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75896285"/>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Debt</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(1,544,029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(1,539,662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(1,551,932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(1,560,346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0" w:beforeAutospacing="0" w:after="0" w:afterAutospacing="0"/>
        <w:ind w:left="476"/>
        <w:jc w:val="both"/>
      </w:pPr>
    </w:p>
    <w:p w:rsidR="00000000" w:rsidRDefault="008206D2">
      <w:pPr>
        <w:pStyle w:val="a3"/>
        <w:spacing w:before="0" w:beforeAutospacing="0" w:after="0" w:afterAutospacing="0"/>
        <w:rPr>
          <w:sz w:val="23"/>
          <w:szCs w:val="23"/>
        </w:rPr>
      </w:pPr>
    </w:p>
    <w:p w:rsidR="00000000" w:rsidRDefault="008206D2">
      <w:pPr>
        <w:pStyle w:val="a3"/>
        <w:spacing w:before="240" w:beforeAutospacing="0" w:after="0" w:afterAutospacing="0"/>
        <w:jc w:val="center"/>
        <w:rPr>
          <w:sz w:val="20"/>
          <w:szCs w:val="20"/>
        </w:rPr>
      </w:pPr>
      <w:r>
        <w:rPr>
          <w:sz w:val="20"/>
          <w:szCs w:val="20"/>
        </w:rPr>
        <w:t>7</w:t>
      </w:r>
    </w:p>
    <w:p w:rsidR="00000000" w:rsidRDefault="008206D2">
      <w:pPr>
        <w:rPr>
          <w:rFonts w:eastAsia="Times New Roman"/>
        </w:rPr>
      </w:pPr>
      <w:r>
        <w:rPr>
          <w:rFonts w:eastAsia="Times New Roman"/>
        </w:rPr>
        <w:pict>
          <v:rect id="_x0000_i1033"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ind w:left="47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83982472"/>
        </w:trPr>
        <w:tc>
          <w:tcPr>
            <w:tcW w:w="227" w:type="pct"/>
            <w:noWrap/>
            <w:hideMark/>
          </w:tcPr>
          <w:p w:rsidR="00000000" w:rsidRDefault="008206D2">
            <w:pPr>
              <w:pStyle w:val="a3"/>
              <w:spacing w:before="0" w:beforeAutospacing="0" w:after="0" w:afterAutospacing="0"/>
              <w:jc w:val="both"/>
              <w:rPr>
                <w:b/>
                <w:bCs/>
                <w:sz w:val="20"/>
                <w:szCs w:val="20"/>
              </w:rPr>
            </w:pPr>
            <w:r>
              <w:rPr>
                <w:b/>
                <w:bCs/>
                <w:sz w:val="20"/>
                <w:szCs w:val="20"/>
              </w:rPr>
              <w:t>3.</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GOODWILL</w:t>
            </w:r>
          </w:p>
        </w:tc>
      </w:tr>
    </w:tbl>
    <w:p w:rsidR="00000000" w:rsidRDefault="008206D2">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$4.8 million as of both March 31, 2022 and Dec</w:t>
      </w:r>
      <w:r>
        <w:rPr>
          <w:sz w:val="20"/>
          <w:szCs w:val="20"/>
        </w:rPr>
        <w:t>ember 31, 2021, all of which was related to the Company's CoreCivic Safety segment.</w:t>
      </w:r>
    </w:p>
    <w:p w:rsidR="00000000" w:rsidRDefault="008206D2">
      <w:pPr>
        <w:pStyle w:val="a3"/>
        <w:spacing w:before="240" w:beforeAutospacing="0" w:after="0" w:afterAutospacing="0"/>
        <w:ind w:left="476"/>
        <w:jc w:val="both"/>
        <w:rPr>
          <w:sz w:val="20"/>
          <w:szCs w:val="20"/>
        </w:rPr>
      </w:pPr>
      <w:r>
        <w:rPr>
          <w:sz w:val="20"/>
          <w:szCs w:val="20"/>
        </w:rPr>
        <w:t>CoreCivic performs its impairment tests during the fourth quarter in connection with its annual budgeting process, and whenever circumstances indicate the carrying value of</w:t>
      </w:r>
      <w:r>
        <w:rPr>
          <w:sz w:val="20"/>
          <w:szCs w:val="20"/>
        </w:rPr>
        <w:t xml:space="preserve"> goodwill may not be recoverable.  Under the provisions of ASU 2017-04, CoreCivic performs a qualitative assessment to determine whether the existence of events or circumstances leads to a determination that it is more likely than not that the fair value o</w:t>
      </w:r>
      <w:r>
        <w:rPr>
          <w:sz w:val="20"/>
          <w:szCs w:val="20"/>
        </w:rPr>
        <w:t xml:space="preserve">f a reporting unit is less than its carrying amount.  If, after assessing the totality of events or circumstances, the Company determines it is more likely than not that the fair value of a reporting unit is less than its carrying amount, then the Company </w:t>
      </w:r>
      <w:r>
        <w:rPr>
          <w:sz w:val="20"/>
          <w:szCs w:val="20"/>
        </w:rPr>
        <w:t>performs a quantitative impairment test.  If a quantitative test is required, CoreCivic performs an assessment to identify the existence of impairment and to measure the excess of a reporting unit's carrying amount over its fair value by using a combinatio</w:t>
      </w:r>
      <w:r>
        <w:rPr>
          <w:sz w:val="20"/>
          <w:szCs w:val="20"/>
        </w:rPr>
        <w:t>n of various common valuation techniques, including market multiples and discounted cash flows under valuation methodologies that include an income approach and a market approach. The income valuation approach includes certain significant assumptions impac</w:t>
      </w:r>
      <w:r>
        <w:rPr>
          <w:sz w:val="20"/>
          <w:szCs w:val="20"/>
        </w:rPr>
        <w:t>ting projected future cash flows, such as projected revenue, projected operating costs, and the weighted average cost of capital, which are affected by expectations about future market or economic conditions.  These impairment tests are required to be perf</w:t>
      </w:r>
      <w:r>
        <w:rPr>
          <w:sz w:val="20"/>
          <w:szCs w:val="20"/>
        </w:rPr>
        <w:t>ormed at least annually.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08200272"/>
        </w:trPr>
        <w:tc>
          <w:tcPr>
            <w:tcW w:w="227" w:type="pct"/>
            <w:noWrap/>
            <w:hideMark/>
          </w:tcPr>
          <w:p w:rsidR="00000000" w:rsidRDefault="008206D2">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REAL ESTATE TRANSACTIONS</w:t>
            </w:r>
          </w:p>
        </w:tc>
      </w:tr>
    </w:tbl>
    <w:p w:rsidR="00000000" w:rsidRDefault="008206D2">
      <w:pPr>
        <w:pStyle w:val="a3"/>
        <w:spacing w:before="120" w:beforeAutospacing="0" w:after="0" w:afterAutospacing="0"/>
        <w:ind w:left="476"/>
        <w:jc w:val="both"/>
        <w:rPr>
          <w:b/>
          <w:bCs/>
          <w:sz w:val="20"/>
          <w:szCs w:val="20"/>
        </w:rPr>
      </w:pPr>
      <w:r>
        <w:rPr>
          <w:b/>
          <w:bCs/>
          <w:sz w:val="20"/>
          <w:szCs w:val="20"/>
        </w:rPr>
        <w:t>Assets Held For Sale and Dispositions</w:t>
      </w:r>
    </w:p>
    <w:p w:rsidR="00000000" w:rsidRDefault="008206D2">
      <w:pPr>
        <w:pStyle w:val="a3"/>
        <w:spacing w:before="120" w:beforeAutospacing="0" w:after="0" w:afterAutospacing="0"/>
        <w:ind w:left="476"/>
        <w:jc w:val="both"/>
        <w:rPr>
          <w:sz w:val="20"/>
          <w:szCs w:val="20"/>
        </w:rPr>
      </w:pPr>
      <w:r>
        <w:rPr>
          <w:sz w:val="20"/>
          <w:szCs w:val="20"/>
        </w:rPr>
        <w:t>As of December 31, 2021, CoreCivic had two facilities in its CoreCivic Community segment held for sale.  The aggregate carrying value of the property and equipmen</w:t>
      </w:r>
      <w:r>
        <w:rPr>
          <w:sz w:val="20"/>
          <w:szCs w:val="20"/>
        </w:rPr>
        <w:t>t of these two facilities, amounting to $7.0 million, was reflected as assets held for sale on the Company's consolidated balance sheet as of December 31, 2021.  The Company closed on the sale of these two facilities, one of which was idled, in the first q</w:t>
      </w:r>
      <w:r>
        <w:rPr>
          <w:sz w:val="20"/>
          <w:szCs w:val="20"/>
        </w:rPr>
        <w:t>uarter of 2022.  The aggregate net sales proceeds of the two facilities was $9.3 million, resulting in a net gain on sale of $2.3 million.</w:t>
      </w:r>
    </w:p>
    <w:p w:rsidR="00000000" w:rsidRDefault="008206D2">
      <w:pPr>
        <w:pStyle w:val="a3"/>
        <w:spacing w:before="240" w:beforeAutospacing="0" w:after="0" w:afterAutospacing="0"/>
        <w:ind w:left="476"/>
        <w:jc w:val="both"/>
        <w:rPr>
          <w:sz w:val="20"/>
          <w:szCs w:val="20"/>
        </w:rPr>
      </w:pPr>
      <w:r>
        <w:rPr>
          <w:sz w:val="20"/>
          <w:szCs w:val="20"/>
        </w:rPr>
        <w:t>During 2021, CoreCivic also completed the sale of five government leased properties in the Company's Properties segme</w:t>
      </w:r>
      <w:r>
        <w:rPr>
          <w:sz w:val="20"/>
          <w:szCs w:val="20"/>
        </w:rPr>
        <w:t>nt.  The sales of the five properties generated aggregate net proceeds of $125.0 million, after the repayment of debt and other transaction-related costs, resulting in an aggregate net gain on sale of $38.7 million.  </w:t>
      </w:r>
    </w:p>
    <w:p w:rsidR="00000000" w:rsidRDefault="008206D2">
      <w:pPr>
        <w:pStyle w:val="a3"/>
        <w:spacing w:before="240" w:beforeAutospacing="0" w:after="0" w:afterAutospacing="0"/>
        <w:ind w:left="476"/>
        <w:jc w:val="both"/>
        <w:rPr>
          <w:sz w:val="20"/>
          <w:szCs w:val="20"/>
        </w:rPr>
      </w:pPr>
      <w:r>
        <w:rPr>
          <w:sz w:val="20"/>
          <w:szCs w:val="20"/>
        </w:rPr>
        <w:t>CoreCivic determined that its joint ve</w:t>
      </w:r>
      <w:r>
        <w:rPr>
          <w:sz w:val="20"/>
          <w:szCs w:val="20"/>
        </w:rPr>
        <w:t>nture investment in Government Real Estate Solutions, LLC ("GRES"), an unrestricted subsidiary previously controlled by the Company, represented a variable interest entity ("VIE") in accordance with ASC 810, "Consolidation".  CoreCivic had 100% voting cont</w:t>
      </w:r>
      <w:r>
        <w:rPr>
          <w:sz w:val="20"/>
          <w:szCs w:val="20"/>
        </w:rPr>
        <w:t xml:space="preserve">rol in GRES. Accordingly, CoreCivic concluded that it was the primary beneficiary of GRES and consolidated the VIE.  The primary beneficiary is the entity that has (i) the power to direct the activities that most significantly impact the entity's economic </w:t>
      </w:r>
      <w:r>
        <w:rPr>
          <w:sz w:val="20"/>
          <w:szCs w:val="20"/>
        </w:rPr>
        <w:t>performance and (ii) the obligation to absorb losses of the VIE or the right to receive benefits from the VIE that could be significant to the VIE.  During June 2021, CoreCivic provided notice to the partners of GRES of its intent to distribute the remaini</w:t>
      </w:r>
      <w:r>
        <w:rPr>
          <w:sz w:val="20"/>
          <w:szCs w:val="20"/>
        </w:rPr>
        <w:t>ng assets and terminate the partnership.  The Company terminated the partnership in September 2021 and cancelled the applicable Operating Partnership Units for no consideration.  During the third quarter of 2021, the Company reported an increase to stockho</w:t>
      </w:r>
      <w:r>
        <w:rPr>
          <w:sz w:val="20"/>
          <w:szCs w:val="20"/>
        </w:rPr>
        <w:t>lders' equity of $17.4 million resulting from the termination of the partnership.</w:t>
      </w:r>
    </w:p>
    <w:p w:rsidR="00000000" w:rsidRDefault="008206D2">
      <w:pPr>
        <w:pStyle w:val="a3"/>
        <w:spacing w:before="240" w:beforeAutospacing="0" w:after="0" w:afterAutospacing="0"/>
        <w:jc w:val="center"/>
        <w:rPr>
          <w:sz w:val="20"/>
          <w:szCs w:val="20"/>
        </w:rPr>
      </w:pPr>
      <w:r>
        <w:rPr>
          <w:sz w:val="20"/>
          <w:szCs w:val="20"/>
        </w:rPr>
        <w:t>8</w:t>
      </w:r>
    </w:p>
    <w:p w:rsidR="00000000" w:rsidRDefault="008206D2">
      <w:pPr>
        <w:rPr>
          <w:rFonts w:eastAsia="Times New Roman"/>
        </w:rPr>
      </w:pPr>
      <w:r>
        <w:rPr>
          <w:rFonts w:eastAsia="Times New Roman"/>
        </w:rPr>
        <w:pict>
          <v:rect id="_x0000_i1034"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360" w:beforeAutospacing="0" w:after="0" w:afterAutospacing="0"/>
        <w:ind w:left="476"/>
        <w:jc w:val="both"/>
        <w:rPr>
          <w:b/>
          <w:bCs/>
          <w:sz w:val="20"/>
          <w:szCs w:val="20"/>
        </w:rPr>
      </w:pPr>
      <w:r>
        <w:rPr>
          <w:b/>
          <w:bCs/>
          <w:sz w:val="20"/>
          <w:szCs w:val="20"/>
        </w:rPr>
        <w:t>Idle Facilities</w:t>
      </w:r>
    </w:p>
    <w:p w:rsidR="00000000" w:rsidRDefault="008206D2">
      <w:pPr>
        <w:pStyle w:val="a3"/>
        <w:spacing w:before="120" w:beforeAutospacing="0" w:after="0" w:afterAutospacing="0"/>
        <w:ind w:left="476"/>
        <w:jc w:val="both"/>
        <w:rPr>
          <w:sz w:val="20"/>
          <w:szCs w:val="20"/>
        </w:rPr>
      </w:pPr>
      <w:r>
        <w:rPr>
          <w:sz w:val="20"/>
          <w:szCs w:val="20"/>
        </w:rPr>
        <w:t xml:space="preserve">As of March 31, 2022, CoreCivic had seven </w:t>
      </w:r>
      <w:r>
        <w:rPr>
          <w:sz w:val="20"/>
          <w:szCs w:val="20"/>
        </w:rPr>
        <w:t>idled CoreCivic Safety correctional facilities that are currently available and being actively marketed as solutions to meet the needs of potential customers. The following table summarizes each of the idled facilities and their respective carrying values,</w:t>
      </w:r>
      <w:r>
        <w:rPr>
          <w:sz w:val="20"/>
          <w:szCs w:val="20"/>
        </w:rPr>
        <w:t xml:space="preserve"> </w:t>
      </w:r>
      <w:r>
        <w:rPr>
          <w:color w:val="000000"/>
          <w:sz w:val="20"/>
          <w:szCs w:val="20"/>
          <w:shd w:val="clear" w:color="auto" w:fill="FFFFFF"/>
        </w:rPr>
        <w:t>excluding equipment and other assets that could generally be transferred and used at other facilities CoreCivic owns without significant cost (dollars in thousands)</w:t>
      </w:r>
      <w:r>
        <w:rPr>
          <w:sz w:val="20"/>
          <w:szCs w:val="20"/>
        </w:rPr>
        <w:t>:</w:t>
      </w:r>
    </w:p>
    <w:p w:rsidR="00000000" w:rsidRDefault="008206D2">
      <w:pPr>
        <w:pStyle w:val="a3"/>
        <w:spacing w:before="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020"/>
        <w:gridCol w:w="65"/>
        <w:gridCol w:w="66"/>
        <w:gridCol w:w="575"/>
        <w:gridCol w:w="65"/>
        <w:gridCol w:w="65"/>
        <w:gridCol w:w="115"/>
        <w:gridCol w:w="665"/>
        <w:gridCol w:w="65"/>
        <w:gridCol w:w="65"/>
        <w:gridCol w:w="116"/>
        <w:gridCol w:w="867"/>
        <w:gridCol w:w="65"/>
      </w:tblGrid>
      <w:tr w:rsidR="00000000">
        <w:trPr>
          <w:divId w:val="1390418561"/>
        </w:trPr>
        <w:tc>
          <w:tcPr>
            <w:tcW w:w="288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pPr>
            <w: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295" w:type="pct"/>
            <w:gridSpan w:val="6"/>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390418561"/>
        </w:trPr>
        <w:tc>
          <w:tcPr>
            <w:tcW w:w="288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390418561"/>
        </w:trPr>
        <w:tc>
          <w:tcPr>
            <w:tcW w:w="288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Facility</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390418561"/>
        </w:trPr>
        <w:tc>
          <w:tcPr>
            <w:tcW w:w="2880" w:type="pct"/>
            <w:tcBorders>
              <w:top w:val="single" w:sz="6" w:space="0" w:color="000000"/>
            </w:tcBorders>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Prairie Correctional Facility</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14,195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14,416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Huerfano County Correctional Center</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15,070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15,230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Diamondback Correctional Facility</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36,490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36,917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Marion Adjustment Center</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10,639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10,743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Kit Carson Correctional Center</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50,506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50,950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West Tennessee Detention Facility</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20,364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20,622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Leavenworth Detention Center</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1,033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53,615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54,162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390418561"/>
        </w:trPr>
        <w:tc>
          <w:tcPr>
            <w:tcW w:w="288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8,459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200,879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203,040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ind w:left="476"/>
        <w:jc w:val="both"/>
        <w:rPr>
          <w:sz w:val="20"/>
          <w:szCs w:val="20"/>
        </w:rPr>
      </w:pPr>
      <w:r>
        <w:rPr>
          <w:sz w:val="20"/>
          <w:szCs w:val="20"/>
        </w:rPr>
        <w:t>As of March 31, 2022,</w:t>
      </w:r>
      <w:r>
        <w:t xml:space="preserve"> </w:t>
      </w:r>
      <w:r>
        <w:rPr>
          <w:sz w:val="20"/>
          <w:szCs w:val="20"/>
        </w:rPr>
        <w:t xml:space="preserve">CoreCivic also had one </w:t>
      </w:r>
      <w:r>
        <w:rPr>
          <w:sz w:val="20"/>
          <w:szCs w:val="20"/>
        </w:rPr>
        <w:t>idled non-core facility in its Safety segment containing 240 beds with a net book value of $3.1 million, and three idled facilities in its Community segment, containing an aggregate of 650 beds with an aggregate net book value of $8.7 million.  </w:t>
      </w:r>
    </w:p>
    <w:p w:rsidR="00000000" w:rsidRDefault="008206D2">
      <w:pPr>
        <w:pStyle w:val="a3"/>
        <w:spacing w:before="240" w:beforeAutospacing="0" w:after="0" w:afterAutospacing="0"/>
        <w:ind w:left="476"/>
        <w:jc w:val="both"/>
        <w:rPr>
          <w:sz w:val="20"/>
          <w:szCs w:val="20"/>
        </w:rPr>
      </w:pPr>
      <w:r>
        <w:rPr>
          <w:sz w:val="20"/>
          <w:szCs w:val="20"/>
        </w:rPr>
        <w:t xml:space="preserve">CoreCivic </w:t>
      </w:r>
      <w:r>
        <w:rPr>
          <w:sz w:val="20"/>
          <w:szCs w:val="20"/>
        </w:rPr>
        <w:t xml:space="preserve">incurred operating expenses at these idled facilities of approximately $2.0 million during the period they were idle for both the three months ended March 31, 2022 and 2021.  The 2022 amount excludes $3.5 million of operating expenses incurred at the West </w:t>
      </w:r>
      <w:r>
        <w:rPr>
          <w:sz w:val="20"/>
          <w:szCs w:val="20"/>
        </w:rPr>
        <w:t>Tennessee Detention Facility and the Leavenworth Detention Center during the first quarter of 2022.  The West Tennessee facility was idled upon the expiration of a USMS contract on September 30, 2021, and the Leavenworth facility was idled upon the expirat</w:t>
      </w:r>
      <w:r>
        <w:rPr>
          <w:sz w:val="20"/>
          <w:szCs w:val="20"/>
        </w:rPr>
        <w:t>ion of a USMS contract on December 31, 2021.  Although recently idled, CoreCivic has retained a certain staffing level at both facilities in order to quickly respond should the Company enter into new contracts with government agencies in the near-term.  Th</w:t>
      </w:r>
      <w:r>
        <w:rPr>
          <w:sz w:val="20"/>
          <w:szCs w:val="20"/>
        </w:rPr>
        <w:t xml:space="preserve">e Company also continued to incur expenses related to transportation services provided by staff at the Leavenworth facility during the first quarter of 2022. </w:t>
      </w:r>
    </w:p>
    <w:p w:rsidR="00000000" w:rsidRDefault="008206D2">
      <w:pPr>
        <w:pStyle w:val="a3"/>
        <w:spacing w:before="240" w:beforeAutospacing="0" w:after="0" w:afterAutospacing="0"/>
        <w:ind w:left="476"/>
        <w:jc w:val="both"/>
        <w:rPr>
          <w:color w:val="000000"/>
          <w:sz w:val="20"/>
          <w:szCs w:val="20"/>
        </w:rPr>
      </w:pPr>
      <w:r>
        <w:rPr>
          <w:color w:val="000000"/>
          <w:sz w:val="20"/>
          <w:szCs w:val="20"/>
        </w:rPr>
        <w:t>The Company estimated undiscounted cash flows for each facility with an impairment indicator, including the idle facilities described above. The Company’s estimated undiscounted cash flows reflect the Company’s most recent expectations around potential uti</w:t>
      </w:r>
      <w:r>
        <w:rPr>
          <w:color w:val="000000"/>
          <w:sz w:val="20"/>
          <w:szCs w:val="20"/>
        </w:rPr>
        <w:t>lization of the facilities and projected cash flows based on historical cash flows, cash flows of comparable facilities, and recent contract negotiations for utilization. The Company concluded that the estimated undiscounted cash flows exceeded carrying va</w:t>
      </w:r>
      <w:r>
        <w:rPr>
          <w:color w:val="000000"/>
          <w:sz w:val="20"/>
          <w:szCs w:val="20"/>
        </w:rPr>
        <w:t>lues for each facility as of March 31, 2022 and December 31, 2021.</w:t>
      </w:r>
      <w:r>
        <w:rPr>
          <w:color w:val="000000"/>
          <w:sz w:val="20"/>
          <w:szCs w:val="20"/>
          <w:shd w:val="clear" w:color="auto" w:fill="FFFFFF"/>
        </w:rPr>
        <w:t xml:space="preserve"> </w:t>
      </w:r>
    </w:p>
    <w:p w:rsidR="00000000" w:rsidRDefault="008206D2">
      <w:pPr>
        <w:pStyle w:val="a3"/>
        <w:spacing w:before="240" w:beforeAutospacing="0" w:after="0" w:afterAutospacing="0"/>
        <w:ind w:left="476"/>
        <w:jc w:val="both"/>
        <w:rPr>
          <w:sz w:val="20"/>
          <w:szCs w:val="20"/>
        </w:rPr>
      </w:pPr>
      <w:r>
        <w:rPr>
          <w:sz w:val="20"/>
          <w:szCs w:val="20"/>
        </w:rPr>
        <w:t xml:space="preserve">CoreCivic </w:t>
      </w:r>
      <w:r>
        <w:rPr>
          <w:color w:val="000000"/>
          <w:sz w:val="20"/>
          <w:szCs w:val="20"/>
          <w:shd w:val="clear" w:color="auto" w:fill="FFFFFF"/>
        </w:rPr>
        <w:t>evaluates on a quarterly basis market developments for the potential utilization of each of its idle properties in order to identify events that may cause CoreCivic to reconsider</w:t>
      </w:r>
      <w:r>
        <w:rPr>
          <w:color w:val="000000"/>
          <w:sz w:val="20"/>
          <w:szCs w:val="20"/>
          <w:shd w:val="clear" w:color="auto" w:fill="FFFFFF"/>
        </w:rPr>
        <w:t xml:space="preserve"> its assumptions with respect to the recoverability of book values as compared to undiscounted cash flows.  CoreCivic considers the cancellation of a contract in its Safety or Community segment or an expiration and non-renewal of a lease agreement in its C</w:t>
      </w:r>
      <w:r>
        <w:rPr>
          <w:color w:val="000000"/>
          <w:sz w:val="20"/>
          <w:szCs w:val="20"/>
          <w:shd w:val="clear" w:color="auto" w:fill="FFFFFF"/>
        </w:rPr>
        <w:t>oreCivic Properties segment as indicators of impairment, and tested each of the idled properties for impairment when it was notified by the respective</w:t>
      </w:r>
      <w:r>
        <w:rPr>
          <w:sz w:val="20"/>
          <w:szCs w:val="20"/>
        </w:rPr>
        <w:t xml:space="preserve"> customers or tenants that they would no longer be utilizing such property.</w:t>
      </w:r>
      <w:r>
        <w:rPr>
          <w:color w:val="000000"/>
          <w:sz w:val="20"/>
          <w:szCs w:val="20"/>
        </w:rPr>
        <w:t xml:space="preserve"> </w:t>
      </w:r>
    </w:p>
    <w:p w:rsidR="00000000" w:rsidRDefault="008206D2">
      <w:pPr>
        <w:pStyle w:val="a3"/>
        <w:spacing w:before="240" w:beforeAutospacing="0" w:after="0" w:afterAutospacing="0"/>
        <w:ind w:left="476"/>
        <w:jc w:val="both"/>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 </w:t>
      </w:r>
    </w:p>
    <w:p w:rsidR="00000000" w:rsidRDefault="008206D2">
      <w:pPr>
        <w:pStyle w:val="a3"/>
        <w:spacing w:before="0" w:beforeAutospacing="0" w:after="0" w:afterAutospacing="0"/>
        <w:rPr>
          <w:color w:val="000000"/>
          <w:sz w:val="20"/>
          <w:szCs w:val="20"/>
        </w:rPr>
      </w:pPr>
    </w:p>
    <w:p w:rsidR="00000000" w:rsidRDefault="008206D2">
      <w:pPr>
        <w:pStyle w:val="a3"/>
        <w:spacing w:before="240" w:beforeAutospacing="0" w:after="0" w:afterAutospacing="0"/>
        <w:jc w:val="center"/>
        <w:rPr>
          <w:sz w:val="20"/>
          <w:szCs w:val="20"/>
        </w:rPr>
      </w:pPr>
      <w:r>
        <w:rPr>
          <w:sz w:val="20"/>
          <w:szCs w:val="20"/>
        </w:rPr>
        <w:t>9</w:t>
      </w:r>
    </w:p>
    <w:p w:rsidR="00000000" w:rsidRDefault="008206D2">
      <w:pPr>
        <w:rPr>
          <w:rFonts w:eastAsia="Times New Roman"/>
        </w:rPr>
      </w:pPr>
      <w:r>
        <w:rPr>
          <w:rFonts w:eastAsia="Times New Roman"/>
        </w:rPr>
        <w:pict>
          <v:rect id="_x0000_i1035"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02383358"/>
        </w:trPr>
        <w:tc>
          <w:tcPr>
            <w:tcW w:w="227" w:type="pct"/>
            <w:noWrap/>
            <w:hideMark/>
          </w:tcPr>
          <w:p w:rsidR="00000000" w:rsidRDefault="008206D2">
            <w:pPr>
              <w:pStyle w:val="a3"/>
              <w:spacing w:before="360" w:beforeAutospacing="0" w:after="0" w:afterAutospacing="0"/>
              <w:jc w:val="both"/>
              <w:rPr>
                <w:b/>
                <w:bCs/>
                <w:sz w:val="20"/>
                <w:szCs w:val="20"/>
              </w:rPr>
            </w:pPr>
            <w:r>
              <w:rPr>
                <w:b/>
                <w:bCs/>
                <w:sz w:val="20"/>
                <w:szCs w:val="20"/>
              </w:rPr>
              <w:t>5.</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DEBT</w:t>
            </w:r>
          </w:p>
        </w:tc>
      </w:tr>
    </w:tbl>
    <w:p w:rsidR="00000000" w:rsidRDefault="008206D2">
      <w:pPr>
        <w:pStyle w:val="a3"/>
        <w:spacing w:before="120" w:beforeAutospacing="0" w:after="0" w:afterAutospacing="0"/>
        <w:ind w:left="476"/>
        <w:jc w:val="both"/>
        <w:rPr>
          <w:sz w:val="20"/>
          <w:szCs w:val="20"/>
        </w:rPr>
      </w:pPr>
      <w:r>
        <w:rPr>
          <w:sz w:val="20"/>
          <w:szCs w:val="20"/>
        </w:rPr>
        <w:t xml:space="preserve">Debt outstanding as of March 31, 2022 and December 31, 2021 consisted of the following (in thousands): </w:t>
      </w:r>
    </w:p>
    <w:p w:rsidR="00000000" w:rsidRDefault="008206D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sz w:val="16"/>
                <w:szCs w:val="16"/>
              </w:rPr>
            </w:pPr>
            <w:r>
              <w:rPr>
                <w:sz w:val="16"/>
                <w:szCs w:val="16"/>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center"/>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2094353348"/>
        </w:trPr>
        <w:tc>
          <w:tcPr>
            <w:tcW w:w="340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rsidR="00000000" w:rsidRDefault="008206D2">
            <w:pPr>
              <w:pStyle w:val="a3"/>
              <w:spacing w:before="0" w:beforeAutospacing="0" w:after="0" w:afterAutospacing="0"/>
              <w:rPr>
                <w:color w:val="000000"/>
                <w:sz w:val="20"/>
                <w:szCs w:val="20"/>
              </w:rPr>
            </w:pPr>
            <w:r>
              <w:rPr>
                <w:color w:val="000000"/>
                <w:sz w:val="20"/>
                <w:szCs w:val="20"/>
              </w:rPr>
              <w:t>    periodically at variable interest rates.</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rsidR="00000000" w:rsidRDefault="008206D2">
            <w:pPr>
              <w:pStyle w:val="a3"/>
              <w:spacing w:before="0" w:beforeAutospacing="0" w:after="0" w:afterAutospacing="0"/>
              <w:rPr>
                <w:color w:val="000000"/>
                <w:sz w:val="20"/>
                <w:szCs w:val="20"/>
              </w:rPr>
            </w:pPr>
            <w:r>
              <w:rPr>
                <w:color w:val="000000"/>
                <w:sz w:val="20"/>
                <w:szCs w:val="20"/>
              </w:rPr>
              <w:t>    </w:t>
            </w:r>
            <w:r>
              <w:rPr>
                <w:color w:val="000000"/>
                <w:sz w:val="20"/>
                <w:szCs w:val="20"/>
              </w:rPr>
              <w:t>variable interest rates. The rate at March 31, 2022 and</w:t>
            </w:r>
          </w:p>
          <w:p w:rsidR="00000000" w:rsidRDefault="008206D2">
            <w:pPr>
              <w:pStyle w:val="a3"/>
              <w:spacing w:before="0" w:beforeAutospacing="0" w:after="0" w:afterAutospacing="0"/>
              <w:rPr>
                <w:color w:val="000000"/>
                <w:sz w:val="20"/>
                <w:szCs w:val="20"/>
              </w:rPr>
            </w:pPr>
            <w:r>
              <w:rPr>
                <w:color w:val="000000"/>
                <w:sz w:val="20"/>
                <w:szCs w:val="20"/>
              </w:rPr>
              <w:t>    December 31, 2021 was 1.7% and 1.4%, respectively.</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167,500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170,000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rsidR="00000000" w:rsidRDefault="008206D2">
            <w:pPr>
              <w:pStyle w:val="a3"/>
              <w:spacing w:before="0" w:beforeAutospacing="0" w:after="0" w:afterAutospacing="0"/>
              <w:rPr>
                <w:color w:val="000000"/>
                <w:sz w:val="20"/>
                <w:szCs w:val="20"/>
              </w:rPr>
            </w:pPr>
            <w:r>
              <w:rPr>
                <w:color w:val="000000"/>
                <w:sz w:val="20"/>
                <w:szCs w:val="20"/>
              </w:rPr>
              <w:t>    </w:t>
            </w:r>
            <w:r>
              <w:rPr>
                <w:color w:val="000000"/>
                <w:sz w:val="20"/>
                <w:szCs w:val="20"/>
              </w:rPr>
              <w:t>at variable interest rates. The rate at both March 31, 2022 and</w:t>
            </w:r>
          </w:p>
          <w:p w:rsidR="00000000" w:rsidRDefault="008206D2">
            <w:pPr>
              <w:pStyle w:val="a3"/>
              <w:spacing w:before="0" w:beforeAutospacing="0" w:after="0" w:afterAutospacing="0"/>
              <w:rPr>
                <w:color w:val="000000"/>
                <w:sz w:val="20"/>
                <w:szCs w:val="20"/>
              </w:rPr>
            </w:pPr>
            <w:r>
              <w:rPr>
                <w:color w:val="000000"/>
                <w:sz w:val="20"/>
                <w:szCs w:val="20"/>
              </w:rPr>
              <w:t>    December 31, 2021 was 5.5%.  Unamortized debt issuance</w:t>
            </w:r>
          </w:p>
          <w:p w:rsidR="00000000" w:rsidRDefault="008206D2">
            <w:pPr>
              <w:pStyle w:val="a3"/>
              <w:spacing w:before="0" w:beforeAutospacing="0" w:after="0" w:afterAutospacing="0"/>
              <w:rPr>
                <w:color w:val="000000"/>
                <w:sz w:val="20"/>
                <w:szCs w:val="20"/>
              </w:rPr>
            </w:pPr>
            <w:r>
              <w:rPr>
                <w:color w:val="000000"/>
                <w:sz w:val="20"/>
                <w:szCs w:val="20"/>
              </w:rPr>
              <w:t>    costs amounted to $1.8 million and $2.0 million</w:t>
            </w:r>
          </w:p>
          <w:p w:rsidR="00000000" w:rsidRDefault="008206D2">
            <w:pPr>
              <w:pStyle w:val="a3"/>
              <w:spacing w:before="0" w:beforeAutospacing="0" w:after="0" w:afterAutospacing="0"/>
              <w:rPr>
                <w:color w:val="000000"/>
                <w:sz w:val="20"/>
                <w:szCs w:val="20"/>
              </w:rPr>
            </w:pPr>
            <w:r>
              <w:rPr>
                <w:color w:val="000000"/>
                <w:sz w:val="20"/>
                <w:szCs w:val="20"/>
              </w:rPr>
              <w:t>    at March 31, 2022 and December 31, 2021, respectively.</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124,063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128,</w:t>
            </w:r>
            <w:r>
              <w:rPr>
                <w:color w:val="000000"/>
                <w:sz w:val="20"/>
                <w:szCs w:val="20"/>
              </w:rPr>
              <w:t>750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w:t>
            </w:r>
          </w:p>
          <w:p w:rsidR="00000000" w:rsidRDefault="008206D2">
            <w:pPr>
              <w:pStyle w:val="a3"/>
              <w:spacing w:before="0" w:beforeAutospacing="0" w:after="0" w:afterAutospacing="0"/>
              <w:rPr>
                <w:color w:val="000000"/>
                <w:sz w:val="20"/>
                <w:szCs w:val="20"/>
              </w:rPr>
            </w:pPr>
            <w:r>
              <w:rPr>
                <w:color w:val="000000"/>
                <w:sz w:val="20"/>
                <w:szCs w:val="20"/>
              </w:rPr>
              <w:t>    issuance costs amounted to $0.3 million and $0.4 million at</w:t>
            </w:r>
          </w:p>
          <w:p w:rsidR="00000000" w:rsidRDefault="008206D2">
            <w:pPr>
              <w:pStyle w:val="a3"/>
              <w:spacing w:before="0" w:beforeAutospacing="0" w:after="0" w:afterAutospacing="0"/>
              <w:rPr>
                <w:color w:val="000000"/>
                <w:sz w:val="20"/>
                <w:szCs w:val="20"/>
              </w:rPr>
            </w:pPr>
            <w:r>
              <w:rPr>
                <w:color w:val="000000"/>
                <w:sz w:val="20"/>
                <w:szCs w:val="20"/>
              </w:rPr>
              <w:t>    March 31, 2022 and December 31, 2021, respectively.</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173,650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173,650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4.75</w:t>
            </w:r>
            <w:r>
              <w:rPr>
                <w:color w:val="000000"/>
                <w:sz w:val="20"/>
                <w:szCs w:val="20"/>
              </w:rPr>
              <w:t>% Senior Notes maturing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w:t>
            </w:r>
          </w:p>
          <w:p w:rsidR="00000000" w:rsidRDefault="008206D2">
            <w:pPr>
              <w:pStyle w:val="a3"/>
              <w:spacing w:before="0" w:beforeAutospacing="0" w:after="0" w:afterAutospacing="0"/>
              <w:rPr>
                <w:color w:val="000000"/>
                <w:sz w:val="20"/>
                <w:szCs w:val="20"/>
              </w:rPr>
            </w:pPr>
            <w:r>
              <w:rPr>
                <w:color w:val="000000"/>
                <w:sz w:val="20"/>
                <w:szCs w:val="20"/>
              </w:rPr>
              <w:t>    issuance costs amounted to $2.2 million and $2.3 million at</w:t>
            </w:r>
          </w:p>
          <w:p w:rsidR="00000000" w:rsidRDefault="008206D2">
            <w:pPr>
              <w:pStyle w:val="a3"/>
              <w:spacing w:before="0" w:beforeAutospacing="0" w:after="0" w:afterAutospacing="0"/>
              <w:rPr>
                <w:color w:val="000000"/>
                <w:sz w:val="20"/>
                <w:szCs w:val="20"/>
              </w:rPr>
            </w:pPr>
            <w:r>
              <w:rPr>
                <w:color w:val="000000"/>
                <w:sz w:val="20"/>
                <w:szCs w:val="20"/>
              </w:rPr>
              <w:t>    March 31, 2022 and December 31, 2021, respectively.</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8.25% Senior Notes maturing</w:t>
            </w:r>
            <w:r>
              <w:rPr>
                <w:color w:val="000000"/>
                <w:sz w:val="20"/>
                <w:szCs w:val="20"/>
              </w:rPr>
              <w:t xml:space="preserve"> </w:t>
            </w:r>
            <w:r>
              <w:rPr>
                <w:color w:val="000000"/>
                <w:sz w:val="20"/>
                <w:szCs w:val="20"/>
              </w:rPr>
              <w:t>April 202</w:t>
            </w:r>
            <w:r>
              <w:rPr>
                <w:color w:val="000000"/>
                <w:sz w:val="20"/>
                <w:szCs w:val="20"/>
              </w:rPr>
              <w:t>6</w:t>
            </w:r>
            <w:r>
              <w:rPr>
                <w:color w:val="000000"/>
                <w:sz w:val="20"/>
                <w:szCs w:val="20"/>
              </w:rPr>
              <w:t>.  Unamortize</w:t>
            </w:r>
            <w:r>
              <w:rPr>
                <w:color w:val="000000"/>
                <w:sz w:val="20"/>
                <w:szCs w:val="20"/>
              </w:rPr>
              <w:t>d debt</w:t>
            </w:r>
          </w:p>
          <w:p w:rsidR="00000000" w:rsidRDefault="008206D2">
            <w:pPr>
              <w:pStyle w:val="a3"/>
              <w:spacing w:before="0" w:beforeAutospacing="0" w:after="0" w:afterAutospacing="0"/>
              <w:rPr>
                <w:color w:val="000000"/>
                <w:sz w:val="20"/>
                <w:szCs w:val="20"/>
              </w:rPr>
            </w:pPr>
            <w:r>
              <w:rPr>
                <w:color w:val="000000"/>
                <w:sz w:val="20"/>
                <w:szCs w:val="20"/>
              </w:rPr>
              <w:t>    issuance costs amounted to $12.2 million and $12.9 million at</w:t>
            </w:r>
          </w:p>
          <w:p w:rsidR="00000000" w:rsidRDefault="008206D2">
            <w:pPr>
              <w:pStyle w:val="a3"/>
              <w:spacing w:before="0" w:beforeAutospacing="0" w:after="0" w:afterAutospacing="0"/>
              <w:rPr>
                <w:color w:val="000000"/>
                <w:sz w:val="20"/>
                <w:szCs w:val="20"/>
              </w:rPr>
            </w:pPr>
            <w:r>
              <w:rPr>
                <w:color w:val="000000"/>
                <w:sz w:val="20"/>
                <w:szCs w:val="20"/>
              </w:rPr>
              <w:t>    March 31, 2022 and December 31, 2021, respectively.</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675,000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675,000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4.43</w:t>
            </w:r>
            <w:r>
              <w:rPr>
                <w:color w:val="000000"/>
                <w:sz w:val="20"/>
                <w:szCs w:val="20"/>
              </w:rPr>
              <w:t>% Lansing Correctional Facility Non-Recourse Mortgage Note</w:t>
            </w:r>
          </w:p>
          <w:p w:rsidR="00000000" w:rsidRDefault="008206D2">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w:t>
            </w:r>
          </w:p>
          <w:p w:rsidR="00000000" w:rsidRDefault="008206D2">
            <w:pPr>
              <w:pStyle w:val="a3"/>
              <w:spacing w:before="0" w:beforeAutospacing="0" w:after="0" w:afterAutospacing="0"/>
              <w:rPr>
                <w:color w:val="000000"/>
                <w:sz w:val="20"/>
                <w:szCs w:val="20"/>
              </w:rPr>
            </w:pPr>
            <w:r>
              <w:rPr>
                <w:color w:val="000000"/>
                <w:sz w:val="20"/>
                <w:szCs w:val="20"/>
              </w:rPr>
              <w:t>    amounted to $2.9 million and $3.0 million at March 31, 2022 and</w:t>
            </w:r>
          </w:p>
          <w:p w:rsidR="00000000" w:rsidRDefault="008206D2">
            <w:pPr>
              <w:pStyle w:val="a3"/>
              <w:spacing w:before="0" w:beforeAutospacing="0" w:after="0" w:afterAutospacing="0"/>
              <w:rPr>
                <w:color w:val="000000"/>
                <w:sz w:val="20"/>
                <w:szCs w:val="20"/>
              </w:rPr>
            </w:pPr>
            <w:r>
              <w:rPr>
                <w:color w:val="000000"/>
                <w:sz w:val="20"/>
                <w:szCs w:val="20"/>
              </w:rPr>
              <w:t>    December 31, 2021, respectively.</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153,816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154,532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w:t>
            </w:r>
            <w:r>
              <w:rPr>
                <w:color w:val="000000"/>
                <w:sz w:val="20"/>
                <w:szCs w:val="20"/>
              </w:rPr>
              <w:t>al debt</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1,544,029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1,551,932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2094353348"/>
        </w:trPr>
        <w:tc>
          <w:tcPr>
            <w:tcW w:w="340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(19,435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(20,588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Net unamortized original issue discount</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(3,574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(3,922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2094353348"/>
        </w:trPr>
        <w:tc>
          <w:tcPr>
            <w:tcW w:w="340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Current portion of long-term debt</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(37,072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(35,376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2094353348"/>
        </w:trPr>
        <w:tc>
          <w:tcPr>
            <w:tcW w:w="34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1,483,948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1,492,046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a Second Amended and Restated Credit Agreement (referred to herein as the "Bank Credit Facility") in an aggregate principal amount of up to $1.0 billion.  The Bank Credit Facility provides for a term loan of $200.0</w:t>
      </w:r>
      <w:r>
        <w:rPr>
          <w:sz w:val="20"/>
          <w:szCs w:val="20"/>
        </w:rPr>
        <w:t xml:space="preserve"> million (the "Term Loan A") and a revolving credit facility in an aggregate principal amount of up to $800.0 million (the "Revolving Credit Facility"). The Bank Credit Facility has a maturity of</w:t>
      </w:r>
      <w:r>
        <w:rPr>
          <w:sz w:val="20"/>
          <w:szCs w:val="20"/>
        </w:rPr>
        <w:t xml:space="preserve"> </w:t>
      </w:r>
      <w:r>
        <w:rPr>
          <w:sz w:val="20"/>
          <w:szCs w:val="20"/>
        </w:rPr>
        <w:t>April 202</w:t>
      </w:r>
      <w:r>
        <w:rPr>
          <w:sz w:val="20"/>
          <w:szCs w:val="20"/>
        </w:rPr>
        <w:t>3</w:t>
      </w:r>
      <w:r>
        <w:rPr>
          <w:sz w:val="20"/>
          <w:szCs w:val="20"/>
        </w:rPr>
        <w:t>.  The Bank Credit Facility also contains an "acco</w:t>
      </w:r>
      <w:r>
        <w:rPr>
          <w:sz w:val="20"/>
          <w:szCs w:val="20"/>
        </w:rPr>
        <w:t>rdion" feature that provides for uncommitted incremental extensions of credit in the form of increases in the revolving commitments or incremental term loans of up to $350.0 million. At CoreCivic's option, interest on outstanding borrowings under the Revol</w:t>
      </w:r>
      <w:r>
        <w:rPr>
          <w:sz w:val="20"/>
          <w:szCs w:val="20"/>
        </w:rPr>
        <w:t>ving Credit Facility is based on either a base rate plus a margin ranging from 0.00% to 1.00% or at the London Interbank Offered Rate ("LIBOR") plus a margin ranging from 1.00% to 2.00% based on CoreCivic's then-current leverage ratio.  The Revolving Credi</w:t>
      </w:r>
      <w:r>
        <w:rPr>
          <w:sz w:val="20"/>
          <w:szCs w:val="20"/>
        </w:rPr>
        <w:t xml:space="preserve">t Facility includes a $30.0 million sublimit for swing line loans that enables CoreCivic to borrow at the base rate from the Administrative Agent on same-day notice. </w:t>
      </w:r>
    </w:p>
    <w:p w:rsidR="00000000" w:rsidRDefault="008206D2">
      <w:pPr>
        <w:pStyle w:val="a3"/>
        <w:spacing w:before="240" w:beforeAutospacing="0" w:after="0" w:afterAutospacing="0"/>
        <w:ind w:left="476"/>
        <w:jc w:val="both"/>
        <w:rPr>
          <w:sz w:val="20"/>
          <w:szCs w:val="20"/>
        </w:rPr>
      </w:pPr>
      <w:r>
        <w:rPr>
          <w:sz w:val="20"/>
          <w:szCs w:val="20"/>
        </w:rPr>
        <w:t>Based on CoreCivic's total leverage ratio, loans under the Revolving Credit Facility curr</w:t>
      </w:r>
      <w:r>
        <w:rPr>
          <w:sz w:val="20"/>
          <w:szCs w:val="20"/>
        </w:rPr>
        <w:t>ently bear interest at the base rate plus a margin of 0.50% or at LIBOR plus a margin of 1.25%, and a commitment fee equal to 0.35% of the unfunded balance.  The Revolving Credit Facility also has a $50.0 million sublimit for the issuance of standby letter</w:t>
      </w:r>
      <w:r>
        <w:rPr>
          <w:sz w:val="20"/>
          <w:szCs w:val="20"/>
        </w:rPr>
        <w:t>s of credit. As of March 31, 2022, CoreCivic had no borrowings outstanding under the Revolving Credit Facility.  As of March 31, 2022, CoreCivic had $14.7 million in letters of credit outstanding resulting in $785.3 million available under the Revolving Cr</w:t>
      </w:r>
      <w:r>
        <w:rPr>
          <w:sz w:val="20"/>
          <w:szCs w:val="20"/>
        </w:rPr>
        <w:t>edit Facility.  </w:t>
      </w:r>
    </w:p>
    <w:p w:rsidR="00000000" w:rsidRDefault="008206D2">
      <w:pPr>
        <w:pStyle w:val="a3"/>
        <w:spacing w:before="240" w:beforeAutospacing="0" w:after="0" w:afterAutospacing="0"/>
        <w:jc w:val="center"/>
        <w:rPr>
          <w:sz w:val="20"/>
          <w:szCs w:val="20"/>
        </w:rPr>
      </w:pPr>
      <w:r>
        <w:rPr>
          <w:sz w:val="20"/>
          <w:szCs w:val="20"/>
        </w:rPr>
        <w:t>10</w:t>
      </w:r>
    </w:p>
    <w:p w:rsidR="00000000" w:rsidRDefault="008206D2">
      <w:pPr>
        <w:rPr>
          <w:rFonts w:eastAsia="Times New Roman"/>
        </w:rPr>
      </w:pPr>
      <w:r>
        <w:rPr>
          <w:rFonts w:eastAsia="Times New Roman"/>
        </w:rPr>
        <w:pict>
          <v:rect id="_x0000_i1036"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The Bank Credit Facility is secured by a pledge of all of the capital stock of CoreCivic's domestic restricted subsidiaries, 65% of the capital stock of CoreCivic's foreign subsidiaries, all of CoreCivic's accounts receivable, and all of CoreCivic's deposi</w:t>
      </w:r>
      <w:r>
        <w:rPr>
          <w:sz w:val="20"/>
          <w:szCs w:val="20"/>
        </w:rPr>
        <w:t xml:space="preserve">t accounts. The Bank Credit Facility requires CoreCivic to meet certain financial covenants, including, without limitation, a maximum total leverage ratio, a maximum secured leverage ratio, and a minimum fixed charge coverage ratio.  As of March 31, 2022, </w:t>
      </w:r>
      <w:r>
        <w:rPr>
          <w:sz w:val="20"/>
          <w:szCs w:val="20"/>
        </w:rPr>
        <w:t xml:space="preserve">CoreCivic was in compliance with all such covenants.  In addition, the Bank Credit Facility contains certain covenants that, among other things, limit the incurrence of additional indebtedness, payment of dividends and other customary restricted payments, </w:t>
      </w:r>
      <w:r>
        <w:rPr>
          <w:sz w:val="20"/>
          <w:szCs w:val="20"/>
        </w:rPr>
        <w:t>permitted investments, transactions with affiliates, asset sales, mergers and consolidations, liquidations, prepayments and modifications of other indebtedness, liens and other encumbrances and other matters customarily restricted in such agreements.  In a</w:t>
      </w:r>
      <w:r>
        <w:rPr>
          <w:sz w:val="20"/>
          <w:szCs w:val="20"/>
        </w:rPr>
        <w:t xml:space="preserve">ddition, the Bank Credit Facility is subject to certain cross-default provisions with terms of CoreCivic's other unsecured indebtedness, and is subject to acceleration upon the occurrence of a change of control. </w:t>
      </w:r>
    </w:p>
    <w:p w:rsidR="00000000" w:rsidRDefault="008206D2">
      <w:pPr>
        <w:pStyle w:val="a3"/>
        <w:spacing w:before="240" w:beforeAutospacing="0" w:after="0" w:afterAutospacing="0"/>
        <w:ind w:left="476"/>
        <w:jc w:val="both"/>
        <w:rPr>
          <w:sz w:val="20"/>
          <w:szCs w:val="20"/>
        </w:rPr>
      </w:pPr>
      <w:r>
        <w:rPr>
          <w:sz w:val="20"/>
          <w:szCs w:val="20"/>
        </w:rPr>
        <w:t>As a result of opposition to immigration, d</w:t>
      </w:r>
      <w:r>
        <w:rPr>
          <w:sz w:val="20"/>
          <w:szCs w:val="20"/>
        </w:rPr>
        <w:t>etention and incarceration policies and the association of private companies with such policies, some banks, including several that are currently parties to the Bank Credit Facility, have announced that they do not expect to continue providing credit or fi</w:t>
      </w:r>
      <w:r>
        <w:rPr>
          <w:sz w:val="20"/>
          <w:szCs w:val="20"/>
        </w:rPr>
        <w:t>nancial services to private entities that own or operate correctional and detention</w:t>
      </w:r>
      <w:r>
        <w:rPr>
          <w:b/>
          <w:bCs/>
          <w:sz w:val="20"/>
          <w:szCs w:val="20"/>
        </w:rPr>
        <w:t xml:space="preserve"> </w:t>
      </w:r>
      <w:r>
        <w:rPr>
          <w:sz w:val="20"/>
          <w:szCs w:val="20"/>
        </w:rPr>
        <w:t>facilities, including CoreCivic, or to otherwise participate in the provision of credit or financial services in connection with the development or operation of correctiona</w:t>
      </w:r>
      <w:r>
        <w:rPr>
          <w:sz w:val="20"/>
          <w:szCs w:val="20"/>
        </w:rPr>
        <w:t>l and detention facilities that are associated with private companies.  The banks that are currently parties to the Bank Credit Facility are obligated to honor their commitments under the Bank Credit Facility until its maturity.</w:t>
      </w:r>
    </w:p>
    <w:p w:rsidR="00000000" w:rsidRDefault="008206D2">
      <w:pPr>
        <w:pStyle w:val="a3"/>
        <w:spacing w:before="240" w:beforeAutospacing="0" w:after="0" w:afterAutospacing="0"/>
        <w:ind w:left="476"/>
        <w:jc w:val="both"/>
        <w:rPr>
          <w:i/>
          <w:iCs/>
          <w:sz w:val="20"/>
          <w:szCs w:val="20"/>
        </w:rPr>
      </w:pPr>
      <w:r>
        <w:rPr>
          <w:i/>
          <w:iCs/>
          <w:sz w:val="20"/>
          <w:szCs w:val="20"/>
        </w:rPr>
        <w:t>Incremental Term Loan A.</w:t>
      </w:r>
      <w:r>
        <w:t xml:space="preserve"> </w:t>
      </w:r>
      <w:r>
        <w:rPr>
          <w:sz w:val="20"/>
          <w:szCs w:val="20"/>
        </w:rPr>
        <w:t>In</w:t>
      </w:r>
      <w:r>
        <w:rPr>
          <w:sz w:val="20"/>
          <w:szCs w:val="20"/>
        </w:rPr>
        <w:t xml:space="preserve">terest rate margins under the Term Loan A are the same as the interest rate margins under the Revolving Credit Facility.  The Term Loan A also has the same collateral requirements, financial and certain other covenants, and cross-default provisions as the </w:t>
      </w:r>
      <w:r>
        <w:rPr>
          <w:sz w:val="20"/>
          <w:szCs w:val="20"/>
        </w:rPr>
        <w:t>Revolving Credit Facility.  The Term Loan A, which is pre-payable without penalty, also has a maturity concurrent with the Revolving Credit Facility due</w:t>
      </w:r>
      <w:r>
        <w:rPr>
          <w:sz w:val="20"/>
          <w:szCs w:val="20"/>
        </w:rPr>
        <w:t xml:space="preserve"> </w:t>
      </w:r>
      <w:r>
        <w:rPr>
          <w:sz w:val="20"/>
          <w:szCs w:val="20"/>
        </w:rPr>
        <w:t>April 202</w:t>
      </w:r>
      <w:r>
        <w:rPr>
          <w:sz w:val="20"/>
          <w:szCs w:val="20"/>
        </w:rPr>
        <w:t>3</w:t>
      </w:r>
      <w:r>
        <w:rPr>
          <w:sz w:val="20"/>
          <w:szCs w:val="20"/>
        </w:rPr>
        <w:t xml:space="preserve">, with scheduled quarterly principal payments through April 2023.  As of March 31, 2022, the </w:t>
      </w:r>
      <w:r>
        <w:rPr>
          <w:sz w:val="20"/>
          <w:szCs w:val="20"/>
        </w:rPr>
        <w:t>outstanding balance of the Term Loan A was $167.5 million.  </w:t>
      </w:r>
    </w:p>
    <w:p w:rsidR="00000000" w:rsidRDefault="008206D2">
      <w:pPr>
        <w:pStyle w:val="a3"/>
        <w:spacing w:before="240" w:beforeAutospacing="0" w:after="0" w:afterAutospacing="0"/>
        <w:ind w:left="476"/>
        <w:jc w:val="both"/>
        <w:rPr>
          <w:i/>
          <w:iCs/>
          <w:sz w:val="20"/>
          <w:szCs w:val="20"/>
        </w:rPr>
      </w:pPr>
      <w:r>
        <w:rPr>
          <w:i/>
          <w:iCs/>
          <w:sz w:val="20"/>
          <w:szCs w:val="20"/>
        </w:rPr>
        <w:t xml:space="preserve">Senior Secured Term Loan B. </w:t>
      </w:r>
      <w:r>
        <w:rPr>
          <w:sz w:val="20"/>
          <w:szCs w:val="20"/>
        </w:rPr>
        <w:t>On December 18, 2019, CoreCivic entered into a new $250.0 million Senior Secured Term Loan B ("Term Loan B" and, together with the Bank Credit Facility, the "Credit Ag</w:t>
      </w:r>
      <w:r>
        <w:rPr>
          <w:sz w:val="20"/>
          <w:szCs w:val="20"/>
        </w:rPr>
        <w:t>reements").  The Term Loan B bears interest at a rate of LIBOR plus 4.50%, with a 1.00% LIBOR floor (or, at CoreCivic's option, a base rate plus 3.50%), and has a</w:t>
      </w:r>
      <w:r>
        <w:rPr>
          <w:sz w:val="20"/>
          <w:szCs w:val="20"/>
        </w:rPr>
        <w:t xml:space="preserve"> </w:t>
      </w:r>
      <w:r>
        <w:rPr>
          <w:sz w:val="20"/>
          <w:szCs w:val="20"/>
        </w:rPr>
        <w:t>five-yea</w:t>
      </w:r>
      <w:r>
        <w:rPr>
          <w:sz w:val="20"/>
          <w:szCs w:val="20"/>
        </w:rPr>
        <w:t>r</w:t>
      </w:r>
      <w:r>
        <w:rPr>
          <w:sz w:val="20"/>
          <w:szCs w:val="20"/>
        </w:rPr>
        <w:t xml:space="preserve"> maturity with scheduled quarterly principal payments through</w:t>
      </w:r>
      <w:r>
        <w:rPr>
          <w:sz w:val="20"/>
          <w:szCs w:val="20"/>
        </w:rPr>
        <w:t xml:space="preserve"> </w:t>
      </w:r>
      <w:r>
        <w:rPr>
          <w:sz w:val="20"/>
          <w:szCs w:val="20"/>
        </w:rPr>
        <w:t>December 202</w:t>
      </w:r>
      <w:r>
        <w:rPr>
          <w:sz w:val="20"/>
          <w:szCs w:val="20"/>
        </w:rPr>
        <w:t>4</w:t>
      </w:r>
      <w:r>
        <w:rPr>
          <w:sz w:val="20"/>
          <w:szCs w:val="20"/>
        </w:rPr>
        <w:t>.  The Te</w:t>
      </w:r>
      <w:r>
        <w:rPr>
          <w:sz w:val="20"/>
          <w:szCs w:val="20"/>
        </w:rPr>
        <w:t>rm Loan B is secured by a first lien on certain specified real property assets, representing a loan-to-value of no greater than 80%.  CoreCivic can prepay the Term Loan B at any time and from time to time, without premium or penalty. The Term Loan B was is</w:t>
      </w:r>
      <w:r>
        <w:rPr>
          <w:sz w:val="20"/>
          <w:szCs w:val="20"/>
        </w:rPr>
        <w:t>sued at a price of 95% of the principal amount of the Term Loan B, resulting in a discount of $12.5 million, which is amortized into interest expense over the term of the Term Loan B.  CoreCivic capitalized approximately $5.1 million of costs associated wi</w:t>
      </w:r>
      <w:r>
        <w:rPr>
          <w:sz w:val="20"/>
          <w:szCs w:val="20"/>
        </w:rPr>
        <w:t>th the issuance of the Term Loan B.  During October 2021 and in accordance with the terms of the Term Loan B, CoreCivic repaid $90.0 million of the outstanding balance of the Term Loan B using cash on hand.  As a result, the Company reported a charge of $4</w:t>
      </w:r>
      <w:r>
        <w:rPr>
          <w:sz w:val="20"/>
          <w:szCs w:val="20"/>
        </w:rPr>
        <w:t>.1 million for the pro rata write-off of unamortized debt issuance costs and the original issue discount.  As of March 31, 2022, the outstanding balance of the Term Loan B was $124.1 million.  </w:t>
      </w:r>
    </w:p>
    <w:p w:rsidR="00000000" w:rsidRDefault="008206D2">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$173.7 million remaining princi</w:t>
      </w:r>
      <w:r>
        <w:rPr>
          <w:sz w:val="20"/>
          <w:szCs w:val="20"/>
        </w:rPr>
        <w:t>pal balance outstanding on CoreCivic's 4.625% senior notes issued in April 2013 with an original principal amount of $350.0 million (the "4.625% Senior Notes") accrues at the stated rate and is payable in May and November of each year.  The 4.625% Senior N</w:t>
      </w:r>
      <w:r>
        <w:rPr>
          <w:sz w:val="20"/>
          <w:szCs w:val="20"/>
        </w:rPr>
        <w:t>otes are scheduled to mature on May 1, 2023.  Interest on the $250.0 million aggregate principal amount of CoreCivic's 4.75% senior notes issued in October 2017 (the "4.75% Senior Notes") accrues at the stated rate and is payable in April and October of ea</w:t>
      </w:r>
      <w:r>
        <w:rPr>
          <w:sz w:val="20"/>
          <w:szCs w:val="20"/>
        </w:rPr>
        <w:t>ch year.  The 4.75% Senior Notes are scheduled to mature on October 15, 2027.  Interest on the $675.0 million aggregate principal amount of CoreCivic's 8.25% senior notes issued in April and September 2021 (the "8.25% Senior Notes"), as further described h</w:t>
      </w:r>
      <w:r>
        <w:rPr>
          <w:sz w:val="20"/>
          <w:szCs w:val="20"/>
        </w:rPr>
        <w:t>ereinafter, accrues at the stated rate and is payable in April and October of each year.  The 8.25% Senior Notes are scheduled to mature on April 15, 2026.  </w:t>
      </w:r>
    </w:p>
    <w:p w:rsidR="00000000" w:rsidRDefault="008206D2">
      <w:pPr>
        <w:pStyle w:val="a3"/>
        <w:spacing w:before="240" w:beforeAutospacing="0" w:after="0" w:afterAutospacing="0"/>
        <w:ind w:left="476"/>
        <w:jc w:val="both"/>
        <w:rPr>
          <w:sz w:val="20"/>
          <w:szCs w:val="20"/>
        </w:rPr>
      </w:pPr>
      <w:r>
        <w:rPr>
          <w:sz w:val="20"/>
          <w:szCs w:val="20"/>
        </w:rPr>
        <w:t>The 4.625% Senior Notes, the 4.75% Senior Notes, and the 8.25% Senior Notes, collectively referred</w:t>
      </w:r>
      <w:r>
        <w:rPr>
          <w:sz w:val="20"/>
          <w:szCs w:val="20"/>
        </w:rPr>
        <w:t xml:space="preserve"> to herein as the "Senior Notes", are senior unsecured obligations of the Company and are guaranteed by all of the Company's existing and future subsidiaries that guarantee the Bank Credit Facility.  CoreCivic may redeem all or part of the 4.625% Senior No</w:t>
      </w:r>
      <w:r>
        <w:rPr>
          <w:sz w:val="20"/>
          <w:szCs w:val="20"/>
        </w:rPr>
        <w:t>tes and the 4.75% Senior Notes at any time prior to three months before their respective maturity date at a "make-whole" redemption price, plus accrued and unpaid interest thereon to, but not including, the redemption date.  Thereafter, the 4.625% Senior N</w:t>
      </w:r>
      <w:r>
        <w:rPr>
          <w:sz w:val="20"/>
          <w:szCs w:val="20"/>
        </w:rPr>
        <w:t>otes and the 4.75% Senior Notes are redeemable at CoreCivic's option, in whole or in part, at a redemption price equal to 100% of the aggregate principal amount of the notes to be redeemed plus accrued and unpaid interest thereon to, but not including, the</w:t>
      </w:r>
      <w:r>
        <w:rPr>
          <w:sz w:val="20"/>
          <w:szCs w:val="20"/>
        </w:rPr>
        <w:t xml:space="preserve"> redemption date. The Company may redeem all or part of the 8.25% Senior Notes at any time prior to April 15, 2024, in whole or in part, at a "make-whole" redemption price, plus accrued and unpaid interest thereon to, but not including, the redemption date</w:t>
      </w:r>
      <w:r>
        <w:rPr>
          <w:sz w:val="20"/>
          <w:szCs w:val="20"/>
        </w:rPr>
        <w:t>.  Thereafter, the 8.25% Senior Notes are redeemable at CoreCivic's option, in whole or in part, at a redemption price expressed as a percentage of the principal amount thereof, which percentage is 104.125% beginning on April 15, 2024 and 100% beginning on</w:t>
      </w:r>
      <w:r>
        <w:rPr>
          <w:sz w:val="20"/>
          <w:szCs w:val="20"/>
        </w:rPr>
        <w:t xml:space="preserve"> April 15, 2025, plus, in each such case, accrued and unpaid interest thereon to, but not including, the redemption date. </w:t>
      </w:r>
    </w:p>
    <w:p w:rsidR="00000000" w:rsidRDefault="008206D2">
      <w:pPr>
        <w:pStyle w:val="a3"/>
        <w:spacing w:before="240" w:beforeAutospacing="0" w:after="0" w:afterAutospacing="0"/>
        <w:jc w:val="center"/>
        <w:rPr>
          <w:sz w:val="20"/>
          <w:szCs w:val="20"/>
        </w:rPr>
      </w:pPr>
      <w:r>
        <w:rPr>
          <w:sz w:val="20"/>
          <w:szCs w:val="20"/>
        </w:rPr>
        <w:t>11</w:t>
      </w:r>
    </w:p>
    <w:p w:rsidR="00000000" w:rsidRDefault="008206D2">
      <w:pPr>
        <w:rPr>
          <w:rFonts w:eastAsia="Times New Roman"/>
        </w:rPr>
      </w:pPr>
      <w:r>
        <w:rPr>
          <w:rFonts w:eastAsia="Times New Roman"/>
        </w:rPr>
        <w:pict>
          <v:rect id="_x0000_i1037"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On April 14, 2021, the Company completed an underwritten registered offering of $450.0 milli</w:t>
      </w:r>
      <w:r>
        <w:rPr>
          <w:sz w:val="20"/>
          <w:szCs w:val="20"/>
        </w:rPr>
        <w:t>on aggregate principal amount of 8.25% senior unsecured notes due 2026 (the "Original 8.25% Senior Notes"). The Original 8.25% Senior Notes were priced at 99.0% of face value and as a result have an effective yield to maturity of 8.50%. The net proceeds fr</w:t>
      </w:r>
      <w:r>
        <w:rPr>
          <w:sz w:val="20"/>
          <w:szCs w:val="20"/>
        </w:rPr>
        <w:t>om the issuance of the Original 8.25% Senior Notes totaled approximately $435.1 million, after deducting the original issuance and underwriting discounts and estimated offering expenses. The Company used a significant amount of the net proceeds from the of</w:t>
      </w:r>
      <w:r>
        <w:rPr>
          <w:sz w:val="20"/>
          <w:szCs w:val="20"/>
        </w:rPr>
        <w:t>fering of the Original 8.25% Senior Notes (i) to redeem all of the $250.0 million aggregate principal amount of CoreCivic's 5.0% senior notes issued in September 2015 (the "5.0% Senior Notes"), including the payment of the applicable "make-whole" redemptio</w:t>
      </w:r>
      <w:r>
        <w:rPr>
          <w:sz w:val="20"/>
          <w:szCs w:val="20"/>
        </w:rPr>
        <w:t>n amount of $15.5 million and accrued interest, and (ii) to otherwise repay or reduce its other indebtedness, including repurchasing $149.0 million of its 4.625% Senior Notes at an aggregate purchase price of $151.2 million in privately negotiated transact</w:t>
      </w:r>
      <w:r>
        <w:rPr>
          <w:sz w:val="20"/>
          <w:szCs w:val="20"/>
        </w:rPr>
        <w:t>ions, reducing the outstanding balance of the 4.625% Senior Notes, which was originally $350.0 million, to $201.0 million.  In the second and fourth quarters of 2021, the Company purchased an additional $27.3 million of its 4.625% Senior Notes at par in op</w:t>
      </w:r>
      <w:r>
        <w:rPr>
          <w:sz w:val="20"/>
          <w:szCs w:val="20"/>
        </w:rPr>
        <w:t xml:space="preserve">en market purchases, further reducing the outstanding balance of the 4.625% Senior Notes to $173.7 million. </w:t>
      </w:r>
    </w:p>
    <w:p w:rsidR="00000000" w:rsidRDefault="008206D2">
      <w:pPr>
        <w:pStyle w:val="a3"/>
        <w:spacing w:before="240" w:beforeAutospacing="0" w:after="0" w:afterAutospacing="0"/>
        <w:ind w:left="476"/>
        <w:jc w:val="both"/>
        <w:rPr>
          <w:sz w:val="20"/>
          <w:szCs w:val="20"/>
        </w:rPr>
      </w:pPr>
      <w:r>
        <w:rPr>
          <w:sz w:val="20"/>
          <w:szCs w:val="20"/>
        </w:rPr>
        <w:t>The "make-whole" redemption amount paid in connection with the redemption of the 5.0% Senior Notes, originally scheduled to mature on October 15, 2</w:t>
      </w:r>
      <w:r>
        <w:rPr>
          <w:sz w:val="20"/>
          <w:szCs w:val="20"/>
        </w:rPr>
        <w:t>022, and the aggregate price paid for the 4.625% Senior Notes in excess of the principal amount of the notes repurchased resulted in charges of $19.2 million during the second quarter of 2021, including costs associated with the repurchases and the proport</w:t>
      </w:r>
      <w:r>
        <w:rPr>
          <w:sz w:val="20"/>
          <w:szCs w:val="20"/>
        </w:rPr>
        <w:t>ionate write-off of existing debt issuance costs.  The remaining net proceeds were used to pay down a portion of the amounts outstanding under the Revolving Credit Facility and for general corporate purposes.  </w:t>
      </w:r>
    </w:p>
    <w:p w:rsidR="00000000" w:rsidRDefault="008206D2">
      <w:pPr>
        <w:pStyle w:val="a3"/>
        <w:spacing w:before="240" w:beforeAutospacing="0" w:after="0" w:afterAutospacing="0"/>
        <w:ind w:left="476"/>
        <w:jc w:val="both"/>
        <w:rPr>
          <w:sz w:val="20"/>
          <w:szCs w:val="20"/>
        </w:rPr>
      </w:pPr>
      <w:r>
        <w:rPr>
          <w:sz w:val="20"/>
          <w:szCs w:val="20"/>
        </w:rPr>
        <w:t>On September 29, 2021, CoreCivic completed an</w:t>
      </w:r>
      <w:r>
        <w:rPr>
          <w:sz w:val="20"/>
          <w:szCs w:val="20"/>
        </w:rPr>
        <w:t xml:space="preserve"> underwritten registered tack-on offering of $225.0 million in aggregate principal amount of 8.25% Senior Notes due 2026 (the "Additional 8.25% Senior Notes") at an issue price of 102.25% of their aggregate principal amount, plus accrued interest from the </w:t>
      </w:r>
      <w:r>
        <w:rPr>
          <w:sz w:val="20"/>
          <w:szCs w:val="20"/>
        </w:rPr>
        <w:t>April 14, 2021 issue date for the Original 8.25% Senior Notes, resulting in an effective yield to maturity of 7.65% for the Additional 8.25% Senior Notes.  The Additional 8.25% Senior Notes and the Original 8.25% Senior Notes, together the 8.25% Senior Not</w:t>
      </w:r>
      <w:r>
        <w:rPr>
          <w:sz w:val="20"/>
          <w:szCs w:val="20"/>
        </w:rPr>
        <w:t>es, constitute a single class of securities and have identical terms, other than issue date and issue price.  The issuance of the Additional 8.25% Senior Notes increased the total aggregate principal amount of 8.25% Senior Notes outstanding to $675.0 milli</w:t>
      </w:r>
      <w:r>
        <w:rPr>
          <w:sz w:val="20"/>
          <w:szCs w:val="20"/>
        </w:rPr>
        <w:t xml:space="preserve">on.  The net proceeds from the issuance of the Additional 8.25% Senior Notes totaled approximately $225.5 million, after deducting the underwriting discounts and estimated offering expenses and including the original issuance premium. </w:t>
      </w:r>
    </w:p>
    <w:p w:rsidR="00000000" w:rsidRDefault="008206D2">
      <w:pPr>
        <w:pStyle w:val="a3"/>
        <w:spacing w:before="240" w:beforeAutospacing="0" w:after="0" w:afterAutospacing="0"/>
        <w:ind w:left="476"/>
        <w:jc w:val="both"/>
        <w:rPr>
          <w:i/>
          <w:iCs/>
          <w:sz w:val="20"/>
          <w:szCs w:val="20"/>
        </w:rPr>
      </w:pPr>
      <w:r>
        <w:rPr>
          <w:i/>
          <w:iCs/>
          <w:sz w:val="20"/>
          <w:szCs w:val="20"/>
        </w:rPr>
        <w:t>Lansing Correctional</w:t>
      </w:r>
      <w:r>
        <w:rPr>
          <w:i/>
          <w:iCs/>
          <w:sz w:val="20"/>
          <w:szCs w:val="20"/>
        </w:rPr>
        <w:t xml:space="preserve"> Facility Non-Recourse Mortgage Note.  </w:t>
      </w:r>
      <w:r>
        <w:rPr>
          <w:color w:val="000000"/>
          <w:sz w:val="20"/>
          <w:szCs w:val="20"/>
        </w:rPr>
        <w:t>On April 20, 2018, CoreCivic of Kansas, LLC (the "Issuer"), a wholly-owned unrestricted subsidiary of the Company, priced $159.5 million in aggregate principal amount of non-recourse senior secured notes of the Issuer</w:t>
      </w:r>
      <w:r>
        <w:rPr>
          <w:color w:val="000000"/>
          <w:sz w:val="20"/>
          <w:szCs w:val="20"/>
        </w:rPr>
        <w:t xml:space="preserve"> (the "Kansas Notes"), in a private placement pursuant to Section 4(a)(2) of the Securities Act of 1933, as amended.  The private placement closed on June 1, 2018.  The Company used the proceeds of the private placement, which were drawn on quarterly fundi</w:t>
      </w:r>
      <w:r>
        <w:rPr>
          <w:color w:val="000000"/>
          <w:sz w:val="20"/>
          <w:szCs w:val="20"/>
        </w:rPr>
        <w:t>ng dates beginning in the second quarter of 2018, to fund construction of the Lansing Correctional Facility, along with costs and expenses of the project.  The Kansas Notes have a yield to maturity of 4.43% and are scheduled to mature in January 2040, 20 y</w:t>
      </w:r>
      <w:r>
        <w:rPr>
          <w:color w:val="000000"/>
          <w:sz w:val="20"/>
          <w:szCs w:val="20"/>
        </w:rPr>
        <w:t>ears following completion of the project, which occurred in January 2020. Principal and interest on the Kansas Notes are payable in quarterly payments, which began in July 2020 and continue until maturity. CoreCivic may redeem all or part of the Kansas Not</w:t>
      </w:r>
      <w:r>
        <w:rPr>
          <w:color w:val="000000"/>
          <w:sz w:val="20"/>
          <w:szCs w:val="20"/>
        </w:rPr>
        <w:t>es at any time upon written notice of not less than 30 days and not more than 60 days prior to the date fixed for such prepayment, with a "make-whole" amount, together with interest on the Kansas Notes accrued to, but not including, the redemption date. Co</w:t>
      </w:r>
      <w:r>
        <w:rPr>
          <w:color w:val="000000"/>
          <w:sz w:val="20"/>
          <w:szCs w:val="20"/>
        </w:rPr>
        <w:t>reCivic capitalized approximately $3.4 million of costs associated with the private placement. Because the Issuer has been designated as an unrestricted subsidiary of the Company under terms of the Company's Credit Agreements, the issuance and service of t</w:t>
      </w:r>
      <w:r>
        <w:rPr>
          <w:color w:val="000000"/>
          <w:sz w:val="20"/>
          <w:szCs w:val="20"/>
        </w:rPr>
        <w:t>he Kansas Notes, and the revenues and expenses associated with the facility lease, do not impact the financial covenants associated with the Company's Credit Agreements.  As of March 31, 2022, the outstanding balance of the Kansas Notes was $153.8 million.</w:t>
      </w:r>
    </w:p>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March </w:t>
      </w:r>
      <w:r>
        <w:rPr>
          <w:sz w:val="20"/>
          <w:szCs w:val="20"/>
        </w:rPr>
        <w:t>31, 2022 for the remainder of 2022, the next five years, and thereafter were as follows (in thousands):</w:t>
      </w:r>
    </w:p>
    <w:p w:rsidR="00000000" w:rsidRDefault="008206D2">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1847132167"/>
        </w:trPr>
        <w:tc>
          <w:tcPr>
            <w:tcW w:w="400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2022 (remainder)</w:t>
            </w:r>
          </w:p>
        </w:tc>
        <w:tc>
          <w:tcPr>
            <w:tcW w:w="8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78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27,473</w:t>
            </w:r>
          </w:p>
        </w:tc>
        <w:tc>
          <w:tcPr>
            <w:tcW w:w="4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2023</w:t>
            </w:r>
          </w:p>
        </w:tc>
        <w:tc>
          <w:tcPr>
            <w:tcW w:w="8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8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354,796</w:t>
            </w:r>
          </w:p>
        </w:tc>
        <w:tc>
          <w:tcPr>
            <w:tcW w:w="4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2024</w:t>
            </w:r>
          </w:p>
        </w:tc>
        <w:tc>
          <w:tcPr>
            <w:tcW w:w="8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8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96,597</w:t>
            </w:r>
          </w:p>
        </w:tc>
        <w:tc>
          <w:tcPr>
            <w:tcW w:w="4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2025</w:t>
            </w:r>
          </w:p>
        </w:tc>
        <w:tc>
          <w:tcPr>
            <w:tcW w:w="8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8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5,823</w:t>
            </w:r>
          </w:p>
        </w:tc>
        <w:tc>
          <w:tcPr>
            <w:tcW w:w="4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2026</w:t>
            </w:r>
          </w:p>
        </w:tc>
        <w:tc>
          <w:tcPr>
            <w:tcW w:w="8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8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681,326</w:t>
            </w:r>
          </w:p>
        </w:tc>
        <w:tc>
          <w:tcPr>
            <w:tcW w:w="4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2027</w:t>
            </w:r>
          </w:p>
        </w:tc>
        <w:tc>
          <w:tcPr>
            <w:tcW w:w="8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8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256,855</w:t>
            </w:r>
          </w:p>
        </w:tc>
        <w:tc>
          <w:tcPr>
            <w:tcW w:w="4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Thereafter</w:t>
            </w:r>
          </w:p>
        </w:tc>
        <w:tc>
          <w:tcPr>
            <w:tcW w:w="8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8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121,159</w:t>
            </w:r>
          </w:p>
        </w:tc>
        <w:tc>
          <w:tcPr>
            <w:tcW w:w="4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847132167"/>
        </w:trPr>
        <w:tc>
          <w:tcPr>
            <w:tcW w:w="400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debt</w:t>
            </w:r>
          </w:p>
        </w:tc>
        <w:tc>
          <w:tcPr>
            <w:tcW w:w="8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7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1,544,029</w:t>
            </w:r>
          </w:p>
        </w:tc>
        <w:tc>
          <w:tcPr>
            <w:tcW w:w="4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r w:rsidR="00000000">
        <w:trPr>
          <w:divId w:val="1847132167"/>
        </w:trPr>
        <w:tc>
          <w:tcPr>
            <w:tcW w:w="5000" w:type="pct"/>
            <w:gridSpan w:val="5"/>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sz w:val="2"/>
                <w:szCs w:val="2"/>
              </w:rPr>
            </w:pPr>
            <w:r>
              <w:rPr>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4984"/>
      </w:tblGrid>
      <w:tr w:rsidR="00000000">
        <w:trPr>
          <w:divId w:val="1060447160"/>
        </w:trPr>
        <w:tc>
          <w:tcPr>
            <w:tcW w:w="500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sz w:val="2"/>
                <w:szCs w:val="2"/>
              </w:rPr>
            </w:pPr>
            <w:r>
              <w:rPr>
                <w:sz w:val="2"/>
                <w:szCs w:val="2"/>
              </w:rPr>
              <w:t> </w:t>
            </w:r>
          </w:p>
        </w:tc>
      </w:tr>
    </w:tbl>
    <w:p w:rsidR="00000000" w:rsidRDefault="008206D2">
      <w:pPr>
        <w:pStyle w:val="a3"/>
        <w:spacing w:before="240" w:beforeAutospacing="0" w:after="0" w:afterAutospacing="0"/>
        <w:jc w:val="center"/>
        <w:rPr>
          <w:sz w:val="20"/>
          <w:szCs w:val="20"/>
        </w:rPr>
      </w:pPr>
      <w:r>
        <w:rPr>
          <w:sz w:val="20"/>
          <w:szCs w:val="20"/>
        </w:rPr>
        <w:t>12</w:t>
      </w:r>
    </w:p>
    <w:p w:rsidR="00000000" w:rsidRDefault="008206D2">
      <w:pPr>
        <w:rPr>
          <w:rFonts w:eastAsia="Times New Roman"/>
        </w:rPr>
      </w:pPr>
      <w:r>
        <w:rPr>
          <w:rFonts w:eastAsia="Times New Roman"/>
        </w:rPr>
        <w:pict>
          <v:rect id="_x0000_i1038"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6374742"/>
        </w:trPr>
        <w:tc>
          <w:tcPr>
            <w:tcW w:w="227" w:type="pct"/>
            <w:noWrap/>
            <w:hideMark/>
          </w:tcPr>
          <w:p w:rsidR="00000000" w:rsidRDefault="008206D2">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8206D2">
            <w:pPr>
              <w:pStyle w:val="a3"/>
              <w:spacing w:before="160" w:beforeAutospacing="0" w:after="0" w:afterAutospacing="0"/>
              <w:jc w:val="both"/>
              <w:rPr>
                <w:b/>
                <w:bCs/>
                <w:sz w:val="20"/>
                <w:szCs w:val="20"/>
              </w:rPr>
            </w:pPr>
            <w:r>
              <w:rPr>
                <w:b/>
                <w:bCs/>
                <w:sz w:val="20"/>
                <w:szCs w:val="20"/>
              </w:rPr>
              <w:t>STOCKHOLDERS' EQUITY</w:t>
            </w:r>
          </w:p>
        </w:tc>
      </w:tr>
    </w:tbl>
    <w:p w:rsidR="00000000" w:rsidRDefault="008206D2">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8206D2">
      <w:pPr>
        <w:pStyle w:val="a3"/>
        <w:spacing w:before="120" w:beforeAutospacing="0" w:after="0" w:afterAutospacing="0"/>
        <w:ind w:left="476"/>
        <w:jc w:val="both"/>
        <w:rPr>
          <w:sz w:val="20"/>
          <w:szCs w:val="20"/>
        </w:rPr>
      </w:pPr>
      <w:r>
        <w:rPr>
          <w:sz w:val="20"/>
          <w:szCs w:val="20"/>
        </w:rPr>
        <w:t>As further discussed in Note 1, on August 5, 2020, the BOD voted unanimously to approve a plan to revoke the Company’s REIT election and become a taxable C Corporati</w:t>
      </w:r>
      <w:r>
        <w:rPr>
          <w:sz w:val="20"/>
          <w:szCs w:val="20"/>
        </w:rPr>
        <w:t>on, effective January 1, 2021; the BOD also voted unanimously to discontinue the quarterly dividend and prioritize allocating the Company's free cash flow to reduce debt levels.  </w:t>
      </w:r>
    </w:p>
    <w:p w:rsidR="00000000" w:rsidRDefault="008206D2">
      <w:pPr>
        <w:pStyle w:val="a3"/>
        <w:spacing w:before="360" w:beforeAutospacing="0" w:after="0" w:afterAutospacing="0"/>
        <w:ind w:left="476"/>
        <w:jc w:val="both"/>
        <w:rPr>
          <w:b/>
          <w:bCs/>
          <w:sz w:val="20"/>
          <w:szCs w:val="20"/>
        </w:rPr>
      </w:pPr>
      <w:r>
        <w:rPr>
          <w:b/>
          <w:bCs/>
          <w:sz w:val="20"/>
          <w:szCs w:val="20"/>
        </w:rPr>
        <w:t>Restricted Stock Units</w:t>
      </w:r>
    </w:p>
    <w:p w:rsidR="00000000" w:rsidRDefault="008206D2">
      <w:pPr>
        <w:pStyle w:val="a3"/>
        <w:spacing w:before="120" w:beforeAutospacing="0" w:after="0" w:afterAutospacing="0"/>
        <w:ind w:left="476"/>
        <w:jc w:val="both"/>
        <w:rPr>
          <w:sz w:val="20"/>
          <w:szCs w:val="20"/>
        </w:rPr>
      </w:pPr>
      <w:r>
        <w:rPr>
          <w:sz w:val="20"/>
          <w:szCs w:val="20"/>
        </w:rPr>
        <w:t>During the first quarter of 2022, CoreCivic issued ap</w:t>
      </w:r>
      <w:r>
        <w:rPr>
          <w:sz w:val="20"/>
          <w:szCs w:val="20"/>
        </w:rPr>
        <w:t>proximately 2.1 million restricted common stock units ("RSUs") to certain of its employees and non-employee directors, with an aggregate value of $21.0 million, including 1.9 million RSUs to employees and non-employee directors whose compensation is charge</w:t>
      </w:r>
      <w:r>
        <w:rPr>
          <w:sz w:val="20"/>
          <w:szCs w:val="20"/>
        </w:rPr>
        <w:t>d to general and administrative expense and 0.2 million RSUs to employees whose compensation is charged to operating expense. During 2021, CoreCivic issued approximately 2.7 million RSUs to certain of its employees and non-employee directors, with an aggre</w:t>
      </w:r>
      <w:r>
        <w:rPr>
          <w:sz w:val="20"/>
          <w:szCs w:val="20"/>
        </w:rPr>
        <w:t xml:space="preserve">gate value of $21.8 million, including 2.5 million RSUs to employees and non-employee directors whose compensation is charged to general and administrative expense and 0.2 million RSUs to employees whose compensation is charged to operating expense. </w:t>
      </w:r>
    </w:p>
    <w:p w:rsidR="00000000" w:rsidRDefault="008206D2">
      <w:pPr>
        <w:pStyle w:val="a3"/>
        <w:spacing w:before="240" w:beforeAutospacing="0" w:after="0" w:afterAutospacing="0"/>
        <w:ind w:left="476"/>
        <w:jc w:val="both"/>
        <w:rPr>
          <w:sz w:val="20"/>
          <w:szCs w:val="20"/>
        </w:rPr>
      </w:pPr>
      <w:r>
        <w:rPr>
          <w:sz w:val="20"/>
          <w:szCs w:val="20"/>
        </w:rPr>
        <w:t>Since</w:t>
      </w:r>
      <w:r>
        <w:rPr>
          <w:sz w:val="20"/>
          <w:szCs w:val="20"/>
        </w:rPr>
        <w:t xml:space="preserve"> 2015, </w:t>
      </w:r>
      <w:r>
        <w:rPr>
          <w:color w:val="000000"/>
          <w:sz w:val="20"/>
          <w:szCs w:val="20"/>
        </w:rPr>
        <w:t xml:space="preserve">CoreCivic has </w:t>
      </w:r>
      <w:r>
        <w:rPr>
          <w:sz w:val="20"/>
          <w:szCs w:val="20"/>
        </w:rPr>
        <w:t>established performance-based vesting conditions on the RSUs awarded to its officers and executive officers that, unless earlier vested under the terms of the agreements, are subject to vesting over a</w:t>
      </w:r>
      <w:r>
        <w:rPr>
          <w:sz w:val="20"/>
          <w:szCs w:val="20"/>
        </w:rPr>
        <w:t xml:space="preserve"> </w:t>
      </w:r>
      <w:r>
        <w:rPr>
          <w:sz w:val="20"/>
          <w:szCs w:val="20"/>
        </w:rPr>
        <w:t>three-yea</w:t>
      </w:r>
      <w:r>
        <w:rPr>
          <w:sz w:val="20"/>
          <w:szCs w:val="20"/>
        </w:rPr>
        <w:t>r</w:t>
      </w:r>
      <w:r>
        <w:rPr>
          <w:sz w:val="20"/>
          <w:szCs w:val="20"/>
        </w:rPr>
        <w:t xml:space="preserve"> period based upon the s</w:t>
      </w:r>
      <w:r>
        <w:rPr>
          <w:sz w:val="20"/>
          <w:szCs w:val="20"/>
        </w:rPr>
        <w:t>atisfaction of certain annual performance criteria, and no more than</w:t>
      </w:r>
      <w:r>
        <w:rPr>
          <w:sz w:val="20"/>
          <w:szCs w:val="20"/>
        </w:rPr>
        <w:t xml:space="preserve"> </w:t>
      </w:r>
      <w:r>
        <w:rPr>
          <w:sz w:val="20"/>
          <w:szCs w:val="20"/>
        </w:rPr>
        <w:t>one-thir</w:t>
      </w:r>
      <w:r>
        <w:rPr>
          <w:sz w:val="20"/>
          <w:szCs w:val="20"/>
        </w:rPr>
        <w:t>d</w:t>
      </w:r>
      <w:r>
        <w:rPr>
          <w:sz w:val="20"/>
          <w:szCs w:val="20"/>
        </w:rPr>
        <w:t xml:space="preserve"> of the RSUs can vest in any one performance period.  The RSUs awarded to officers and executive officers in 2020, 2021 and 2022 consist of a combination of awards with performan</w:t>
      </w:r>
      <w:r>
        <w:rPr>
          <w:sz w:val="20"/>
          <w:szCs w:val="20"/>
        </w:rPr>
        <w:t>ce-based conditions and time-based conditions.  Unless earlier vested under the terms of the RSU agreements, the RSUs with time-based vesting conditions vest in equal amounts over three years on the later of (i) the anniversary date of the grant or (ii) th</w:t>
      </w:r>
      <w:r>
        <w:rPr>
          <w:sz w:val="20"/>
          <w:szCs w:val="20"/>
        </w:rPr>
        <w:t>e delivery of the audited financial statements by the Company’s independent registered public accountant for the applicable fiscal year. The RSUs with performance-based vesting conditions are divided into one-third increments, each of which is subject to v</w:t>
      </w:r>
      <w:r>
        <w:rPr>
          <w:sz w:val="20"/>
          <w:szCs w:val="20"/>
        </w:rPr>
        <w:t>esting based upon satisfaction of certain annual performance criteria established at the beginning of the fiscal years ending December 31, 2020, 2021, and 2022 for the 2020 awards, December 31, 2021, 2022, and 2023 for the 2021 awards, and December 31, 202</w:t>
      </w:r>
      <w:r>
        <w:rPr>
          <w:sz w:val="20"/>
          <w:szCs w:val="20"/>
        </w:rPr>
        <w:t xml:space="preserve">2, 2023, and 2024 for the 2022 awards, and which can be increased up to 150% or decreased to 0% based on performance relative to the annual performance criteria, and further increased or decreased using a modifier of 80% to 120% based on CoreCivic's total </w:t>
      </w:r>
      <w:r>
        <w:rPr>
          <w:sz w:val="20"/>
          <w:szCs w:val="20"/>
        </w:rPr>
        <w:t>shareholder return relative to a peer group.  Because the performance criteria for the fiscal years ending December 31, 2023 and 2024 have not yet been established, the values of the third RSU increment of the 2021 awards and of the second and third increm</w:t>
      </w:r>
      <w:r>
        <w:rPr>
          <w:sz w:val="20"/>
          <w:szCs w:val="20"/>
        </w:rPr>
        <w:t>ents of the 2022 awards for financial reporting purposes will not be determined until such criteria are established.  Time-based RSUs issued to other employees, unless earlier vested under the terms of the agreements, generally vest in equal amounts over t</w:t>
      </w:r>
      <w:r>
        <w:rPr>
          <w:sz w:val="20"/>
          <w:szCs w:val="20"/>
        </w:rPr>
        <w:t>hree years on the later of (i) the anniversary date of the grant or (ii) the delivery of the audited financial statements by the Company’s independent registered public accountant for the applicable fiscal year. RSUs issued to non-employee directors genera</w:t>
      </w:r>
      <w:r>
        <w:rPr>
          <w:sz w:val="20"/>
          <w:szCs w:val="20"/>
        </w:rPr>
        <w:t>lly vest one year from the date of award.  </w:t>
      </w:r>
    </w:p>
    <w:p w:rsidR="00000000" w:rsidRDefault="008206D2">
      <w:pPr>
        <w:pStyle w:val="a3"/>
        <w:spacing w:before="240" w:beforeAutospacing="0" w:after="0" w:afterAutospacing="0"/>
        <w:ind w:left="476"/>
        <w:jc w:val="both"/>
        <w:rPr>
          <w:sz w:val="20"/>
          <w:szCs w:val="20"/>
        </w:rPr>
      </w:pPr>
      <w:r>
        <w:rPr>
          <w:sz w:val="20"/>
          <w:szCs w:val="20"/>
        </w:rPr>
        <w:t>During the three months ended March 31, 2022, CoreCivic expensed $5.3 million, net of forfeitures, relating to RSUs ($0.4 million of which was recorded in operating expenses and $4.9 million of which was recorded</w:t>
      </w:r>
      <w:r>
        <w:rPr>
          <w:sz w:val="20"/>
          <w:szCs w:val="20"/>
        </w:rPr>
        <w:t xml:space="preserve"> in general and administrative expenses).  During the three months ended March 31, 2021, CoreCivic expensed $4.2 million, net of forfeitures, relating to RSUs ($0.5 million of which was recorded in operating expenses and $3.7 million of which was recorded </w:t>
      </w:r>
      <w:r>
        <w:rPr>
          <w:sz w:val="20"/>
          <w:szCs w:val="20"/>
        </w:rPr>
        <w:t>in general and administrative expenses). As of March 31, 2022, approximately 4.0 million RSUs remained outstanding and subject to vesting.</w:t>
      </w:r>
    </w:p>
    <w:p w:rsidR="00000000" w:rsidRDefault="008206D2">
      <w:pPr>
        <w:pStyle w:val="a3"/>
        <w:spacing w:before="0" w:beforeAutospacing="0" w:after="0" w:afterAutospacing="0"/>
        <w:ind w:left="476"/>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89319752"/>
        </w:trPr>
        <w:tc>
          <w:tcPr>
            <w:tcW w:w="227" w:type="pct"/>
            <w:noWrap/>
            <w:hideMark/>
          </w:tcPr>
          <w:p w:rsidR="00000000" w:rsidRDefault="008206D2">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EARNINGS PER SHARE</w:t>
            </w:r>
          </w:p>
        </w:tc>
      </w:tr>
    </w:tbl>
    <w:p w:rsidR="00000000" w:rsidRDefault="008206D2">
      <w:pPr>
        <w:pStyle w:val="a3"/>
        <w:spacing w:before="120" w:beforeAutospacing="0" w:after="0" w:afterAutospacing="0"/>
        <w:ind w:left="476"/>
        <w:jc w:val="both"/>
        <w:rPr>
          <w:sz w:val="20"/>
          <w:szCs w:val="20"/>
        </w:rPr>
      </w:pPr>
      <w:r>
        <w:rPr>
          <w:sz w:val="20"/>
          <w:szCs w:val="20"/>
        </w:rPr>
        <w:t xml:space="preserve">Basic earnings per share is computed by dividing net income by the weighted average number of common shares outstanding during the year.  Diluted earnings per share reflects the potential dilution that could occur if securities or other contracts to issue </w:t>
      </w:r>
      <w:r>
        <w:rPr>
          <w:sz w:val="20"/>
          <w:szCs w:val="20"/>
        </w:rPr>
        <w:t>common stock were exercised or converted into common stock or resulted in the issuance of common stock that then shared in the earnings of the entity.  For CoreCivic, diluted earnings per share is computed by dividing net income by the weighted average num</w:t>
      </w:r>
      <w:r>
        <w:rPr>
          <w:sz w:val="20"/>
          <w:szCs w:val="20"/>
        </w:rPr>
        <w:t>ber of common shares after considering the additional dilution related to restricted stock-based awards, stock options, and Operating Partnership Units.</w:t>
      </w:r>
    </w:p>
    <w:p w:rsidR="00000000" w:rsidRDefault="008206D2">
      <w:pPr>
        <w:pStyle w:val="a3"/>
        <w:spacing w:before="240" w:beforeAutospacing="0" w:after="0" w:afterAutospacing="0"/>
        <w:jc w:val="center"/>
        <w:rPr>
          <w:sz w:val="20"/>
          <w:szCs w:val="20"/>
        </w:rPr>
      </w:pPr>
      <w:r>
        <w:rPr>
          <w:sz w:val="20"/>
          <w:szCs w:val="20"/>
        </w:rPr>
        <w:t>13</w:t>
      </w:r>
    </w:p>
    <w:p w:rsidR="00000000" w:rsidRDefault="008206D2">
      <w:pPr>
        <w:rPr>
          <w:rFonts w:eastAsia="Times New Roman"/>
        </w:rPr>
      </w:pPr>
      <w:r>
        <w:rPr>
          <w:rFonts w:eastAsia="Times New Roman"/>
        </w:rPr>
        <w:pict>
          <v:rect id="_x0000_i1039"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A reconciliation of the numerator and denominator of the basic</w:t>
      </w:r>
      <w:r>
        <w:rPr>
          <w:sz w:val="20"/>
          <w:szCs w:val="20"/>
        </w:rPr>
        <w:t xml:space="preserve"> earnings per share computation to the numerator and denominator of the diluted earnings per share computation is as follows (in thousands, except per share data):</w:t>
      </w:r>
    </w:p>
    <w:p w:rsidR="00000000" w:rsidRDefault="008206D2">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1"/>
        <w:gridCol w:w="103"/>
        <w:gridCol w:w="115"/>
        <w:gridCol w:w="946"/>
        <w:gridCol w:w="65"/>
        <w:gridCol w:w="99"/>
        <w:gridCol w:w="115"/>
        <w:gridCol w:w="949"/>
        <w:gridCol w:w="82"/>
      </w:tblGrid>
      <w:tr w:rsidR="00000000">
        <w:trPr>
          <w:divId w:val="542014197"/>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542014197"/>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NUMERATOR</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Basic:</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Diluted:</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DENOMINATOR</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Basic:</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120,796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119,909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Diluted:</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120,796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119,909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Effect of dilutive securities: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Restricted stock-based awards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624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121,420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119,909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542014197"/>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BASIC EARNINGS (LOSS) PER SHARE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0.16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542014197"/>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DILUTED EARNINGS (LOSS) PER SHARE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0.16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ind w:left="476"/>
        <w:jc w:val="both"/>
        <w:rPr>
          <w:sz w:val="20"/>
          <w:szCs w:val="20"/>
        </w:rPr>
      </w:pPr>
      <w:r>
        <w:rPr>
          <w:sz w:val="20"/>
          <w:szCs w:val="20"/>
        </w:rPr>
        <w:t>For the three months ended March 31, 2021, 0.1 million restricted stock-based awards and 1.3 million non-controlling interest - operating partnership units were excluded from the computation of diluted loss per share because they were anti-dilutive.  In ad</w:t>
      </w:r>
      <w:r>
        <w:rPr>
          <w:sz w:val="20"/>
          <w:szCs w:val="20"/>
        </w:rPr>
        <w:t xml:space="preserve">dition, approximately 0.3 million and 0.4 million of stock options were excluded from the computation of diluted earnings (loss) per share for the three months ended March 31, 2022 and 2021, respectively, because they were anti-dilutive.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77358731"/>
        </w:trPr>
        <w:tc>
          <w:tcPr>
            <w:tcW w:w="227" w:type="pct"/>
            <w:noWrap/>
            <w:hideMark/>
          </w:tcPr>
          <w:p w:rsidR="00000000" w:rsidRDefault="008206D2">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COMMITMENTS AN</w:t>
            </w:r>
            <w:r>
              <w:rPr>
                <w:b/>
                <w:bCs/>
                <w:sz w:val="20"/>
                <w:szCs w:val="20"/>
              </w:rPr>
              <w:t>D CONTINGENCIES</w:t>
            </w:r>
          </w:p>
        </w:tc>
      </w:tr>
    </w:tbl>
    <w:p w:rsidR="00000000" w:rsidRDefault="008206D2">
      <w:pPr>
        <w:pStyle w:val="a3"/>
        <w:spacing w:before="120" w:beforeAutospacing="0" w:after="0" w:afterAutospacing="0"/>
        <w:ind w:left="476"/>
        <w:jc w:val="both"/>
        <w:rPr>
          <w:b/>
          <w:bCs/>
          <w:sz w:val="20"/>
          <w:szCs w:val="20"/>
        </w:rPr>
      </w:pPr>
      <w:r>
        <w:rPr>
          <w:b/>
          <w:bCs/>
          <w:sz w:val="20"/>
          <w:szCs w:val="20"/>
        </w:rPr>
        <w:t>Legal Proceedings</w:t>
      </w:r>
    </w:p>
    <w:p w:rsidR="00000000" w:rsidRDefault="008206D2">
      <w:pPr>
        <w:pStyle w:val="a3"/>
        <w:spacing w:before="120" w:beforeAutospacing="0" w:after="0" w:afterAutospacing="0"/>
        <w:ind w:left="476"/>
        <w:jc w:val="both"/>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arising from emplo</w:t>
      </w:r>
      <w:r>
        <w:rPr>
          <w:sz w:val="20"/>
          <w:szCs w:val="20"/>
        </w:rPr>
        <w:t>yee or offender misconduct, medical malpractice, employment matters, property loss, contractual claims, including claims regarding compliance with contract performance requirements, and personal injury or other damages resulting from contact with CoreCivic</w:t>
      </w:r>
      <w:r>
        <w:rPr>
          <w:sz w:val="20"/>
          <w:szCs w:val="20"/>
        </w:rPr>
        <w:t>'s facilities, personnel or offenders, including damages arising from an offender's escape or from a disturbance at a facility.  CoreCivic maintains insurance to cover many of these claims, which may mitigate the risk that any single claim would have a mat</w:t>
      </w:r>
      <w:r>
        <w:rPr>
          <w:sz w:val="20"/>
          <w:szCs w:val="20"/>
        </w:rPr>
        <w:t>erial effect on CoreCivic's consolidated financial position, results of operations, or cash flows, provided the claim is one for which coverage is available.  The combination of self-insured retentions and deductible amounts means that, in the aggregate, C</w:t>
      </w:r>
      <w:r>
        <w:rPr>
          <w:sz w:val="20"/>
          <w:szCs w:val="20"/>
        </w:rPr>
        <w:t>oreCivic is subject to substantial self-insurance risk.  </w:t>
      </w:r>
    </w:p>
    <w:p w:rsidR="00000000" w:rsidRDefault="008206D2">
      <w:pPr>
        <w:pStyle w:val="a3"/>
        <w:spacing w:before="240" w:beforeAutospacing="0" w:after="0" w:afterAutospacing="0"/>
        <w:ind w:left="476"/>
        <w:jc w:val="both"/>
        <w:rPr>
          <w:sz w:val="20"/>
          <w:szCs w:val="20"/>
        </w:rPr>
      </w:pPr>
      <w:r>
        <w:rPr>
          <w:sz w:val="20"/>
          <w:szCs w:val="20"/>
        </w:rPr>
        <w:t xml:space="preserve">Based upon management's review of the potential claims and outstanding litigation, and based upon management's experience and history of estimating losses, and taking into consideration CoreCivic's </w:t>
      </w:r>
      <w:r>
        <w:rPr>
          <w:sz w:val="20"/>
          <w:szCs w:val="20"/>
        </w:rPr>
        <w:t>self-insured retention amounts, management believes a loss in excess of amounts already recognized would not be material to CoreCivic's financial statements.  Adversarial proceedings and litigation are, however, subject to inherent uncertainties, and unfav</w:t>
      </w:r>
      <w:r>
        <w:rPr>
          <w:sz w:val="20"/>
          <w:szCs w:val="20"/>
        </w:rPr>
        <w:t>orable decisions and rulings resulting from legal proceedings could occur which could have a material impact on CoreCivic's consolidated financial position, results of operations, or cash flows for the period in which such decisions or rulings occur, or fu</w:t>
      </w:r>
      <w:r>
        <w:rPr>
          <w:sz w:val="20"/>
          <w:szCs w:val="20"/>
        </w:rPr>
        <w:t>ture periods.  Expenses associated with legal proceedings may also fluctuate from quarter to quarter based on changes in CoreCivic's assumptions, new developments, or by the effectiveness of CoreCivic's litigation and settlement strategies.  </w:t>
      </w:r>
    </w:p>
    <w:p w:rsidR="00000000" w:rsidRDefault="008206D2">
      <w:pPr>
        <w:pStyle w:val="a3"/>
        <w:spacing w:before="240" w:beforeAutospacing="0" w:after="0" w:afterAutospacing="0"/>
        <w:jc w:val="center"/>
        <w:rPr>
          <w:sz w:val="20"/>
          <w:szCs w:val="20"/>
        </w:rPr>
      </w:pPr>
      <w:r>
        <w:rPr>
          <w:sz w:val="20"/>
          <w:szCs w:val="20"/>
        </w:rPr>
        <w:t>14</w:t>
      </w:r>
    </w:p>
    <w:p w:rsidR="00000000" w:rsidRDefault="008206D2">
      <w:pPr>
        <w:rPr>
          <w:rFonts w:eastAsia="Times New Roman"/>
        </w:rPr>
      </w:pPr>
      <w:r>
        <w:rPr>
          <w:rFonts w:eastAsia="Times New Roman"/>
        </w:rPr>
        <w:pict>
          <v:rect id="_x0000_i1040"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CoreCivic records a liability in the consolidated financial statements for loss contingencies when a loss is known or considered probable, and the amount can be reasonably estimated.  If the reasonable estimate of a known or pro</w:t>
      </w:r>
      <w:r>
        <w:rPr>
          <w:sz w:val="20"/>
          <w:szCs w:val="20"/>
        </w:rPr>
        <w:t>bable loss is a range, and no amount within the range is a better estimate than any other, the minimum amount of the range is accrued.  If a loss is reasonably possible but not known or probable, and can be reasonably estimated, the estimated loss or range</w:t>
      </w:r>
      <w:r>
        <w:rPr>
          <w:sz w:val="20"/>
          <w:szCs w:val="20"/>
        </w:rPr>
        <w:t xml:space="preserve"> of loss is disclosed.  When determining the estimated loss or range of loss, significant judgment is required to estimate the amount and timing of a loss to be recorded.  Any receivable for insurance recoveries is recorded separately from the correspondin</w:t>
      </w:r>
      <w:r>
        <w:rPr>
          <w:sz w:val="20"/>
          <w:szCs w:val="20"/>
        </w:rPr>
        <w:t>g litigation reserve, and only if recovery is determined to be probable and the amount of payment can be determined.  CoreCivic does not accrue for anticipated legal fees and costs but expenses those items as incurred.  </w:t>
      </w:r>
    </w:p>
    <w:p w:rsidR="00000000" w:rsidRDefault="008206D2">
      <w:pPr>
        <w:pStyle w:val="a3"/>
        <w:spacing w:before="360" w:beforeAutospacing="0" w:after="0" w:afterAutospacing="0"/>
        <w:ind w:left="476"/>
        <w:jc w:val="both"/>
        <w:rPr>
          <w:i/>
          <w:iCs/>
          <w:sz w:val="20"/>
          <w:szCs w:val="20"/>
        </w:rPr>
      </w:pPr>
      <w:r>
        <w:rPr>
          <w:i/>
          <w:iCs/>
          <w:sz w:val="20"/>
          <w:szCs w:val="20"/>
        </w:rPr>
        <w:t>ICE Detainee Labor and Related Matt</w:t>
      </w:r>
      <w:r>
        <w:rPr>
          <w:i/>
          <w:iCs/>
          <w:sz w:val="20"/>
          <w:szCs w:val="20"/>
        </w:rPr>
        <w:t>ers.</w:t>
      </w:r>
    </w:p>
    <w:p w:rsidR="00000000" w:rsidRDefault="008206D2">
      <w:pPr>
        <w:pStyle w:val="a3"/>
        <w:spacing w:before="120" w:beforeAutospacing="0" w:after="0" w:afterAutospacing="0"/>
        <w:ind w:left="476"/>
        <w:jc w:val="both"/>
        <w:rPr>
          <w:sz w:val="20"/>
          <w:szCs w:val="20"/>
        </w:rPr>
      </w:pPr>
      <w:r>
        <w:rPr>
          <w:sz w:val="20"/>
          <w:szCs w:val="20"/>
        </w:rPr>
        <w:t xml:space="preserve">On May 31, 2017, two former ICE detainees, who were detained at the Company's Otay Mesa Detention Center (“OMDC”) in San Diego, California, filed a class action lawsuit against the Company in the United States District Court for the Southern District </w:t>
      </w:r>
      <w:r>
        <w:rPr>
          <w:sz w:val="20"/>
          <w:szCs w:val="20"/>
        </w:rPr>
        <w:t>of California. The complaint alleged that the Company forces detainees to perform labor under threat of punishment in violation of state and federal anti-trafficking laws and that OMDC’s Voluntary Work Program (“VWP”) violates state labor laws including st</w:t>
      </w:r>
      <w:r>
        <w:rPr>
          <w:sz w:val="20"/>
          <w:szCs w:val="20"/>
        </w:rPr>
        <w:t>ate minimum wage law. ICE requires that CoreCivic offer and operate the VWP in conformance with ICE standards and ICE prescribes the minimum rate of pay for VWP participants. The Plaintiffs seek compensatory damages, exemplary damages, restitution, penalti</w:t>
      </w:r>
      <w:r>
        <w:rPr>
          <w:sz w:val="20"/>
          <w:szCs w:val="20"/>
        </w:rPr>
        <w:t>es, and interest as well as declaratory and injunctive relief on behalf of former and current detainees. On April 1, 2020, the district court certified a nationwide anti-trafficking claims class of former and current detainees at all CoreCivic ICE detentio</w:t>
      </w:r>
      <w:r>
        <w:rPr>
          <w:sz w:val="20"/>
          <w:szCs w:val="20"/>
        </w:rPr>
        <w:t>n facilities. It also certified a state law class of former and current detainees at the Company’s ICE detention facilities in California. The court did not certify any claims for injunctive or declaratory relief. On March 10, 2021, the Ninth Circuit Court</w:t>
      </w:r>
      <w:r>
        <w:rPr>
          <w:sz w:val="20"/>
          <w:szCs w:val="20"/>
        </w:rPr>
        <w:t xml:space="preserve"> of Appeals granted CoreCivic's petition to appeal the class certification ruling.  Since this case was filed, four similar lawsuits have been filed. </w:t>
      </w:r>
      <w:r>
        <w:rPr>
          <w:sz w:val="20"/>
          <w:szCs w:val="20"/>
          <w:shd w:val="clear" w:color="auto" w:fill="FFFFFF"/>
        </w:rPr>
        <w:t>A Maryland case was dismissed on September 27, 2019, and the dismissal was affirmed on appeal. Two suits f</w:t>
      </w:r>
      <w:r>
        <w:rPr>
          <w:sz w:val="20"/>
          <w:szCs w:val="20"/>
          <w:shd w:val="clear" w:color="auto" w:fill="FFFFFF"/>
        </w:rPr>
        <w:t xml:space="preserve">iled in Georgia and Texas do not allege minimum wage violations. A second </w:t>
      </w:r>
      <w:r>
        <w:rPr>
          <w:sz w:val="20"/>
          <w:szCs w:val="20"/>
        </w:rPr>
        <w:t>California suit concerning</w:t>
      </w:r>
      <w:r>
        <w:rPr>
          <w:sz w:val="20"/>
          <w:szCs w:val="20"/>
          <w:shd w:val="clear" w:color="auto" w:fill="FFFFFF"/>
        </w:rPr>
        <w:t xml:space="preserve"> the Otay Mesa facility is stayed pending class proceedings in the first. </w:t>
      </w:r>
      <w:r>
        <w:rPr>
          <w:sz w:val="20"/>
          <w:szCs w:val="20"/>
        </w:rPr>
        <w:t xml:space="preserve">The Company disputes these allegations and intends to take all necessary steps to </w:t>
      </w:r>
      <w:r>
        <w:rPr>
          <w:sz w:val="20"/>
          <w:szCs w:val="20"/>
        </w:rPr>
        <w:t>vigorously defend itself against all claims.</w:t>
      </w:r>
    </w:p>
    <w:p w:rsidR="00000000" w:rsidRDefault="008206D2">
      <w:pPr>
        <w:pStyle w:val="a3"/>
        <w:spacing w:before="240" w:beforeAutospacing="0" w:after="0" w:afterAutospacing="0"/>
        <w:ind w:left="476"/>
        <w:jc w:val="both"/>
        <w:rPr>
          <w:sz w:val="20"/>
          <w:szCs w:val="20"/>
        </w:rPr>
      </w:pPr>
      <w:r>
        <w:rPr>
          <w:sz w:val="20"/>
          <w:szCs w:val="20"/>
        </w:rPr>
        <w:t>Due to the stage of this proceeding, the Company cannot reasonably predict the outcome, nor can it estimate the amount of loss or range of loss, if any, that may result.  As a result, the Company has not recorde</w:t>
      </w:r>
      <w:r>
        <w:rPr>
          <w:sz w:val="20"/>
          <w:szCs w:val="20"/>
        </w:rPr>
        <w:t>d an accrual relating to this matter at this time, as losses are not considered probable or reasonably estimable at this stage of these lawsuits.</w:t>
      </w:r>
    </w:p>
    <w:p w:rsidR="00000000" w:rsidRDefault="008206D2">
      <w:pPr>
        <w:pStyle w:val="a3"/>
        <w:spacing w:before="360" w:beforeAutospacing="0" w:after="0" w:afterAutospacing="0"/>
        <w:ind w:left="476"/>
        <w:jc w:val="both"/>
        <w:rPr>
          <w:i/>
          <w:iCs/>
          <w:sz w:val="20"/>
          <w:szCs w:val="20"/>
        </w:rPr>
      </w:pPr>
      <w:r>
        <w:rPr>
          <w:i/>
          <w:iCs/>
          <w:sz w:val="20"/>
          <w:szCs w:val="20"/>
        </w:rPr>
        <w:t>Securities and Derivative Litigation.</w:t>
      </w:r>
    </w:p>
    <w:p w:rsidR="00000000" w:rsidRDefault="008206D2">
      <w:pPr>
        <w:pStyle w:val="a3"/>
        <w:spacing w:before="120" w:beforeAutospacing="0" w:after="0" w:afterAutospacing="0"/>
        <w:ind w:left="476"/>
        <w:jc w:val="both"/>
        <w:rPr>
          <w:sz w:val="20"/>
          <w:szCs w:val="20"/>
        </w:rPr>
      </w:pPr>
      <w:r>
        <w:rPr>
          <w:sz w:val="20"/>
          <w:szCs w:val="20"/>
        </w:rPr>
        <w:t>In a memorandum to the BOP dated August 18, 2016, the DOJ directed that,</w:t>
      </w:r>
      <w:r>
        <w:rPr>
          <w:sz w:val="20"/>
          <w:szCs w:val="20"/>
        </w:rPr>
        <w:t xml:space="preserve"> as each contract with privately operated prisons reaches the end of its term, the BOP should either decline to renew that contract or substantially reduce its scope in a manner consistent with law and the overall decline of the BOP's inmate population. Fo</w:t>
      </w:r>
      <w:r>
        <w:rPr>
          <w:sz w:val="20"/>
          <w:szCs w:val="20"/>
        </w:rPr>
        <w:t>llowing the release of the August 18, 2016 DOJ memorandum, a securities class action lawsuit was filed on August 23, 2016 against the Company and certain of its current and former officers in the United States District Court for the Middle District of Tenn</w:t>
      </w:r>
      <w:r>
        <w:rPr>
          <w:sz w:val="20"/>
          <w:szCs w:val="20"/>
        </w:rPr>
        <w:t xml:space="preserve">essee (the "District Court"), captioned </w:t>
      </w:r>
      <w:r>
        <w:rPr>
          <w:i/>
          <w:iCs/>
          <w:sz w:val="20"/>
          <w:szCs w:val="20"/>
        </w:rPr>
        <w:t>Grae v. Corrections Corporation of America et al.</w:t>
      </w:r>
      <w:r>
        <w:rPr>
          <w:sz w:val="20"/>
          <w:szCs w:val="20"/>
        </w:rPr>
        <w:t xml:space="preserve">, Case No. 3:16-cv-02267. The Company settled this lawsuit in April 2021.  </w:t>
      </w:r>
      <w:r>
        <w:rPr>
          <w:sz w:val="20"/>
          <w:szCs w:val="20"/>
        </w:rPr>
        <w:t>The settlement, which was approved by the District Court on November 8, 2021, contains no admission of liability, wrongdoing, or responsibility by any of the defendants including the Company. The Company paid the settlement amount of $56.0 million in May 2</w:t>
      </w:r>
      <w:r>
        <w:rPr>
          <w:sz w:val="20"/>
          <w:szCs w:val="20"/>
        </w:rPr>
        <w:t>021.  As a result of the settlement, the Company recognized an expense of $54.3 million during the year ended December 31, 2021 ($51.7 million of which was recognized in the first quarter of 2021), which was net of the remaining insurance available under t</w:t>
      </w:r>
      <w:r>
        <w:rPr>
          <w:sz w:val="20"/>
          <w:szCs w:val="20"/>
        </w:rPr>
        <w:t>he Company’s policies.  </w:t>
      </w:r>
    </w:p>
    <w:p w:rsidR="00000000" w:rsidRDefault="008206D2">
      <w:pPr>
        <w:pStyle w:val="a3"/>
        <w:spacing w:before="240" w:beforeAutospacing="0" w:after="0" w:afterAutospacing="0"/>
        <w:ind w:left="476"/>
        <w:jc w:val="both"/>
        <w:rPr>
          <w:sz w:val="20"/>
          <w:szCs w:val="20"/>
        </w:rPr>
      </w:pPr>
      <w:r>
        <w:rPr>
          <w:sz w:val="20"/>
          <w:szCs w:val="20"/>
        </w:rPr>
        <w:t xml:space="preserve">The </w:t>
      </w:r>
      <w:r>
        <w:rPr>
          <w:color w:val="000000"/>
          <w:sz w:val="20"/>
          <w:szCs w:val="20"/>
          <w:shd w:val="clear" w:color="auto" w:fill="FFFFFF"/>
        </w:rPr>
        <w:t xml:space="preserve">Company is also named along with several of its directors in six derivative lawsuits which raise similar allegations to those raised in the </w:t>
      </w:r>
      <w:r>
        <w:rPr>
          <w:i/>
          <w:iCs/>
          <w:color w:val="000000"/>
          <w:sz w:val="20"/>
          <w:szCs w:val="20"/>
          <w:shd w:val="clear" w:color="auto" w:fill="FFFFFF"/>
        </w:rPr>
        <w:t>Grae</w:t>
      </w:r>
      <w:r>
        <w:rPr>
          <w:color w:val="000000"/>
          <w:sz w:val="20"/>
          <w:szCs w:val="20"/>
          <w:shd w:val="clear" w:color="auto" w:fill="FFFFFF"/>
        </w:rPr>
        <w:t xml:space="preserve"> securities litigation, </w:t>
      </w:r>
      <w:r>
        <w:rPr>
          <w:sz w:val="20"/>
          <w:szCs w:val="20"/>
          <w:shd w:val="clear" w:color="auto" w:fill="FFFFFF"/>
        </w:rPr>
        <w:t xml:space="preserve">which are currently stayed by agreement of the parties. </w:t>
      </w:r>
      <w:r>
        <w:rPr>
          <w:color w:val="000000"/>
          <w:sz w:val="20"/>
          <w:szCs w:val="20"/>
          <w:shd w:val="clear" w:color="auto" w:fill="FFFFFF"/>
        </w:rPr>
        <w:t>The</w:t>
      </w:r>
      <w:r>
        <w:rPr>
          <w:color w:val="000000"/>
          <w:sz w:val="20"/>
          <w:szCs w:val="20"/>
          <w:shd w:val="clear" w:color="auto" w:fill="FFFFFF"/>
        </w:rPr>
        <w:t xml:space="preserve"> Company believes these lawsuits are entirely without merit and intends to vigorously defend against them</w:t>
      </w:r>
      <w:r>
        <w:rPr>
          <w:sz w:val="20"/>
          <w:szCs w:val="20"/>
        </w:rPr>
        <w:t xml:space="preserve">.  </w:t>
      </w:r>
    </w:p>
    <w:p w:rsidR="00000000" w:rsidRDefault="008206D2">
      <w:pPr>
        <w:pStyle w:val="a3"/>
        <w:spacing w:before="240" w:beforeAutospacing="0" w:after="0" w:afterAutospacing="0"/>
        <w:jc w:val="center"/>
        <w:rPr>
          <w:sz w:val="20"/>
          <w:szCs w:val="20"/>
        </w:rPr>
      </w:pPr>
      <w:r>
        <w:rPr>
          <w:sz w:val="20"/>
          <w:szCs w:val="20"/>
        </w:rPr>
        <w:t>15</w:t>
      </w:r>
    </w:p>
    <w:p w:rsidR="00000000" w:rsidRDefault="008206D2">
      <w:pPr>
        <w:rPr>
          <w:rFonts w:eastAsia="Times New Roman"/>
        </w:rPr>
      </w:pPr>
      <w:r>
        <w:rPr>
          <w:rFonts w:eastAsia="Times New Roman"/>
        </w:rPr>
        <w:pict>
          <v:rect id="_x0000_i1041"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88695094"/>
        </w:trPr>
        <w:tc>
          <w:tcPr>
            <w:tcW w:w="227" w:type="pct"/>
            <w:noWrap/>
            <w:hideMark/>
          </w:tcPr>
          <w:p w:rsidR="00000000" w:rsidRDefault="008206D2">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INCOME TAXES</w:t>
            </w:r>
          </w:p>
        </w:tc>
      </w:tr>
    </w:tbl>
    <w:p w:rsidR="00000000" w:rsidRDefault="008206D2">
      <w:pPr>
        <w:pStyle w:val="a3"/>
        <w:spacing w:before="120" w:beforeAutospacing="0" w:after="0" w:afterAutospacing="0"/>
        <w:ind w:left="476"/>
        <w:jc w:val="both"/>
        <w:rPr>
          <w:sz w:val="20"/>
          <w:szCs w:val="20"/>
        </w:rPr>
      </w:pPr>
      <w:r>
        <w:rPr>
          <w:sz w:val="20"/>
          <w:szCs w:val="20"/>
        </w:rPr>
        <w:t>Income taxes are accounted for under the provisions of ASC 740, "Income Taxes". ASC 740 generally requires CoreCivic to record deferred income taxes for the tax effect of differences between book and tax bases of its assets and liabilities. Deferred income</w:t>
      </w:r>
      <w:r>
        <w:rPr>
          <w:sz w:val="20"/>
          <w:szCs w:val="20"/>
        </w:rPr>
        <w:t xml:space="preserve"> taxes reflect the available net operating losses and the net tax effect of temporary differences between the carrying amounts of assets and liabilities for financial reporting purposes and the amounts used for income tax purposes using enacted tax rates i</w:t>
      </w:r>
      <w:r>
        <w:rPr>
          <w:sz w:val="20"/>
          <w:szCs w:val="20"/>
        </w:rPr>
        <w:t xml:space="preserve">n effect for the year in which the differences are expected to reverse. The effect of a change in tax rates on deferred tax assets and liabilities is recognized in the statement of operations in the period that includes the enactment date.  Realization of </w:t>
      </w:r>
      <w:r>
        <w:rPr>
          <w:sz w:val="20"/>
          <w:szCs w:val="20"/>
        </w:rPr>
        <w:t>the future tax benefits related to deferred tax assets is dependent on many factors, including CoreCivic's past earnings history, expected future earnings, the character and jurisdiction of such earnings, unsettled circumstances that, if unfavorably resolv</w:t>
      </w:r>
      <w:r>
        <w:rPr>
          <w:sz w:val="20"/>
          <w:szCs w:val="20"/>
        </w:rPr>
        <w:t>ed, would adversely affect utilization of its deferred tax assets, carryback and carryforward periods, and tax strategies that could potentially enhance the likelihood of realization of a deferred tax asset.</w:t>
      </w:r>
    </w:p>
    <w:p w:rsidR="00000000" w:rsidRDefault="008206D2">
      <w:pPr>
        <w:pStyle w:val="a3"/>
        <w:spacing w:before="240" w:beforeAutospacing="0" w:after="0" w:afterAutospacing="0"/>
        <w:ind w:left="476"/>
        <w:jc w:val="both"/>
        <w:rPr>
          <w:color w:val="000000"/>
          <w:sz w:val="20"/>
          <w:szCs w:val="20"/>
        </w:rPr>
      </w:pPr>
      <w:r>
        <w:rPr>
          <w:color w:val="000000"/>
          <w:sz w:val="20"/>
          <w:szCs w:val="20"/>
        </w:rPr>
        <w:t xml:space="preserve">As discussed in Note 1, the Company operated in </w:t>
      </w:r>
      <w:r>
        <w:rPr>
          <w:color w:val="000000"/>
          <w:sz w:val="20"/>
          <w:szCs w:val="20"/>
        </w:rPr>
        <w:t>compliance with REIT requirements for federal income tax purposes from January 1, 2013 through December 31, 2020.  During the years the Company elected REIT status, the Company was required to distribute at least 90% of its taxable income (including divide</w:t>
      </w:r>
      <w:r>
        <w:rPr>
          <w:color w:val="000000"/>
          <w:sz w:val="20"/>
          <w:szCs w:val="20"/>
        </w:rPr>
        <w:t>nds paid to it by its TRSs) and did not pay federal income taxes on the amount distributed to its stockholders.  In addition, the Company was required to meet a number of other organizational and operational requirements, which the Company continued to mee</w:t>
      </w:r>
      <w:r>
        <w:rPr>
          <w:color w:val="000000"/>
          <w:sz w:val="20"/>
          <w:szCs w:val="20"/>
        </w:rPr>
        <w:t>t through the year ended December 31, 2020.  Most states where CoreCivic holds investments in real estate conform to the federal rules recognizing REITs. Certain subsidiaries made an election with the Company to be treated as TRSs in conjunction with the C</w:t>
      </w:r>
      <w:r>
        <w:rPr>
          <w:color w:val="000000"/>
          <w:sz w:val="20"/>
          <w:szCs w:val="20"/>
        </w:rPr>
        <w:t>ompany's REIT election.  The TRS elections permitted CoreCivic to engage in certain business activities in which the REIT could not engage directly. A TRS is subject to federal and state income taxes on the income from these activities and therefore, CoreC</w:t>
      </w:r>
      <w:r>
        <w:rPr>
          <w:color w:val="000000"/>
          <w:sz w:val="20"/>
          <w:szCs w:val="20"/>
        </w:rPr>
        <w:t>ivic included a provision for taxes in its consolidated financial statements even during periods it operated as a REIT.</w:t>
      </w:r>
    </w:p>
    <w:p w:rsidR="00000000" w:rsidRDefault="008206D2">
      <w:pPr>
        <w:pStyle w:val="a3"/>
        <w:spacing w:before="240" w:beforeAutospacing="0" w:after="0" w:afterAutospacing="0"/>
        <w:ind w:left="476"/>
        <w:jc w:val="both"/>
        <w:rPr>
          <w:sz w:val="20"/>
          <w:szCs w:val="20"/>
        </w:rPr>
      </w:pPr>
      <w:r>
        <w:rPr>
          <w:sz w:val="20"/>
          <w:szCs w:val="20"/>
        </w:rPr>
        <w:t>On August 5, 2020, the Company announced that the BOD unanimously approved a plan to revoke its REIT election and become a taxable C Cor</w:t>
      </w:r>
      <w:r>
        <w:rPr>
          <w:sz w:val="20"/>
          <w:szCs w:val="20"/>
        </w:rPr>
        <w:t>poration, effective January 1, 2021.  As a result, the Company is no longer required to operate under REIT rules, including the requirement to distribute at least 90% of its taxable income to its stockholders, which provides the Company with greater flexib</w:t>
      </w:r>
      <w:r>
        <w:rPr>
          <w:sz w:val="20"/>
          <w:szCs w:val="20"/>
        </w:rPr>
        <w:t xml:space="preserve">ility to use its free cash flow.  Effective January 1, 2021, the Company became subject to federal and state income taxes on its taxable income at applicable tax rates, and is no longer entitled to a tax deduction for dividends paid. </w:t>
      </w:r>
    </w:p>
    <w:p w:rsidR="00000000" w:rsidRDefault="008206D2">
      <w:pPr>
        <w:pStyle w:val="a3"/>
        <w:spacing w:before="240" w:beforeAutospacing="0" w:after="0" w:afterAutospacing="0"/>
        <w:ind w:left="476"/>
        <w:jc w:val="both"/>
        <w:rPr>
          <w:sz w:val="20"/>
          <w:szCs w:val="20"/>
        </w:rPr>
      </w:pPr>
      <w:r>
        <w:rPr>
          <w:sz w:val="20"/>
          <w:szCs w:val="20"/>
        </w:rPr>
        <w:t>CoreCivic recorded an</w:t>
      </w:r>
      <w:r>
        <w:rPr>
          <w:sz w:val="20"/>
          <w:szCs w:val="20"/>
        </w:rPr>
        <w:t xml:space="preserve"> income tax expense of $6.6 million and $113.5 million for the three months ended March 31, 2022 and 2021, respectively.  Income tax expense for the three months ended March 31, 2021 included $114.2 million primarily resulting from the revaluation of the C</w:t>
      </w:r>
      <w:r>
        <w:rPr>
          <w:sz w:val="20"/>
          <w:szCs w:val="20"/>
        </w:rPr>
        <w:t>ompany's net deferred tax liabilities due to the completion of all significant actions necessary to revoke its REIT election. No catch-up tax payments or penalties resulted from the revocation of the Company's REIT election.   </w:t>
      </w:r>
    </w:p>
    <w:p w:rsidR="00000000" w:rsidRDefault="008206D2">
      <w:pPr>
        <w:pStyle w:val="a3"/>
        <w:spacing w:before="240" w:beforeAutospacing="0" w:after="0" w:afterAutospacing="0"/>
        <w:ind w:left="476"/>
        <w:jc w:val="both"/>
        <w:rPr>
          <w:sz w:val="20"/>
          <w:szCs w:val="20"/>
        </w:rPr>
      </w:pPr>
      <w:r>
        <w:rPr>
          <w:sz w:val="20"/>
          <w:szCs w:val="20"/>
        </w:rPr>
        <w:t>On March 27, 2020, President</w:t>
      </w:r>
      <w:r>
        <w:rPr>
          <w:sz w:val="20"/>
          <w:szCs w:val="20"/>
        </w:rPr>
        <w:t xml:space="preserve"> Trump signed into law the Coronavirus Aid, Relief and Economic Security Act (the “CARES Act”). The CARES Act, among other things, includes provisions relating to refundable payroll tax credits, deferral of employer side social security payments, net opera</w:t>
      </w:r>
      <w:r>
        <w:rPr>
          <w:sz w:val="20"/>
          <w:szCs w:val="20"/>
        </w:rPr>
        <w:t xml:space="preserve">ting loss carryback periods, alternative minimum tax credit refunds, modifications to the net interest deduction limitations and technical corrections to tax depreciation methods for qualified improvement property. The accelerated depreciation methods for </w:t>
      </w:r>
      <w:r>
        <w:rPr>
          <w:sz w:val="20"/>
          <w:szCs w:val="20"/>
        </w:rPr>
        <w:t>qualified improvement property significantly reduced the Company's taxable income and, therefore, its distribution requirement as a REIT for 2020.  During 2020, the Company deferred payment of $29.6 million of employer-side social security payments. Half o</w:t>
      </w:r>
      <w:r>
        <w:rPr>
          <w:sz w:val="20"/>
          <w:szCs w:val="20"/>
        </w:rPr>
        <w:t>f this deferred amount was paid in December 2021.   The other half, amounting to $14.8 million, will be due by December 31, 2022.</w:t>
      </w:r>
    </w:p>
    <w:p w:rsidR="00000000" w:rsidRDefault="008206D2">
      <w:pPr>
        <w:pStyle w:val="a3"/>
        <w:spacing w:before="240" w:beforeAutospacing="0" w:after="0" w:afterAutospacing="0"/>
        <w:jc w:val="center"/>
        <w:rPr>
          <w:sz w:val="20"/>
          <w:szCs w:val="20"/>
        </w:rPr>
      </w:pPr>
      <w:r>
        <w:rPr>
          <w:sz w:val="20"/>
          <w:szCs w:val="20"/>
        </w:rPr>
        <w:t>16</w:t>
      </w:r>
    </w:p>
    <w:p w:rsidR="00000000" w:rsidRDefault="008206D2">
      <w:pPr>
        <w:rPr>
          <w:rFonts w:eastAsia="Times New Roman"/>
        </w:rPr>
      </w:pPr>
      <w:r>
        <w:rPr>
          <w:rFonts w:eastAsia="Times New Roman"/>
        </w:rPr>
        <w:pict>
          <v:rect id="_x0000_i1042"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360" w:beforeAutospacing="0" w:after="0" w:afterAutospacing="0"/>
        <w:ind w:left="476"/>
        <w:jc w:val="both"/>
        <w:rPr>
          <w:b/>
          <w:bCs/>
          <w:sz w:val="20"/>
          <w:szCs w:val="20"/>
        </w:rPr>
      </w:pPr>
      <w:r>
        <w:rPr>
          <w:b/>
          <w:bCs/>
          <w:sz w:val="20"/>
          <w:szCs w:val="20"/>
        </w:rPr>
        <w:t>Income Tax Contingencies</w:t>
      </w:r>
    </w:p>
    <w:p w:rsidR="00000000" w:rsidRDefault="008206D2">
      <w:pPr>
        <w:pStyle w:val="a3"/>
        <w:spacing w:before="120" w:beforeAutospacing="0" w:after="0" w:afterAutospacing="0"/>
        <w:ind w:left="476"/>
        <w:jc w:val="both"/>
        <w:rPr>
          <w:sz w:val="20"/>
          <w:szCs w:val="20"/>
        </w:rPr>
      </w:pPr>
      <w:r>
        <w:rPr>
          <w:sz w:val="20"/>
          <w:szCs w:val="20"/>
        </w:rPr>
        <w:t xml:space="preserve">ASC 740 prescribes a recognition threshold and measurement </w:t>
      </w:r>
      <w:r>
        <w:rPr>
          <w:sz w:val="20"/>
          <w:szCs w:val="20"/>
        </w:rPr>
        <w:t xml:space="preserve">attribute for the financial statement recognition and measurement of a tax position taken or expected to be taken in a tax return. </w:t>
      </w:r>
      <w:r>
        <w:rPr>
          <w:color w:val="000000"/>
          <w:sz w:val="20"/>
          <w:szCs w:val="20"/>
        </w:rPr>
        <w:t>The guidance prescribed in ASC 740 establishes a recognition threshold of more likely than not that a tax position will be su</w:t>
      </w:r>
      <w:r>
        <w:rPr>
          <w:color w:val="000000"/>
          <w:sz w:val="20"/>
          <w:szCs w:val="20"/>
        </w:rPr>
        <w:t>stained upon examination.  The measurement attribute requires that a tax position be measured at the largest amount of benefit that is greater than 50% likely of being realized upon ultimate settlement.</w:t>
      </w:r>
    </w:p>
    <w:p w:rsidR="00000000" w:rsidRDefault="008206D2">
      <w:pPr>
        <w:pStyle w:val="a3"/>
        <w:spacing w:before="240" w:beforeAutospacing="0" w:after="0" w:afterAutospacing="0"/>
        <w:ind w:left="476"/>
        <w:jc w:val="both"/>
        <w:rPr>
          <w:sz w:val="20"/>
          <w:szCs w:val="20"/>
        </w:rPr>
      </w:pPr>
      <w:r>
        <w:rPr>
          <w:sz w:val="20"/>
          <w:szCs w:val="20"/>
        </w:rPr>
        <w:t>CoreCivic had no liabilities recorded for uncertain t</w:t>
      </w:r>
      <w:r>
        <w:rPr>
          <w:sz w:val="20"/>
          <w:szCs w:val="20"/>
        </w:rPr>
        <w:t>ax positions as of March 31, 2022 and December 31, 2021.  CoreCivic recognizes interest and penalties related to unrecognized tax positions in income tax expense. CoreCivic does not currently anticipate that the total amount of unrecognized tax positions w</w:t>
      </w:r>
      <w:r>
        <w:rPr>
          <w:sz w:val="20"/>
          <w:szCs w:val="20"/>
        </w:rPr>
        <w:t>ill significantly change in the next twelve months.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70819064"/>
        </w:trPr>
        <w:tc>
          <w:tcPr>
            <w:tcW w:w="227" w:type="pct"/>
            <w:noWrap/>
            <w:hideMark/>
          </w:tcPr>
          <w:p w:rsidR="00000000" w:rsidRDefault="008206D2">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SEGMENT REPORTING</w:t>
            </w:r>
          </w:p>
        </w:tc>
      </w:tr>
    </w:tbl>
    <w:p w:rsidR="00000000" w:rsidRDefault="008206D2">
      <w:pPr>
        <w:pStyle w:val="a3"/>
        <w:spacing w:before="120" w:beforeAutospacing="0" w:after="0" w:afterAutospacing="0"/>
        <w:ind w:left="476"/>
        <w:jc w:val="both"/>
        <w:rPr>
          <w:sz w:val="20"/>
          <w:szCs w:val="20"/>
        </w:rPr>
      </w:pPr>
      <w:r>
        <w:rPr>
          <w:sz w:val="20"/>
          <w:szCs w:val="20"/>
        </w:rPr>
        <w:t>As of March 31, 2022, CoreCivic operated 45 correctional and detention facilities, 41 of which the Company owned.  </w:t>
      </w:r>
      <w:r>
        <w:rPr>
          <w:sz w:val="20"/>
          <w:szCs w:val="20"/>
        </w:rPr>
        <w:t>In addition, CoreCivic owned and operated 24 residential reentry centers and owned 10 properties for lease to third parties.  Management views CoreCivic's operating results in three operating segments, CoreCivic Safety, CoreCivic Community, and CoreCivic P</w:t>
      </w:r>
      <w:r>
        <w:rPr>
          <w:sz w:val="20"/>
          <w:szCs w:val="20"/>
        </w:rPr>
        <w:t>roperties.  CoreCivic Safety includes the operating results of those correctional and detention facilities placed into service that were owned, or controlled via a long-term lease, and managed by CoreCivic, as well as those correctional and detention facil</w:t>
      </w:r>
      <w:r>
        <w:rPr>
          <w:sz w:val="20"/>
          <w:szCs w:val="20"/>
        </w:rPr>
        <w:t>ities owned by a third party and managed by CoreCivic.  CoreCivic Safety also includes the operating results of TransCor America, LLC, a subsidiary of the Company that provides transportation services to governmental agencies.  CoreCivic Community includes</w:t>
      </w:r>
      <w:r>
        <w:rPr>
          <w:sz w:val="20"/>
          <w:szCs w:val="20"/>
        </w:rPr>
        <w:t xml:space="preserve"> the operating results of those residential reentry centers placed into service that were owned, or controlled via a long-term lease, and managed by CoreCivic.  CoreCivic Community also includes the operating results of the Company's electronic monitoring </w:t>
      </w:r>
      <w:r>
        <w:rPr>
          <w:sz w:val="20"/>
          <w:szCs w:val="20"/>
        </w:rPr>
        <w:t>and case management services. CoreCivic Properties includes the operating results of those properties leased to third parties.  The operating performance of the three segments can be measured based on their net operating income.  CoreCivic defines facility</w:t>
      </w:r>
      <w:r>
        <w:rPr>
          <w:sz w:val="20"/>
          <w:szCs w:val="20"/>
        </w:rPr>
        <w:t xml:space="preserve"> net operating income as a facility's revenues less operating expenses.  </w:t>
      </w:r>
    </w:p>
    <w:p w:rsidR="00000000" w:rsidRDefault="008206D2">
      <w:pPr>
        <w:pStyle w:val="a3"/>
        <w:spacing w:before="240" w:beforeAutospacing="0" w:after="0" w:afterAutospacing="0"/>
        <w:jc w:val="center"/>
        <w:rPr>
          <w:sz w:val="20"/>
          <w:szCs w:val="20"/>
        </w:rPr>
      </w:pPr>
      <w:r>
        <w:rPr>
          <w:sz w:val="20"/>
          <w:szCs w:val="20"/>
        </w:rPr>
        <w:t>17</w:t>
      </w:r>
    </w:p>
    <w:p w:rsidR="00000000" w:rsidRDefault="008206D2">
      <w:pPr>
        <w:rPr>
          <w:rFonts w:eastAsia="Times New Roman"/>
        </w:rPr>
      </w:pPr>
      <w:r>
        <w:rPr>
          <w:rFonts w:eastAsia="Times New Roman"/>
        </w:rPr>
        <w:pict>
          <v:rect id="_x0000_i1043"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ind w:left="476"/>
        <w:jc w:val="both"/>
        <w:rPr>
          <w:sz w:val="20"/>
          <w:szCs w:val="20"/>
        </w:rPr>
      </w:pPr>
      <w:r>
        <w:rPr>
          <w:sz w:val="20"/>
          <w:szCs w:val="20"/>
        </w:rPr>
        <w:t xml:space="preserve">The revenue and facility net operating income for each of the three segments and a reconciliation to CoreCivic's income before income taxes </w:t>
      </w:r>
      <w:r>
        <w:rPr>
          <w:sz w:val="20"/>
          <w:szCs w:val="20"/>
        </w:rPr>
        <w:t>is as follows for the three months ended March 31, 2022 and 2021 (in thousands):</w:t>
      </w:r>
    </w:p>
    <w:p w:rsidR="00000000" w:rsidRDefault="008206D2">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1532839798"/>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32839798"/>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Revenue: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414,248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409,769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24,115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23,658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14,591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21,255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segment revenue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452,954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454,682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expenses: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321,021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305,427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20,227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21,100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3,282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6,274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segment operating expenses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344,530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332,801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Facility net operating income: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93,227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104,342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3,888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2,558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11,309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14,981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facility net operating income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108,424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121,881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Other revenue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Other revenue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Other operating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(31,101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(29,530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(32,028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(32,712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Shareholder litigation expense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(51,745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Asset impairments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(22,920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(18,428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Gain on sale of real estate assets, net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2,261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283979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Other income (expense)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1,042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3283979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Income (loss) before income taxes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25,613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(12,037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0" w:beforeAutospacing="0" w:after="0" w:afterAutospacing="0"/>
        <w:ind w:left="476"/>
        <w:jc w:val="both"/>
        <w:rPr>
          <w:sz w:val="20"/>
          <w:szCs w:val="20"/>
        </w:rPr>
      </w:pPr>
      <w:r>
        <w:rPr>
          <w:sz w:val="20"/>
          <w:szCs w:val="20"/>
        </w:rPr>
        <w:t> </w:t>
      </w:r>
    </w:p>
    <w:p w:rsidR="00000000" w:rsidRDefault="008206D2">
      <w:pPr>
        <w:pStyle w:val="a3"/>
        <w:spacing w:before="0" w:beforeAutospacing="0" w:after="0" w:afterAutospacing="0"/>
        <w:ind w:left="476"/>
        <w:jc w:val="both"/>
        <w:rPr>
          <w:sz w:val="20"/>
          <w:szCs w:val="20"/>
        </w:rPr>
      </w:pPr>
      <w:r>
        <w:rPr>
          <w:sz w:val="20"/>
          <w:szCs w:val="20"/>
        </w:rPr>
        <w:t>The following table summarizes capital expenditures including accrued amounts for the three months ended March 31, 2022 and 2021 (in thousands):</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trPr>
          <w:divId w:val="1537229734"/>
        </w:trPr>
        <w:tc>
          <w:tcPr>
            <w:tcW w:w="334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37229734"/>
        </w:trPr>
        <w:tc>
          <w:tcPr>
            <w:tcW w:w="334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37229734"/>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Capital expenditures:</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7229734"/>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Safety</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14,327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5,523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7229734"/>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Community</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272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590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7229734"/>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Properties</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1,015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7229734"/>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Corporate and other</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8,518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37229734"/>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capital expenditures</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15,615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15,646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ind w:left="476"/>
        <w:jc w:val="both"/>
        <w:rPr>
          <w:sz w:val="20"/>
          <w:szCs w:val="20"/>
        </w:rPr>
      </w:pPr>
      <w:r>
        <w:rPr>
          <w:sz w:val="20"/>
          <w:szCs w:val="20"/>
        </w:rPr>
        <w:t>The total assets are as follows (in thousands):</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1547521134"/>
        </w:trPr>
        <w:tc>
          <w:tcPr>
            <w:tcW w:w="287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March 31, 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47521134"/>
        </w:trPr>
        <w:tc>
          <w:tcPr>
            <w:tcW w:w="287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47521134"/>
        </w:trPr>
        <w:tc>
          <w:tcPr>
            <w:tcW w:w="287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2,480,104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2,532,319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47521134"/>
        </w:trPr>
        <w:tc>
          <w:tcPr>
            <w:tcW w:w="287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221,391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233,179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47521134"/>
        </w:trPr>
        <w:tc>
          <w:tcPr>
            <w:tcW w:w="287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374,144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352,681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47521134"/>
        </w:trPr>
        <w:tc>
          <w:tcPr>
            <w:tcW w:w="287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453,913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380,759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47521134"/>
        </w:trPr>
        <w:tc>
          <w:tcPr>
            <w:tcW w:w="287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3,529,552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3,498,938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3"/>
          <w:szCs w:val="23"/>
        </w:rPr>
      </w:pPr>
      <w:r>
        <w:rPr>
          <w:sz w:val="23"/>
          <w:szCs w:val="23"/>
        </w:rPr>
        <w:t> </w:t>
      </w:r>
    </w:p>
    <w:p w:rsidR="00000000" w:rsidRDefault="008206D2">
      <w:pPr>
        <w:pStyle w:val="a3"/>
        <w:spacing w:before="240" w:beforeAutospacing="0" w:after="0" w:afterAutospacing="0"/>
        <w:jc w:val="center"/>
        <w:rPr>
          <w:sz w:val="20"/>
          <w:szCs w:val="20"/>
        </w:rPr>
      </w:pPr>
      <w:r>
        <w:rPr>
          <w:sz w:val="20"/>
          <w:szCs w:val="20"/>
        </w:rPr>
        <w:t>18</w:t>
      </w:r>
    </w:p>
    <w:p w:rsidR="00000000" w:rsidRDefault="008206D2">
      <w:pPr>
        <w:rPr>
          <w:rFonts w:eastAsia="Times New Roman"/>
        </w:rPr>
      </w:pPr>
      <w:r>
        <w:rPr>
          <w:rFonts w:eastAsia="Times New Roman"/>
        </w:rPr>
        <w:pict>
          <v:rect id="_x0000_i1044"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both"/>
        <w:rPr>
          <w:b/>
          <w:bCs/>
          <w:sz w:val="20"/>
          <w:szCs w:val="20"/>
        </w:rPr>
      </w:pPr>
      <w:r>
        <w:rPr>
          <w:b/>
          <w:bCs/>
          <w:sz w:val="20"/>
          <w:szCs w:val="20"/>
        </w:rPr>
        <w:t>ITEM 2.MANAGEMENT'S DISCUSSION AND ANALYSIS OF FINANCIAL CONDITION AND RESULTS OF OPERATIONS.</w:t>
      </w:r>
    </w:p>
    <w:p w:rsidR="00000000" w:rsidRDefault="008206D2">
      <w:pPr>
        <w:pStyle w:val="a3"/>
        <w:spacing w:before="120" w:beforeAutospacing="0" w:after="0" w:afterAutospacing="0"/>
        <w:jc w:val="both"/>
        <w:rPr>
          <w:spacing w:val="-2"/>
          <w:sz w:val="20"/>
          <w:szCs w:val="20"/>
        </w:rPr>
      </w:pPr>
      <w:r>
        <w:rPr>
          <w:spacing w:val="-2"/>
          <w:sz w:val="20"/>
          <w:szCs w:val="20"/>
        </w:rPr>
        <w:t>The following discussion should be read in conjunction with the financial statements and notes thereto appearing elsewhere</w:t>
      </w:r>
      <w:r>
        <w:rPr>
          <w:spacing w:val="-2"/>
          <w:sz w:val="20"/>
          <w:szCs w:val="20"/>
        </w:rPr>
        <w:t xml:space="preserve"> in this quarterly report on Form 10-Q, or Quarterly Report.  </w:t>
      </w:r>
      <w:r>
        <w:rPr>
          <w:rFonts w:ascii="Calibri" w:hAnsi="Calibri" w:cs="Calibri"/>
          <w:spacing w:val="-2"/>
          <w:sz w:val="20"/>
          <w:szCs w:val="20"/>
        </w:rPr>
        <w:t xml:space="preserve">In this Quarterly Report we use the terms, the </w:t>
      </w:r>
      <w:r>
        <w:rPr>
          <w:spacing w:val="-2"/>
          <w:sz w:val="20"/>
          <w:szCs w:val="20"/>
        </w:rPr>
        <w:t>"</w:t>
      </w:r>
      <w:r>
        <w:rPr>
          <w:rFonts w:ascii="Calibri" w:hAnsi="Calibri" w:cs="Calibri"/>
          <w:spacing w:val="-2"/>
          <w:sz w:val="20"/>
          <w:szCs w:val="20"/>
        </w:rPr>
        <w:t>Company,</w:t>
      </w:r>
      <w:r>
        <w:rPr>
          <w:spacing w:val="-2"/>
          <w:sz w:val="20"/>
          <w:szCs w:val="20"/>
        </w:rPr>
        <w:t>"</w:t>
      </w:r>
      <w:r>
        <w:rPr>
          <w:rFonts w:ascii="Calibri" w:hAnsi="Calibri" w:cs="Calibri"/>
          <w:spacing w:val="-2"/>
          <w:sz w:val="20"/>
          <w:szCs w:val="20"/>
        </w:rPr>
        <w:t xml:space="preserve"> </w:t>
      </w:r>
      <w:r>
        <w:rPr>
          <w:spacing w:val="-2"/>
          <w:sz w:val="20"/>
          <w:szCs w:val="20"/>
        </w:rPr>
        <w:t>"</w:t>
      </w:r>
      <w:r>
        <w:rPr>
          <w:rFonts w:ascii="Calibri" w:hAnsi="Calibri" w:cs="Calibri"/>
          <w:spacing w:val="-2"/>
          <w:sz w:val="20"/>
          <w:szCs w:val="20"/>
        </w:rPr>
        <w:t>CoreCivic,</w:t>
      </w:r>
      <w:r>
        <w:rPr>
          <w:spacing w:val="-2"/>
          <w:sz w:val="20"/>
          <w:szCs w:val="20"/>
        </w:rPr>
        <w:t>"</w:t>
      </w:r>
      <w:r>
        <w:rPr>
          <w:rFonts w:ascii="Calibri" w:hAnsi="Calibri" w:cs="Calibri"/>
          <w:spacing w:val="-2"/>
          <w:sz w:val="20"/>
          <w:szCs w:val="20"/>
        </w:rPr>
        <w:t xml:space="preserve"> </w:t>
      </w:r>
      <w:r>
        <w:rPr>
          <w:spacing w:val="-2"/>
          <w:sz w:val="20"/>
          <w:szCs w:val="20"/>
        </w:rPr>
        <w:t>"</w:t>
      </w:r>
      <w:r>
        <w:rPr>
          <w:rFonts w:ascii="Calibri" w:hAnsi="Calibri" w:cs="Calibri"/>
          <w:spacing w:val="-2"/>
          <w:sz w:val="20"/>
          <w:szCs w:val="20"/>
        </w:rPr>
        <w:t>we,</w:t>
      </w:r>
      <w:r>
        <w:rPr>
          <w:spacing w:val="-2"/>
          <w:sz w:val="20"/>
          <w:szCs w:val="20"/>
        </w:rPr>
        <w:t>"</w:t>
      </w:r>
      <w:r>
        <w:rPr>
          <w:rFonts w:ascii="Calibri" w:hAnsi="Calibri" w:cs="Calibri"/>
          <w:spacing w:val="-2"/>
          <w:sz w:val="20"/>
          <w:szCs w:val="20"/>
        </w:rPr>
        <w:t xml:space="preserve"> </w:t>
      </w:r>
      <w:r>
        <w:rPr>
          <w:spacing w:val="-2"/>
          <w:sz w:val="20"/>
          <w:szCs w:val="20"/>
        </w:rPr>
        <w:t>"</w:t>
      </w:r>
      <w:r>
        <w:rPr>
          <w:rFonts w:ascii="Calibri" w:hAnsi="Calibri" w:cs="Calibri"/>
          <w:spacing w:val="-2"/>
          <w:sz w:val="20"/>
          <w:szCs w:val="20"/>
        </w:rPr>
        <w:t>us,</w:t>
      </w:r>
      <w:r>
        <w:rPr>
          <w:spacing w:val="-2"/>
          <w:sz w:val="20"/>
          <w:szCs w:val="20"/>
        </w:rPr>
        <w:t>"</w:t>
      </w:r>
      <w:r>
        <w:rPr>
          <w:rFonts w:ascii="Calibri" w:hAnsi="Calibri" w:cs="Calibri"/>
          <w:spacing w:val="-2"/>
          <w:sz w:val="20"/>
          <w:szCs w:val="20"/>
        </w:rPr>
        <w:t xml:space="preserve"> and </w:t>
      </w:r>
      <w:r>
        <w:rPr>
          <w:spacing w:val="-2"/>
          <w:sz w:val="20"/>
          <w:szCs w:val="20"/>
        </w:rPr>
        <w:t>"</w:t>
      </w:r>
      <w:r>
        <w:rPr>
          <w:rFonts w:ascii="Calibri" w:hAnsi="Calibri" w:cs="Calibri"/>
          <w:spacing w:val="-2"/>
          <w:sz w:val="20"/>
          <w:szCs w:val="20"/>
        </w:rPr>
        <w:t>our</w:t>
      </w:r>
      <w:r>
        <w:rPr>
          <w:spacing w:val="-2"/>
          <w:sz w:val="20"/>
          <w:szCs w:val="20"/>
        </w:rPr>
        <w:t>"</w:t>
      </w:r>
      <w:r>
        <w:rPr>
          <w:rFonts w:ascii="Calibri" w:hAnsi="Calibri" w:cs="Calibri"/>
          <w:spacing w:val="-2"/>
          <w:sz w:val="20"/>
          <w:szCs w:val="20"/>
        </w:rPr>
        <w:t xml:space="preserve"> to refer to CoreCivic, Inc. and its subsidiaries unless context indicates otherwise. </w:t>
      </w:r>
    </w:p>
    <w:p w:rsidR="00000000" w:rsidRDefault="008206D2">
      <w:pPr>
        <w:pStyle w:val="a3"/>
        <w:spacing w:before="240" w:beforeAutospacing="0" w:after="0" w:afterAutospacing="0"/>
        <w:jc w:val="both"/>
        <w:rPr>
          <w:sz w:val="20"/>
          <w:szCs w:val="20"/>
        </w:rPr>
      </w:pPr>
      <w:r>
        <w:rPr>
          <w:sz w:val="20"/>
          <w:szCs w:val="20"/>
        </w:rPr>
        <w:t xml:space="preserve">This Quarterly </w:t>
      </w:r>
      <w:r>
        <w:rPr>
          <w:sz w:val="20"/>
          <w:szCs w:val="20"/>
        </w:rPr>
        <w:t xml:space="preserve">Report contains statements as to our beliefs and expectations of the outcome of future events that are forward-looking statements as defined within the meaning of the Private Securities Litigation Reform Act of 1995, as amended.  All statements other than </w:t>
      </w:r>
      <w:r>
        <w:rPr>
          <w:sz w:val="20"/>
          <w:szCs w:val="20"/>
        </w:rPr>
        <w:t>statements of current or historical fact contained herein, including statements regarding our future financial position, business strategy, budgets, projected costs and plans, and objectives of management for future operations, are forward-looking statemen</w:t>
      </w:r>
      <w:r>
        <w:rPr>
          <w:sz w:val="20"/>
          <w:szCs w:val="20"/>
        </w:rPr>
        <w:t>ts.  The words "anticipate," "believe," "continue," "could," "estimate," "expect," "intend," "may," "plan," "projects," "will," and similar expressions, as they relate to us, are intended to identify forward-looking statements.  These forward-looking state</w:t>
      </w:r>
      <w:r>
        <w:rPr>
          <w:sz w:val="20"/>
          <w:szCs w:val="20"/>
        </w:rPr>
        <w:t>ments are subject to risks and uncertainties that could cause actual results to differ materially from the statements made.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52899410"/>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changes in government policy (including the</w:t>
            </w:r>
            <w:r>
              <w:rPr>
                <w:color w:val="000000"/>
                <w:sz w:val="20"/>
                <w:szCs w:val="20"/>
              </w:rPr>
              <w:t xml:space="preserve"> United States Department of Justice, or DOJ, not renewing contracts as a result of President Biden’s Executive Order on Reforming Our Incarceration System to Eliminate the Use of Privately Operated Criminal Detention Facilities, or the Private Prison EO) </w:t>
            </w:r>
            <w:r>
              <w:rPr>
                <w:color w:val="000000"/>
                <w:sz w:val="20"/>
                <w:szCs w:val="20"/>
              </w:rPr>
              <w:t>(two agencies of the DOJ, the United States Federal Bureau of Prisons, or BOP, and the United States Marshals Service, or USMS, utilize our services), legislation and regulations that affect utilization of the private sector for corrections, detention, and</w:t>
            </w:r>
            <w:r>
              <w:rPr>
                <w:color w:val="000000"/>
                <w:sz w:val="20"/>
                <w:szCs w:val="20"/>
              </w:rPr>
              <w:t xml:space="preserve"> residential reentry services, in general, or our business, in particular, including, but not limited to, the continued utilization of our correctional and detention facilities by the federal government, and the impact of any changes to immigration reform </w:t>
            </w:r>
            <w:r>
              <w:rPr>
                <w:color w:val="000000"/>
                <w:sz w:val="20"/>
                <w:szCs w:val="20"/>
              </w:rPr>
              <w:t xml:space="preserve">and sentencing laws (we do not, under longstanding policy, lobby for or against policies or legislation that would determine the basis for, or duration of, an individual's incarceration or detention);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our ability to obtain and maintain correctional,</w:t>
            </w:r>
            <w:r>
              <w:rPr>
                <w:color w:val="000000"/>
                <w:sz w:val="20"/>
                <w:szCs w:val="20"/>
              </w:rPr>
              <w:t xml:space="preserve"> detention, and residential reentry facility management contracts because of reasons including, but not limited to, sufficient governmental appropriations, contract compliance, negative publicity and effects of inmate disturbances;</w:t>
            </w:r>
          </w:p>
        </w:tc>
      </w:tr>
    </w:tbl>
    <w:p w:rsidR="00000000" w:rsidRDefault="008206D2">
      <w:pPr>
        <w:divId w:val="125370587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53705878"/>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changes in the privatization of the corrections and detention industry, the acceptance of our services, the timing of the opening of new facilities and the commencement of new management contracts (including the extent and pace at which new contracts are u</w:t>
            </w:r>
            <w:r>
              <w:rPr>
                <w:color w:val="000000"/>
                <w:sz w:val="20"/>
                <w:szCs w:val="20"/>
              </w:rPr>
              <w:t>tilized),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general economic and market conditions, including, but not limited to, the impact governmental budgets can have on our contract renewals and renegotiations, per diem rates, and occupancy;</w:t>
            </w:r>
          </w:p>
        </w:tc>
      </w:tr>
    </w:tbl>
    <w:p w:rsidR="00000000" w:rsidRDefault="008206D2">
      <w:pPr>
        <w:divId w:val="185985107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59851071"/>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fluctuations in our operating results because of, among other things, changes in occupancy levels; competition; contract renegotiations or terminations; inflation and other increases in costs of operations, including a continuing rise in labor costs; f</w:t>
            </w:r>
            <w:r>
              <w:rPr>
                <w:color w:val="000000"/>
                <w:sz w:val="20"/>
                <w:szCs w:val="20"/>
              </w:rPr>
              <w:t>luctuations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the duration of the federal government's denial of entry at the United States southern border to asylum-seekers and anyone crossing the southern border without proper documentation or authority i</w:t>
            </w:r>
            <w:r>
              <w:rPr>
                <w:color w:val="000000"/>
                <w:sz w:val="20"/>
                <w:szCs w:val="20"/>
              </w:rPr>
              <w:t>n an effort to contain the spread of the novel coronavirus and related variants, or COVID-19, a policy known as Title 42 (as further described hereinafter, on April 1, 2022, the Center for Disease Control and Prevention, or CDC, terminated Title 42, and be</w:t>
            </w:r>
            <w:r>
              <w:rPr>
                <w:color w:val="000000"/>
                <w:sz w:val="20"/>
                <w:szCs w:val="20"/>
              </w:rPr>
              <w:t>gan preparing for a resumption of regular migration at the United States southern border, effective May 23, 2022; however, on  April 25, 2022, a federal judge issued a temporary restraining order blocking the termination of Title 42 (the new hearing on Tit</w:t>
            </w:r>
            <w:r>
              <w:rPr>
                <w:color w:val="000000"/>
                <w:sz w:val="20"/>
                <w:szCs w:val="20"/>
              </w:rPr>
              <w:t>le 42 is currently scheduled for May 13, 2022));</w:t>
            </w:r>
          </w:p>
        </w:tc>
      </w:tr>
    </w:tbl>
    <w:p w:rsidR="00000000" w:rsidRDefault="008206D2">
      <w:pPr>
        <w:divId w:val="103418750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034187503"/>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government and staff responses to staff or residents testing positive for COVID-19 within public and private correctional, detention and reentry facilities, including the facilities we operate;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 xml:space="preserve">restrictions associated with COVID-19 that disrupt the criminal justice system, along with government policies on prosecutions and newly ordered legal restrictions that affect the number of people placed in correctional, detention, and reentry facilities, </w:t>
            </w:r>
            <w:r>
              <w:rPr>
                <w:color w:val="000000"/>
                <w:sz w:val="20"/>
                <w:szCs w:val="20"/>
              </w:rPr>
              <w:t>including those associated with a resurgence of COVID-19;</w:t>
            </w:r>
          </w:p>
        </w:tc>
      </w:tr>
    </w:tbl>
    <w:p w:rsidR="00000000" w:rsidRDefault="008206D2">
      <w:pPr>
        <w:divId w:val="157450958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74509588"/>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whether revoking our real estate investment trust, or REIT, election, effective January 1, 2021, and our revised capital allocation strategy can be implemented in a cost effective manner that provides the expected benefits, including facilitating our plann</w:t>
            </w:r>
            <w:r>
              <w:rPr>
                <w:color w:val="000000"/>
                <w:sz w:val="20"/>
                <w:szCs w:val="20"/>
              </w:rPr>
              <w:t>ed debt reduction initiative and planned return of capital to shareholders;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our ability to successfully identify and consummate future development and acquisition opportunities and realize projected returns resulting therefrom;</w:t>
            </w:r>
          </w:p>
        </w:tc>
      </w:tr>
    </w:tbl>
    <w:p w:rsidR="00000000" w:rsidRDefault="008206D2">
      <w:pPr>
        <w:divId w:val="99078905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90789054"/>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our ability to h</w:t>
            </w:r>
            <w:r>
              <w:rPr>
                <w:color w:val="000000"/>
                <w:sz w:val="20"/>
                <w:szCs w:val="20"/>
              </w:rPr>
              <w:t>ave met and maintained qualification for taxation as a REIT for the years we elected REIT status; and</w:t>
            </w:r>
          </w:p>
        </w:tc>
      </w:tr>
    </w:tbl>
    <w:p w:rsidR="00000000" w:rsidRDefault="008206D2">
      <w:pPr>
        <w:pStyle w:val="a3"/>
        <w:spacing w:before="240" w:beforeAutospacing="0" w:after="0" w:afterAutospacing="0"/>
        <w:jc w:val="center"/>
        <w:rPr>
          <w:sz w:val="20"/>
          <w:szCs w:val="20"/>
        </w:rPr>
      </w:pPr>
      <w:r>
        <w:rPr>
          <w:sz w:val="20"/>
          <w:szCs w:val="20"/>
        </w:rPr>
        <w:t>19</w:t>
      </w:r>
    </w:p>
    <w:p w:rsidR="00000000" w:rsidRDefault="008206D2">
      <w:pPr>
        <w:rPr>
          <w:rFonts w:eastAsia="Times New Roman"/>
        </w:rPr>
      </w:pPr>
      <w:r>
        <w:rPr>
          <w:rFonts w:eastAsia="Times New Roman"/>
        </w:rPr>
        <w:pict>
          <v:rect id="_x0000_i1045"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599335221"/>
        </w:trPr>
        <w:tc>
          <w:tcPr>
            <w:tcW w:w="227" w:type="pct"/>
            <w:noWrap/>
            <w:hideMark/>
          </w:tcPr>
          <w:p w:rsidR="00000000" w:rsidRDefault="008206D2">
            <w:pPr>
              <w:pStyle w:val="a3"/>
              <w:spacing w:before="120" w:beforeAutospacing="0" w:after="0" w:afterAutospacing="0"/>
              <w:jc w:val="both"/>
            </w:pPr>
            <w:r>
              <w:t> </w:t>
            </w:r>
          </w:p>
        </w:tc>
        <w:tc>
          <w:tcPr>
            <w:tcW w:w="227"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the availability of debt and equity financing on terms that are favorable to us, or at all, including our ability to refinance our Bank Credit Facility, which matures in April 2023.</w:t>
            </w:r>
          </w:p>
        </w:tc>
      </w:tr>
    </w:tbl>
    <w:p w:rsidR="00000000" w:rsidRDefault="008206D2">
      <w:pPr>
        <w:pStyle w:val="a3"/>
        <w:spacing w:before="240" w:beforeAutospacing="0" w:after="0" w:afterAutospacing="0"/>
        <w:jc w:val="both"/>
        <w:rPr>
          <w:sz w:val="20"/>
          <w:szCs w:val="20"/>
        </w:rPr>
      </w:pPr>
      <w:r>
        <w:rPr>
          <w:sz w:val="20"/>
          <w:szCs w:val="20"/>
        </w:rPr>
        <w:t>Any or all of our forward-loo</w:t>
      </w:r>
      <w:r>
        <w:rPr>
          <w:sz w:val="20"/>
          <w:szCs w:val="20"/>
        </w:rPr>
        <w:t>king statements in this Quarterly Report may turn out to be inaccurate. We have based these forward-looking statements largely on our current expectations and projections about future events and financial trends that we believe may affect our financial con</w:t>
      </w:r>
      <w:r>
        <w:rPr>
          <w:sz w:val="20"/>
          <w:szCs w:val="20"/>
        </w:rPr>
        <w:t xml:space="preserve">dition, results of operations, business strategy, and financial needs.  Our statements can be affected by inaccurate assumptions we might make or by known or unknown risks, uncertainties and assumptions, including the risks, uncertainties, and assumptions </w:t>
      </w:r>
      <w:r>
        <w:rPr>
          <w:sz w:val="20"/>
          <w:szCs w:val="20"/>
        </w:rPr>
        <w:t>described in our Annual Report on Form 10-K for the year ended December 31, 2021 filed with the Securities and Exchange Commission, or the SEC, on February 18, 2022, or the 2021 Form 10-K, and in other reports, documents, and other information we file with</w:t>
      </w:r>
      <w:r>
        <w:rPr>
          <w:sz w:val="20"/>
          <w:szCs w:val="20"/>
        </w:rPr>
        <w:t xml:space="preserve"> the SEC from time to time.  Readers are cautioned not to place undue reliance on these forward-looking statements, which speak only as of the date hereof.  New risks and uncertainties arise from time to time, and it is impossible for us to predict these e</w:t>
      </w:r>
      <w:r>
        <w:rPr>
          <w:sz w:val="20"/>
          <w:szCs w:val="20"/>
        </w:rPr>
        <w:t>vents or how they may affect us. We undertake no obligation to publicly update or revise any forward-looking statements made in this Quarterly Report, except as may be required by law. All subsequent written and oral forward-looking statements attributable</w:t>
      </w:r>
      <w:r>
        <w:rPr>
          <w:sz w:val="20"/>
          <w:szCs w:val="20"/>
        </w:rPr>
        <w:t xml:space="preserve"> to us or persons acting on our behalf are expressly qualified in their entirety by the cautionary statements.</w:t>
      </w:r>
    </w:p>
    <w:p w:rsidR="00000000" w:rsidRDefault="008206D2">
      <w:pPr>
        <w:pStyle w:val="a3"/>
        <w:spacing w:before="360" w:beforeAutospacing="0" w:after="0" w:afterAutospacing="0"/>
        <w:jc w:val="both"/>
        <w:rPr>
          <w:b/>
          <w:bCs/>
          <w:sz w:val="20"/>
          <w:szCs w:val="20"/>
        </w:rPr>
      </w:pPr>
      <w:r>
        <w:rPr>
          <w:b/>
          <w:bCs/>
          <w:sz w:val="20"/>
          <w:szCs w:val="20"/>
        </w:rPr>
        <w:t>OVERVIEW</w:t>
      </w:r>
    </w:p>
    <w:p w:rsidR="00000000" w:rsidRDefault="008206D2">
      <w:pPr>
        <w:pStyle w:val="a3"/>
        <w:spacing w:before="120" w:beforeAutospacing="0" w:after="0" w:afterAutospacing="0"/>
        <w:jc w:val="both"/>
        <w:rPr>
          <w:b/>
          <w:bCs/>
          <w:sz w:val="20"/>
          <w:szCs w:val="20"/>
        </w:rPr>
      </w:pPr>
      <w:r>
        <w:rPr>
          <w:b/>
          <w:bCs/>
          <w:sz w:val="20"/>
          <w:szCs w:val="20"/>
        </w:rPr>
        <w:t>The Company</w:t>
      </w:r>
    </w:p>
    <w:p w:rsidR="00000000" w:rsidRDefault="008206D2">
      <w:pPr>
        <w:pStyle w:val="a3"/>
        <w:spacing w:before="120" w:beforeAutospacing="0" w:after="0" w:afterAutospacing="0"/>
        <w:jc w:val="both"/>
        <w:rPr>
          <w:sz w:val="20"/>
          <w:szCs w:val="20"/>
        </w:rPr>
      </w:pPr>
      <w:r>
        <w:rPr>
          <w:sz w:val="20"/>
          <w:szCs w:val="20"/>
        </w:rPr>
        <w:t xml:space="preserve">We are a diversified government solutions company with the scale and experience needed to solve tough government challenges </w:t>
      </w:r>
      <w:r>
        <w:rPr>
          <w:sz w:val="20"/>
          <w:szCs w:val="20"/>
        </w:rPr>
        <w:t>in flexible, cost-effective ways.  Through three segments, CoreCivic Safety, CoreCivic Community, and CoreCivic Properties, we provide a broad range of solutions to government partners that serve the public good through corrections and detention management</w:t>
      </w:r>
      <w:r>
        <w:rPr>
          <w:sz w:val="20"/>
          <w:szCs w:val="20"/>
        </w:rPr>
        <w:t>, a network of residential reentry centers to help address America's recidivism crisis, and government real estate solutions.  We have been a flexible and dependable partner for government for nearly 40 years.  Our employees are driven by a deep sense of s</w:t>
      </w:r>
      <w:r>
        <w:rPr>
          <w:sz w:val="20"/>
          <w:szCs w:val="20"/>
        </w:rPr>
        <w:t>ervice, high standards of professionalism and a responsibility to help government better the public good.</w:t>
      </w:r>
    </w:p>
    <w:p w:rsidR="00000000" w:rsidRDefault="008206D2">
      <w:pPr>
        <w:pStyle w:val="a3"/>
        <w:spacing w:before="240" w:beforeAutospacing="0" w:after="0" w:afterAutospacing="0"/>
        <w:jc w:val="both"/>
        <w:rPr>
          <w:sz w:val="20"/>
          <w:szCs w:val="20"/>
        </w:rPr>
      </w:pPr>
      <w:r>
        <w:rPr>
          <w:sz w:val="20"/>
          <w:szCs w:val="20"/>
        </w:rPr>
        <w:t>We are the nation's largest owner of partnership correctional, detention, and residential reentry facilities and one of the largest prison operators i</w:t>
      </w:r>
      <w:r>
        <w:rPr>
          <w:sz w:val="20"/>
          <w:szCs w:val="20"/>
        </w:rPr>
        <w:t>n the United States.  We also believe we are the largest private owner of real estate used by government agencies in the U.S. As of March 31, 2022, through our CoreCivic Safety segment, we operated 45 correctional and detention facilities, 41 of which we o</w:t>
      </w:r>
      <w:r>
        <w:rPr>
          <w:sz w:val="20"/>
          <w:szCs w:val="20"/>
        </w:rPr>
        <w:t>wned, with a total design capacity of approximately 68,000 beds. Through our CoreCivic Community segment, we owned and operated 24 residential reentry centers with a total design capacity of approximately 5,000 beds.  In addition, through our CoreCivic Pro</w:t>
      </w:r>
      <w:r>
        <w:rPr>
          <w:sz w:val="20"/>
          <w:szCs w:val="20"/>
        </w:rPr>
        <w:t>perties segment, we owned 10 properties for lease to third parties and used by government agencies, totaling 1.8 million square feet.  </w:t>
      </w:r>
    </w:p>
    <w:p w:rsidR="00000000" w:rsidRDefault="008206D2">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w:t>
      </w:r>
      <w:r>
        <w:rPr>
          <w:sz w:val="20"/>
          <w:szCs w:val="20"/>
        </w:rPr>
        <w:t>es offer a variety of rehabilitation and educational programs, including basic education, faith-based services, life skills and employment training, and substance abuse treatment.  These services are intended to help reduce recidivism and to prepare offend</w:t>
      </w:r>
      <w:r>
        <w:rPr>
          <w:sz w:val="20"/>
          <w:szCs w:val="20"/>
        </w:rPr>
        <w:t xml:space="preserve">ers for their successful reentry into society upon their release.  We also provide or make available to offenders certain health care (including medical, dental, and mental health services), food services, and work and recreational programs. </w:t>
      </w:r>
    </w:p>
    <w:p w:rsidR="00000000" w:rsidRDefault="008206D2">
      <w:pPr>
        <w:pStyle w:val="a3"/>
        <w:spacing w:before="240" w:beforeAutospacing="0" w:after="0" w:afterAutospacing="0"/>
        <w:jc w:val="both"/>
        <w:rPr>
          <w:sz w:val="20"/>
          <w:szCs w:val="20"/>
        </w:rPr>
      </w:pPr>
      <w:r>
        <w:rPr>
          <w:sz w:val="20"/>
          <w:szCs w:val="20"/>
        </w:rPr>
        <w:t>We are a Mary</w:t>
      </w:r>
      <w:r>
        <w:rPr>
          <w:sz w:val="20"/>
          <w:szCs w:val="20"/>
        </w:rPr>
        <w:t>land corporation formed in 1983. Our principal executive offices are located at 5501 Virginia Way, Brentwood, Tennessee, 37027, and our telephone number at that location is (615) 263-3000.  Our website address is www.corecivic.com</w:t>
      </w:r>
      <w:r>
        <w:rPr>
          <w:color w:val="000000"/>
          <w:sz w:val="20"/>
          <w:szCs w:val="20"/>
        </w:rPr>
        <w:t xml:space="preserve">.  We make </w:t>
      </w:r>
      <w:r>
        <w:rPr>
          <w:sz w:val="20"/>
          <w:szCs w:val="20"/>
        </w:rPr>
        <w:t>our Annual Repo</w:t>
      </w:r>
      <w:r>
        <w:rPr>
          <w:sz w:val="20"/>
          <w:szCs w:val="20"/>
        </w:rPr>
        <w:t>rts on Form 10-K, Quarterly Reports on Form 10-Q, Current Reports on Form 8-K, definitive proxy statements, and amendments to those reports under the Securities Exchange Act of 1934, as amended, or the Exchange Act, available on our website, free of charge</w:t>
      </w:r>
      <w:r>
        <w:rPr>
          <w:sz w:val="20"/>
          <w:szCs w:val="20"/>
        </w:rPr>
        <w:t>, as soon as reasonably practicable after these reports are filed with or furnished to the SEC.  Information contained on our website is not part of this Quarterly Report.  </w:t>
      </w:r>
    </w:p>
    <w:p w:rsidR="00000000" w:rsidRDefault="008206D2">
      <w:pPr>
        <w:pStyle w:val="a3"/>
        <w:spacing w:before="240" w:beforeAutospacing="0" w:after="0" w:afterAutospacing="0"/>
        <w:jc w:val="both"/>
        <w:rPr>
          <w:sz w:val="20"/>
          <w:szCs w:val="20"/>
        </w:rPr>
      </w:pPr>
      <w:r>
        <w:rPr>
          <w:sz w:val="20"/>
          <w:szCs w:val="20"/>
        </w:rPr>
        <w:t xml:space="preserve">We operated as a REIT from January 1, 2013 through December 31, 2020.  As a REIT, </w:t>
      </w:r>
      <w:r>
        <w:rPr>
          <w:sz w:val="20"/>
          <w:szCs w:val="20"/>
        </w:rPr>
        <w:t>we provided services and conducted other business activities through taxable REIT subsidiaries, or TRSs.  A TRS is a subsidiary of a REIT that is subject to applicable corporate income tax rates and certain qualification requirements.  Our use of TRSs enab</w:t>
      </w:r>
      <w:r>
        <w:rPr>
          <w:sz w:val="20"/>
          <w:szCs w:val="20"/>
        </w:rPr>
        <w:t>led us to comply with REIT qualification requirements while providing correctional services at facilities we own and at facilities owned by our government partners and to engage in certain other business operations.  </w:t>
      </w:r>
    </w:p>
    <w:p w:rsidR="00000000" w:rsidRDefault="008206D2">
      <w:pPr>
        <w:pStyle w:val="a3"/>
        <w:spacing w:before="240" w:beforeAutospacing="0" w:after="0" w:afterAutospacing="0"/>
        <w:jc w:val="both"/>
        <w:rPr>
          <w:sz w:val="20"/>
          <w:szCs w:val="20"/>
        </w:rPr>
      </w:pPr>
      <w:r>
        <w:rPr>
          <w:sz w:val="20"/>
          <w:szCs w:val="20"/>
        </w:rPr>
        <w:t>As a REIT, we generally were not subje</w:t>
      </w:r>
      <w:r>
        <w:rPr>
          <w:sz w:val="20"/>
          <w:szCs w:val="20"/>
        </w:rPr>
        <w:t>ct to federal income taxes on our REIT taxable income and gains that we distributed to our stockholders, including the income derived from our real estate and dividends we earned from our TRSs. However, our TRSs were required to pay income taxes on their e</w:t>
      </w:r>
      <w:r>
        <w:rPr>
          <w:sz w:val="20"/>
          <w:szCs w:val="20"/>
        </w:rPr>
        <w:t>arnings at regular corporate income tax rates.  As a REIT, we generally were required to distribute annually to our stockholders at least 90% of our REIT taxable income (determined without regard to the dividends paid deduction and excluding net capital ga</w:t>
      </w:r>
      <w:r>
        <w:rPr>
          <w:sz w:val="20"/>
          <w:szCs w:val="20"/>
        </w:rPr>
        <w:t xml:space="preserve">ins). Our REIT taxable income did not typically include income earned by our TRSs except to the extent our TRSs paid dividends to the REIT. </w:t>
      </w:r>
    </w:p>
    <w:p w:rsidR="00000000" w:rsidRDefault="008206D2">
      <w:pPr>
        <w:pStyle w:val="a3"/>
        <w:spacing w:before="240" w:beforeAutospacing="0" w:after="0" w:afterAutospacing="0"/>
        <w:jc w:val="center"/>
        <w:rPr>
          <w:sz w:val="20"/>
          <w:szCs w:val="20"/>
        </w:rPr>
      </w:pPr>
      <w:r>
        <w:rPr>
          <w:sz w:val="20"/>
          <w:szCs w:val="20"/>
        </w:rPr>
        <w:t>20</w:t>
      </w:r>
    </w:p>
    <w:p w:rsidR="00000000" w:rsidRDefault="008206D2">
      <w:pPr>
        <w:rPr>
          <w:rFonts w:eastAsia="Times New Roman"/>
        </w:rPr>
      </w:pPr>
      <w:r>
        <w:rPr>
          <w:rFonts w:eastAsia="Times New Roman"/>
        </w:rPr>
        <w:pict>
          <v:rect id="_x0000_i1046"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On August 5, 2020, we announced that our Board of Directors, or BOD, unanimously approved a plan to revoke our REIT election and become a taxable C Corporation, effective January 1, 2021.  The BOD also voted unanimousl</w:t>
      </w:r>
      <w:r>
        <w:rPr>
          <w:sz w:val="20"/>
          <w:szCs w:val="20"/>
        </w:rPr>
        <w:t>y to discontinue our quarterly dividend and prioritize allocating our free cash flow to reduce debt levels.  As a result, we are no longer required to operate under REIT rules, including the requirement to distribute at least 90% of our taxable income to o</w:t>
      </w:r>
      <w:r>
        <w:rPr>
          <w:sz w:val="20"/>
          <w:szCs w:val="20"/>
        </w:rPr>
        <w:t>ur stockholders, which provides us with greater flexibility to use our free cash flow.  Beginning January 1, 2021, we became subject to federal and state income taxes on our taxable income at applicable tax rates, and are no longer entitled to a tax deduct</w:t>
      </w:r>
      <w:r>
        <w:rPr>
          <w:sz w:val="20"/>
          <w:szCs w:val="20"/>
        </w:rPr>
        <w:t>ion for dividends paid. However, we believe this conversion improves our overall credit profile and will lower our overall cost of capital.  Following our first priority of reducing debt, we expect to allocate a substantial portion of our free cash flow to</w:t>
      </w:r>
      <w:r>
        <w:rPr>
          <w:sz w:val="20"/>
          <w:szCs w:val="20"/>
        </w:rPr>
        <w:t xml:space="preserve"> returning capital to our shareholders and pursuing alternative growth opportunities.  This conversion also provides us with significantly more liquidity, which enables us to reduce our reliance on the capital markets and reduce the size of our Second Amen</w:t>
      </w:r>
      <w:r>
        <w:rPr>
          <w:sz w:val="20"/>
          <w:szCs w:val="20"/>
        </w:rPr>
        <w:t>ded and Restated Credit Agreement (which provides for a term loan of an original principal balance of $200.0 million, or Term Loan A, and a revolving credit facility in an aggregate principal amount of up to $800.0 million, or Revolving Credit Facility), o</w:t>
      </w:r>
      <w:r>
        <w:rPr>
          <w:sz w:val="20"/>
          <w:szCs w:val="20"/>
        </w:rPr>
        <w:t xml:space="preserve">r Bank Credit Facility, in the future.  We continued to operate as a REIT for the 2020 tax year, and existing REIT requirements and limitations, including those established by our organizational documents, remained in place until January 1, 2021.   </w:t>
      </w:r>
    </w:p>
    <w:p w:rsidR="00000000" w:rsidRDefault="008206D2">
      <w:pPr>
        <w:pStyle w:val="a3"/>
        <w:spacing w:before="240" w:beforeAutospacing="0" w:after="0" w:afterAutospacing="0"/>
        <w:jc w:val="both"/>
        <w:rPr>
          <w:sz w:val="20"/>
          <w:szCs w:val="20"/>
        </w:rPr>
      </w:pPr>
      <w:r>
        <w:rPr>
          <w:sz w:val="20"/>
          <w:szCs w:val="20"/>
        </w:rPr>
        <w:t>On Jan</w:t>
      </w:r>
      <w:r>
        <w:rPr>
          <w:sz w:val="20"/>
          <w:szCs w:val="20"/>
        </w:rPr>
        <w:t>uary 26, 2021, President Biden issued the Private Prison EO. The Private Prison EO directs the Attorney General to not renew DOJ contracts with privately operated criminal detention facilities.  Two agencies of the DOJ, the BOP and the USMS utilize our ser</w:t>
      </w:r>
      <w:r>
        <w:rPr>
          <w:sz w:val="20"/>
          <w:szCs w:val="20"/>
        </w:rPr>
        <w:t>vices.  The BOP houses inmates who have been convicted, and the USMS is generally responsible for detainees who are awaiting trial.  The BOP has experienced a steady decline in inmate populations over the last eight years, a trend that has been accelerated</w:t>
      </w:r>
      <w:r>
        <w:rPr>
          <w:sz w:val="20"/>
          <w:szCs w:val="20"/>
        </w:rPr>
        <w:t xml:space="preserve"> by the COVID-19 pandemic.  We currently have one prison contract with the BOP at our 1,978-bed McRae Correctional Facility, accounting for 2% ($40.6 million) of our total revenue for the twelve months ended December 31, 2021, which expires in November 202</w:t>
      </w:r>
      <w:r>
        <w:rPr>
          <w:sz w:val="20"/>
          <w:szCs w:val="20"/>
        </w:rPr>
        <w:t>2.  The Private Prison EO only applies to agencies that are part of the DOJ, which includes the BOP and USMS.  U.S. Immigration and Customs Enforcement, or ICE, facilities are not covered by the Private Prison EO, as ICE is an agency of the Department of H</w:t>
      </w:r>
      <w:r>
        <w:rPr>
          <w:sz w:val="20"/>
          <w:szCs w:val="20"/>
        </w:rPr>
        <w:t>omeland Security, or DHS, not the DOJ, although it is possible that the federal government could choose to take similar action on ICE facilities in the future.  </w:t>
      </w:r>
      <w:r>
        <w:rPr>
          <w:color w:val="000000"/>
          <w:spacing w:val="3"/>
          <w:sz w:val="20"/>
          <w:szCs w:val="20"/>
        </w:rPr>
        <w:t xml:space="preserve">For the twelve months ended December 31, 2021, USMS and ICE accounted for 23% ($433.6 million) </w:t>
      </w:r>
      <w:r>
        <w:rPr>
          <w:color w:val="000000"/>
          <w:spacing w:val="3"/>
          <w:sz w:val="20"/>
          <w:szCs w:val="20"/>
        </w:rPr>
        <w:t>and 30% ($552.2 million), respectively, of our total revenue.  </w:t>
      </w:r>
    </w:p>
    <w:p w:rsidR="00000000" w:rsidRDefault="008206D2">
      <w:pPr>
        <w:pStyle w:val="a3"/>
        <w:spacing w:before="240" w:beforeAutospacing="0" w:after="0" w:afterAutospacing="0"/>
        <w:jc w:val="both"/>
        <w:rPr>
          <w:sz w:val="20"/>
          <w:szCs w:val="20"/>
        </w:rPr>
      </w:pPr>
      <w:r>
        <w:rPr>
          <w:sz w:val="20"/>
          <w:szCs w:val="20"/>
        </w:rPr>
        <w:t xml:space="preserve">Unlike the BOP, the USMS does not own detention capacity and relies on the private sector, along with various government agencies, for its detainee population. </w:t>
      </w:r>
      <w:r>
        <w:rPr>
          <w:color w:val="000000"/>
          <w:spacing w:val="3"/>
          <w:sz w:val="20"/>
          <w:szCs w:val="20"/>
        </w:rPr>
        <w:t>The USMS has been advised by the</w:t>
      </w:r>
      <w:r>
        <w:rPr>
          <w:color w:val="000000"/>
          <w:spacing w:val="3"/>
          <w:sz w:val="20"/>
          <w:szCs w:val="20"/>
        </w:rPr>
        <w:t xml:space="preserve"> Office of the Deputy Attorney General not to renew existing contracts, or enter into new contracts for private detention facilities. During the second quarter of 2021, we had direct contracts with the USMS for up to 992 detainees at our 2016-bed Northeast</w:t>
      </w:r>
      <w:r>
        <w:rPr>
          <w:color w:val="000000"/>
          <w:spacing w:val="3"/>
          <w:sz w:val="20"/>
          <w:szCs w:val="20"/>
        </w:rPr>
        <w:t xml:space="preserve"> Ohio Correctional Center and for up to approximately 96 detainees at our 664-bed Crossroads Correctional Center in Montana that expired and were not renewed.  On May 28, 2021, we entered into a new three-year contract with Mahoning County, Ohio to utilize</w:t>
      </w:r>
      <w:r>
        <w:rPr>
          <w:color w:val="000000"/>
          <w:spacing w:val="3"/>
          <w:sz w:val="20"/>
          <w:szCs w:val="20"/>
        </w:rPr>
        <w:t xml:space="preserve"> up to 990 beds at our Northeast Ohio Correctional Center.  Mahoning County is responsible for County inmates and federal detainees, including USMS detainees, and the County is using the Northeast Ohio facility to address its population needs.  During the </w:t>
      </w:r>
      <w:r>
        <w:rPr>
          <w:color w:val="000000"/>
          <w:spacing w:val="3"/>
          <w:sz w:val="20"/>
          <w:szCs w:val="20"/>
        </w:rPr>
        <w:t>third quarter of 2021, we entered into an amendment to the contract with the state of Montana to utilize all of the capacity at the Crossroads Correctional Center, including the space vacated by the USMS, and to extend the existing contract to June 30, 202</w:t>
      </w:r>
      <w:r>
        <w:rPr>
          <w:color w:val="000000"/>
          <w:spacing w:val="3"/>
          <w:sz w:val="20"/>
          <w:szCs w:val="20"/>
        </w:rPr>
        <w:t>3, with additional renewal options by mutual agreement through August 31, 2029.  We had a direct contract with the USMS to care for detainees at our 600-bed West Tennessee Detention Facility that expired on September 30, 2021 and was not renewed.  In addit</w:t>
      </w:r>
      <w:r>
        <w:rPr>
          <w:color w:val="000000"/>
          <w:spacing w:val="3"/>
          <w:sz w:val="20"/>
          <w:szCs w:val="20"/>
        </w:rPr>
        <w:t>ion, we had a direct contract with the USMS to care for detainees at our 1,033-bed Leavenworth Detention Center that expired on December 31, 2021 and was not renewed. We are actively marketing the West Tennessee and Leavenworth facilities to other governme</w:t>
      </w:r>
      <w:r>
        <w:rPr>
          <w:color w:val="000000"/>
          <w:spacing w:val="3"/>
          <w:sz w:val="20"/>
          <w:szCs w:val="20"/>
        </w:rPr>
        <w:t>nt agencies, and in August 2021, we submitted a formal response to a government agency's request for proposal to utilize the West Tennessee facility.  We are also currently in discussions with, and have submitted proposals to, other potential government pa</w:t>
      </w:r>
      <w:r>
        <w:rPr>
          <w:color w:val="000000"/>
          <w:spacing w:val="3"/>
          <w:sz w:val="20"/>
          <w:szCs w:val="20"/>
        </w:rPr>
        <w:t>rtners to utilize the Leavenworth facility.  However, we can provide no assurance that we will be able to reach agreements for the utilization of the West Tennessee or Leavenworth facilities.</w:t>
      </w:r>
    </w:p>
    <w:p w:rsidR="00000000" w:rsidRDefault="008206D2">
      <w:pPr>
        <w:pStyle w:val="a3"/>
        <w:spacing w:before="240" w:beforeAutospacing="0" w:after="0" w:afterAutospacing="0"/>
        <w:jc w:val="both"/>
        <w:rPr>
          <w:color w:val="000000"/>
          <w:spacing w:val="3"/>
          <w:sz w:val="20"/>
          <w:szCs w:val="20"/>
        </w:rPr>
      </w:pPr>
      <w:r>
        <w:rPr>
          <w:color w:val="000000"/>
          <w:spacing w:val="3"/>
          <w:sz w:val="20"/>
          <w:szCs w:val="20"/>
        </w:rPr>
        <w:t>We currently have six detention facilities that have separate co</w:t>
      </w:r>
      <w:r>
        <w:rPr>
          <w:color w:val="000000"/>
          <w:spacing w:val="3"/>
          <w:sz w:val="20"/>
          <w:szCs w:val="20"/>
        </w:rPr>
        <w:t xml:space="preserve">ntracts where the USMS is the primary customer within the facility that all expire at various times over the next several years, with the exception of two contracts that have indefinite terms. As of March 31, 2022, one of the aforementioned six contracts, </w:t>
      </w:r>
      <w:r>
        <w:rPr>
          <w:color w:val="000000"/>
          <w:spacing w:val="3"/>
          <w:sz w:val="20"/>
          <w:szCs w:val="20"/>
        </w:rPr>
        <w:t xml:space="preserve">a contract with a government agency at our 2,672-bed Tallahatchie County Correctional Facility in Mississippi that allows the USMS to utilize available capacity, expires in June 2022.  Non-renewal of these contracts, or the expansion of the Private Prison </w:t>
      </w:r>
      <w:r>
        <w:rPr>
          <w:color w:val="000000"/>
          <w:spacing w:val="3"/>
          <w:sz w:val="20"/>
          <w:szCs w:val="20"/>
        </w:rPr>
        <w:t>EO to ICE, could have a material adverse effect on our business, financial condition, and results of operations if we are unable to replace the cash flows with new management contracts like we did at our Northeast Ohio and Crossroads facilities.</w:t>
      </w:r>
    </w:p>
    <w:p w:rsidR="00000000" w:rsidRDefault="008206D2">
      <w:pPr>
        <w:pStyle w:val="a3"/>
        <w:spacing w:before="240" w:beforeAutospacing="0" w:after="0" w:afterAutospacing="0"/>
        <w:jc w:val="both"/>
        <w:rPr>
          <w:sz w:val="20"/>
          <w:szCs w:val="20"/>
        </w:rPr>
      </w:pPr>
      <w:r>
        <w:rPr>
          <w:sz w:val="20"/>
          <w:szCs w:val="20"/>
        </w:rPr>
        <w:t>In March 2</w:t>
      </w:r>
      <w:r>
        <w:rPr>
          <w:sz w:val="20"/>
          <w:szCs w:val="20"/>
        </w:rPr>
        <w:t>020, the World Health Organization declared the outbreak of COVID-19 as a pandemic.  As a result, in the first quarter of 2020, the federal government decided to deny entry at the United States southern border to asylum-seekers and anyone crossing the sout</w:t>
      </w:r>
      <w:r>
        <w:rPr>
          <w:sz w:val="20"/>
          <w:szCs w:val="20"/>
        </w:rPr>
        <w:t xml:space="preserve">hern border without proper documentation or authority in an effort to contain the spread of COVID-19, a policy known as Title 42, continued by the Biden administration. This policy resulted in a reduction to the number of people ICE detained, including in </w:t>
      </w:r>
      <w:r>
        <w:rPr>
          <w:sz w:val="20"/>
          <w:szCs w:val="20"/>
        </w:rPr>
        <w:t>our detention facilities.  On April 1, 2022, the CDC issued a Public Health Determination terminating Title 42 with an effective date of May 23, 2022. However, on April 25, 2022, a federal judge issued a temporary restraining order blocking the termination</w:t>
      </w:r>
      <w:r>
        <w:rPr>
          <w:sz w:val="20"/>
          <w:szCs w:val="20"/>
        </w:rPr>
        <w:t xml:space="preserve"> of Title 42. The new hearing on Title 42 is currently scheduled for May 13, 2022.  If Title 42 is terminated, such action may result in an increase in the </w:t>
      </w:r>
    </w:p>
    <w:p w:rsidR="00000000" w:rsidRDefault="008206D2">
      <w:pPr>
        <w:pStyle w:val="a3"/>
        <w:spacing w:before="240" w:beforeAutospacing="0" w:after="0" w:afterAutospacing="0"/>
        <w:jc w:val="center"/>
        <w:rPr>
          <w:sz w:val="20"/>
          <w:szCs w:val="20"/>
        </w:rPr>
      </w:pPr>
      <w:r>
        <w:rPr>
          <w:sz w:val="20"/>
          <w:szCs w:val="20"/>
        </w:rPr>
        <w:t>21</w:t>
      </w:r>
    </w:p>
    <w:p w:rsidR="00000000" w:rsidRDefault="008206D2">
      <w:pPr>
        <w:rPr>
          <w:rFonts w:eastAsia="Times New Roman"/>
        </w:rPr>
      </w:pPr>
      <w:r>
        <w:rPr>
          <w:rFonts w:eastAsia="Times New Roman"/>
        </w:rPr>
        <w:pict>
          <v:rect id="_x0000_i1047"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number of undocumented people permitted to enter the Unite</w:t>
      </w:r>
      <w:r>
        <w:rPr>
          <w:sz w:val="20"/>
          <w:szCs w:val="20"/>
        </w:rPr>
        <w:t>d States claiming asylum, and could result in an increase in the number of people apprehended and detained by ICE.</w:t>
      </w:r>
    </w:p>
    <w:p w:rsidR="00000000" w:rsidRDefault="008206D2">
      <w:pPr>
        <w:pStyle w:val="a3"/>
        <w:spacing w:before="240" w:beforeAutospacing="0" w:after="0" w:afterAutospacing="0"/>
        <w:jc w:val="both"/>
        <w:rPr>
          <w:sz w:val="20"/>
          <w:szCs w:val="20"/>
        </w:rPr>
      </w:pPr>
      <w:r>
        <w:rPr>
          <w:sz w:val="20"/>
          <w:szCs w:val="20"/>
        </w:rPr>
        <w:t>In February 2021, President Biden announced plans to allow certain migrants to pursue asylum in the United States while awaiting their procee</w:t>
      </w:r>
      <w:r>
        <w:rPr>
          <w:sz w:val="20"/>
          <w:szCs w:val="20"/>
        </w:rPr>
        <w:t>dings in immigration courts, reversing a policy known as the Migrant Protection Protocols, or MPP, commonly referred to as the "Remain in Mexico Policy," enacted by the Trump administration. The MPP required asylum seekers to wait in Mexico during the pend</w:t>
      </w:r>
      <w:r>
        <w:rPr>
          <w:sz w:val="20"/>
          <w:szCs w:val="20"/>
        </w:rPr>
        <w:t xml:space="preserve">ency of their immigration court proceedings. </w:t>
      </w:r>
    </w:p>
    <w:p w:rsidR="00000000" w:rsidRDefault="008206D2">
      <w:pPr>
        <w:pStyle w:val="a3"/>
        <w:spacing w:before="240" w:beforeAutospacing="0" w:after="0" w:afterAutospacing="0"/>
        <w:jc w:val="both"/>
        <w:rPr>
          <w:sz w:val="20"/>
          <w:szCs w:val="20"/>
        </w:rPr>
      </w:pPr>
      <w:r>
        <w:rPr>
          <w:sz w:val="20"/>
          <w:szCs w:val="20"/>
        </w:rPr>
        <w:t>MPP has been subject to legal challenges.  On August 13, 2021, a federal court ordered the Biden administration to reinstate the MPP finding that terminating MPP would be illegal "until the Department of Homela</w:t>
      </w:r>
      <w:r>
        <w:rPr>
          <w:sz w:val="20"/>
          <w:szCs w:val="20"/>
        </w:rPr>
        <w:t>nd Security has the capacity and willingness to detain immigrants."  On August 24, 2021, the Supreme Court refused to block implementation of that order.  On October 29, 2021, Secretary of Homeland Security Alejandro N. Mayorkas issued a memorandum asserti</w:t>
      </w:r>
      <w:r>
        <w:rPr>
          <w:sz w:val="20"/>
          <w:szCs w:val="20"/>
        </w:rPr>
        <w:t>ng the termination of MPP, which was structured to be implemented if the decision reinstating MPP is vacated. The memorandum also provides that the Biden administration will continue to comply with the injunction requiring the reinstatement and enforcement</w:t>
      </w:r>
      <w:r>
        <w:rPr>
          <w:sz w:val="20"/>
          <w:szCs w:val="20"/>
        </w:rPr>
        <w:t xml:space="preserve"> of MPP until a final judicial decision, if any, to vacate such injunction is issued. In early December 2021, the Department of Homeland Security began the court-ordered re-implementation of the MPP, and on December 13, 2021, a federal appeals court reject</w:t>
      </w:r>
      <w:r>
        <w:rPr>
          <w:sz w:val="20"/>
          <w:szCs w:val="20"/>
        </w:rPr>
        <w:t>ed the Biden administration’s attempts to terminate MPP.  On December 29, 2021, the Biden administration appealed this decision to the Supreme Court.  On April 26, 2022, the Supreme Court heard arguments on MPP, and a ruling regarding the ability for the f</w:t>
      </w:r>
      <w:r>
        <w:rPr>
          <w:sz w:val="20"/>
          <w:szCs w:val="20"/>
        </w:rPr>
        <w:t>ederal government to terminate MPP could be delivered in June 2022.  The number of people apprehended by ICE could increase if the Biden administration prevails in its efforts to terminate MPP.</w:t>
      </w:r>
    </w:p>
    <w:p w:rsidR="00000000" w:rsidRDefault="008206D2">
      <w:pPr>
        <w:pStyle w:val="a3"/>
        <w:spacing w:before="240" w:beforeAutospacing="0" w:after="0" w:afterAutospacing="0"/>
        <w:jc w:val="both"/>
        <w:rPr>
          <w:sz w:val="20"/>
          <w:szCs w:val="20"/>
        </w:rPr>
      </w:pPr>
      <w:r>
        <w:rPr>
          <w:sz w:val="20"/>
          <w:szCs w:val="20"/>
        </w:rPr>
        <w:t>We cannot predict government responses to an increase in staff</w:t>
      </w:r>
      <w:r>
        <w:rPr>
          <w:sz w:val="20"/>
          <w:szCs w:val="20"/>
        </w:rPr>
        <w:t xml:space="preserve"> or residents testing positive for COVID-19 within public and private correctional, detention and reentry facilities, nor can we predict COVID-19 related restrictions on individuals, businesses, and services that disrupt the criminal justice system.  Furth</w:t>
      </w:r>
      <w:r>
        <w:rPr>
          <w:sz w:val="20"/>
          <w:szCs w:val="20"/>
        </w:rPr>
        <w:t xml:space="preserve">er, we cannot predict government policies on prosecutions and legal restrictions as a result of COVID-19 that affect the number of people placed in correctional, detention, and reentry facilities. </w:t>
      </w:r>
    </w:p>
    <w:p w:rsidR="00000000" w:rsidRDefault="008206D2">
      <w:pPr>
        <w:pStyle w:val="a3"/>
        <w:spacing w:before="240" w:beforeAutospacing="0" w:after="0" w:afterAutospacing="0"/>
        <w:jc w:val="both"/>
        <w:rPr>
          <w:sz w:val="20"/>
          <w:szCs w:val="20"/>
        </w:rPr>
      </w:pPr>
      <w:r>
        <w:rPr>
          <w:sz w:val="20"/>
          <w:szCs w:val="20"/>
        </w:rPr>
        <w:t xml:space="preserve">COVID-19 notwithstanding, we believe the long-term growth </w:t>
      </w:r>
      <w:r>
        <w:rPr>
          <w:sz w:val="20"/>
          <w:szCs w:val="20"/>
        </w:rPr>
        <w:t>opportunities of our business remain attractive as government agencies consider their emergent needs (including capacity to help mitigate the spread of infectious disease), as well as the efficiency and offender programming opportunities we provide as flex</w:t>
      </w:r>
      <w:r>
        <w:rPr>
          <w:sz w:val="20"/>
          <w:szCs w:val="20"/>
        </w:rPr>
        <w:t>ible solutions to satisfy our partners' needs.  Further, although disrupted by the COVID-19 pandemic, several of our existing federal and state partners, as well as prospective state partners, have been experiencing growth in offender populations and overc</w:t>
      </w:r>
      <w:r>
        <w:rPr>
          <w:sz w:val="20"/>
          <w:szCs w:val="20"/>
        </w:rPr>
        <w:t>rowded conditions, as well as an increase in violent crime.  Governments are now assessing their need for correctional space in light of COVID-19, and several are considering alternative correctional capacity for their aged or inefficient infrastructure, o</w:t>
      </w:r>
      <w:r>
        <w:rPr>
          <w:sz w:val="20"/>
          <w:szCs w:val="20"/>
        </w:rPr>
        <w:t xml:space="preserve">r are seeking cost savings by utilizing the private sector, which could result in increased future demand for the solutions we provide.  For example, in December 2021, the state of Arizona awarded us a new contract for up to 2,706 inmates at our 3,060-bed </w:t>
      </w:r>
      <w:r>
        <w:rPr>
          <w:sz w:val="20"/>
          <w:szCs w:val="20"/>
        </w:rPr>
        <w:t xml:space="preserve">La Palma Correctional Center in Arizona, which commenced in April 2022.  We are not aware of a larger prison contract awarded to the private sector by any state in over a decade. Competing budget priorities often impede our customers' ability to construct </w:t>
      </w:r>
      <w:r>
        <w:rPr>
          <w:sz w:val="20"/>
          <w:szCs w:val="20"/>
        </w:rPr>
        <w:t xml:space="preserve">new prison beds of their own or update their older facilities, which we believe could result in further demand for private sector prison capacity solutions in the long-term. </w:t>
      </w:r>
    </w:p>
    <w:p w:rsidR="00000000" w:rsidRDefault="008206D2">
      <w:pPr>
        <w:pStyle w:val="a3"/>
        <w:spacing w:before="240" w:beforeAutospacing="0" w:after="0" w:afterAutospacing="0"/>
        <w:jc w:val="center"/>
        <w:rPr>
          <w:sz w:val="20"/>
          <w:szCs w:val="20"/>
        </w:rPr>
      </w:pPr>
      <w:r>
        <w:rPr>
          <w:sz w:val="20"/>
          <w:szCs w:val="20"/>
        </w:rPr>
        <w:t>22</w:t>
      </w:r>
    </w:p>
    <w:p w:rsidR="00000000" w:rsidRDefault="008206D2">
      <w:pPr>
        <w:rPr>
          <w:rFonts w:eastAsia="Times New Roman"/>
        </w:rPr>
      </w:pPr>
      <w:r>
        <w:rPr>
          <w:rFonts w:eastAsia="Times New Roman"/>
        </w:rPr>
        <w:pict>
          <v:rect id="_x0000_i1048"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360" w:beforeAutospacing="0" w:after="0" w:afterAutospacing="0"/>
        <w:rPr>
          <w:b/>
          <w:bCs/>
          <w:sz w:val="20"/>
          <w:szCs w:val="20"/>
        </w:rPr>
      </w:pPr>
      <w:r>
        <w:rPr>
          <w:b/>
          <w:bCs/>
          <w:sz w:val="20"/>
          <w:szCs w:val="20"/>
        </w:rPr>
        <w:t>CRITICAL ACCOUNTING POLICIES AND ESTIMAT</w:t>
      </w:r>
      <w:r>
        <w:rPr>
          <w:b/>
          <w:bCs/>
          <w:sz w:val="20"/>
          <w:szCs w:val="20"/>
        </w:rPr>
        <w:t>ES</w:t>
      </w:r>
    </w:p>
    <w:p w:rsidR="00000000" w:rsidRDefault="008206D2">
      <w:pPr>
        <w:pStyle w:val="a3"/>
        <w:spacing w:before="120" w:beforeAutospacing="0" w:after="0" w:afterAutospacing="0"/>
        <w:jc w:val="both"/>
        <w:rPr>
          <w:sz w:val="20"/>
          <w:szCs w:val="20"/>
        </w:rPr>
      </w:pPr>
      <w:r>
        <w:rPr>
          <w:sz w:val="20"/>
          <w:szCs w:val="20"/>
        </w:rPr>
        <w:t>The consolidated financial statements in this Quarterly Report are prepared in conformity with U.S. generally accepted accounting principles, or GAAP.  As such, we are required to make certain estimates, judgments, and assumptions that we believe are re</w:t>
      </w:r>
      <w:r>
        <w:rPr>
          <w:sz w:val="20"/>
          <w:szCs w:val="20"/>
        </w:rPr>
        <w:t xml:space="preserve">asonable based upon the information available. These estimates and assumptions affect the reported amounts of assets and liabilities at the date of the consolidated financial statements and the reported amounts of revenue and expenses during the reporting </w:t>
      </w:r>
      <w:r>
        <w:rPr>
          <w:sz w:val="20"/>
          <w:szCs w:val="20"/>
        </w:rPr>
        <w:t>period.  A summary of our significant accounting policies is described in our 2021 Form 10-K.  The significant accounting policies and estimates which we believe are the most critical to aid in fully understanding and evaluating our reported financial resu</w:t>
      </w:r>
      <w:r>
        <w:rPr>
          <w:sz w:val="20"/>
          <w:szCs w:val="20"/>
        </w:rPr>
        <w:t>lts include the following:</w:t>
      </w:r>
    </w:p>
    <w:p w:rsidR="00000000" w:rsidRDefault="008206D2">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The primary risk we face for material asset impairment charges is associated with facilities we own.  As of March 31, 2022, we had $2.3 billion in property and equipment, including $200.9 million in long-lived</w:t>
      </w:r>
      <w:r>
        <w:rPr>
          <w:sz w:val="20"/>
          <w:szCs w:val="20"/>
        </w:rPr>
        <w:t xml:space="preserve"> assets at seven idled CoreCivic Safety correctional facilities.  The carrying values of the seven idled correctional facilities as of March 31, 2022 were as follows (in thousands):</w:t>
      </w:r>
    </w:p>
    <w:p w:rsidR="00000000" w:rsidRDefault="008206D2">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6"/>
        <w:gridCol w:w="67"/>
        <w:gridCol w:w="115"/>
        <w:gridCol w:w="761"/>
        <w:gridCol w:w="65"/>
      </w:tblGrid>
      <w:tr w:rsidR="00000000">
        <w:trPr>
          <w:divId w:val="1664430120"/>
        </w:trPr>
        <w:tc>
          <w:tcPr>
            <w:tcW w:w="401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Prairie Correctional Facility</w:t>
            </w:r>
          </w:p>
        </w:tc>
        <w:tc>
          <w:tcPr>
            <w:tcW w:w="9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14,195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Huerfano County Correctional Center</w:t>
            </w:r>
          </w:p>
        </w:tc>
        <w:tc>
          <w:tcPr>
            <w:tcW w:w="9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15,070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Diamondback Correctional Facility</w:t>
            </w:r>
          </w:p>
        </w:tc>
        <w:tc>
          <w:tcPr>
            <w:tcW w:w="9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36,490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Marion Adjustment Center</w:t>
            </w:r>
          </w:p>
        </w:tc>
        <w:tc>
          <w:tcPr>
            <w:tcW w:w="9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10,639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Kit Carson Correctional Center</w:t>
            </w:r>
          </w:p>
        </w:tc>
        <w:tc>
          <w:tcPr>
            <w:tcW w:w="9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50,506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West Tennessee Detention Facility</w:t>
            </w:r>
          </w:p>
        </w:tc>
        <w:tc>
          <w:tcPr>
            <w:tcW w:w="9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20,364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Leavenworth Detention Center</w:t>
            </w:r>
          </w:p>
        </w:tc>
        <w:tc>
          <w:tcPr>
            <w:tcW w:w="94"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53,615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64430120"/>
        </w:trPr>
        <w:tc>
          <w:tcPr>
            <w:tcW w:w="401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200,879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As of March </w:t>
      </w:r>
      <w:r>
        <w:rPr>
          <w:sz w:val="20"/>
          <w:szCs w:val="20"/>
        </w:rPr>
        <w:t xml:space="preserve">31, 2022, we also had one idled non-core facility in our Safety segment containing 240 beds with a net book value of $3.1 million, and three idled facilities in our Community segment, containing an aggregate of 650 beds with an aggregate net book value of </w:t>
      </w:r>
      <w:r>
        <w:rPr>
          <w:sz w:val="20"/>
          <w:szCs w:val="20"/>
        </w:rPr>
        <w:t>$8.7 million.  </w:t>
      </w:r>
    </w:p>
    <w:p w:rsidR="00000000" w:rsidRDefault="008206D2">
      <w:pPr>
        <w:pStyle w:val="a3"/>
        <w:spacing w:before="240" w:beforeAutospacing="0" w:after="0" w:afterAutospacing="0"/>
        <w:jc w:val="both"/>
        <w:rPr>
          <w:sz w:val="20"/>
          <w:szCs w:val="20"/>
        </w:rPr>
      </w:pPr>
      <w:r>
        <w:rPr>
          <w:sz w:val="20"/>
          <w:szCs w:val="20"/>
        </w:rPr>
        <w:t>We incurred operating expenses at these idled facilities of approximately $2.0 million for the period they were idle during both the three months ended March 31, 2022 and 2021. The 2022 amount excludes $3.5 million of operating expenses inc</w:t>
      </w:r>
      <w:r>
        <w:rPr>
          <w:sz w:val="20"/>
          <w:szCs w:val="20"/>
        </w:rPr>
        <w:t>urred at our West Tennessee Detention Facility and our Leavenworth Detention Center during the first quarter of 2022.  The West Tennessee facility was idled upon the expiration of a USMS contract on September 30, 2021, and the Leavenworth facility was idle</w:t>
      </w:r>
      <w:r>
        <w:rPr>
          <w:sz w:val="20"/>
          <w:szCs w:val="20"/>
        </w:rPr>
        <w:t xml:space="preserve">d upon the expiration of a USMS contract on December 31, 2021.  Although recently idled, we have retained a certain staffing level at both facilities in order to quickly respond should we enter into new contracts with government agencies in the near-term. </w:t>
      </w:r>
      <w:r>
        <w:rPr>
          <w:sz w:val="20"/>
          <w:szCs w:val="20"/>
        </w:rPr>
        <w:t>We also continued to incur expenses related to transportation services provided by staff at the Leavenworth facility</w:t>
      </w:r>
      <w:r>
        <w:rPr>
          <w:b/>
          <w:bCs/>
          <w:sz w:val="20"/>
          <w:szCs w:val="20"/>
        </w:rPr>
        <w:t xml:space="preserve"> </w:t>
      </w:r>
      <w:r>
        <w:rPr>
          <w:sz w:val="20"/>
          <w:szCs w:val="20"/>
        </w:rPr>
        <w:t xml:space="preserve">during the first quarter of 2022. </w:t>
      </w:r>
    </w:p>
    <w:p w:rsidR="00000000" w:rsidRDefault="008206D2">
      <w:pPr>
        <w:pStyle w:val="a3"/>
        <w:spacing w:before="240" w:beforeAutospacing="0" w:after="0" w:afterAutospacing="0"/>
        <w:jc w:val="both"/>
        <w:rPr>
          <w:sz w:val="20"/>
          <w:szCs w:val="20"/>
        </w:rPr>
      </w:pPr>
      <w:r>
        <w:rPr>
          <w:sz w:val="20"/>
          <w:szCs w:val="20"/>
        </w:rPr>
        <w:t>We evaluate the recoverability of the carrying values of our long-lived assets, other than goodwill, whe</w:t>
      </w:r>
      <w:r>
        <w:rPr>
          <w:sz w:val="20"/>
          <w:szCs w:val="20"/>
        </w:rPr>
        <w:t>n events suggest that an impairment may have occurred.  Such events primarily include, but are not limited to, the termination of a management contract, a significant decrease in populations within a facility we own in our Safety and Community segments tha</w:t>
      </w:r>
      <w:r>
        <w:rPr>
          <w:sz w:val="20"/>
          <w:szCs w:val="20"/>
        </w:rPr>
        <w:t>t we believe will be longer than short-term, and the expiration and non-renewal of lease agreements in our Properties segment.  </w:t>
      </w:r>
    </w:p>
    <w:p w:rsidR="00000000" w:rsidRDefault="008206D2">
      <w:pPr>
        <w:pStyle w:val="a3"/>
        <w:spacing w:before="240" w:beforeAutospacing="0" w:after="0" w:afterAutospacing="0"/>
        <w:jc w:val="both"/>
        <w:rPr>
          <w:sz w:val="20"/>
          <w:szCs w:val="20"/>
        </w:rPr>
      </w:pPr>
      <w:r>
        <w:rPr>
          <w:sz w:val="20"/>
          <w:szCs w:val="20"/>
        </w:rPr>
        <w:t>We perform the impairment analyses for each of our idle facilities as well as any other properties with indicators of impairmen</w:t>
      </w:r>
      <w:r>
        <w:rPr>
          <w:sz w:val="20"/>
          <w:szCs w:val="20"/>
        </w:rPr>
        <w:t>t.  Our estimates of recoverability are based on projected undiscounted cash flows that are comparable to historical cash flows from management contracts or lease agreements at facilities similar to the idled facilities, including historical operations for</w:t>
      </w:r>
      <w:r>
        <w:rPr>
          <w:sz w:val="20"/>
          <w:szCs w:val="20"/>
        </w:rPr>
        <w:t xml:space="preserve"> the idled facilities when such facilities were operating. Our undiscounted cash flows factor in assumptions around when idle facilities will commence generating revenues based on our best estimates around contract negotiations and market conditions. Our i</w:t>
      </w:r>
      <w:r>
        <w:rPr>
          <w:sz w:val="20"/>
          <w:szCs w:val="20"/>
        </w:rPr>
        <w:t>mpairment evaluations also take into consideration our historical experience in securing new management contracts to utilize correctional facilities that had been previously idled for substantial periods of time.  Such previously idled correctional facilit</w:t>
      </w:r>
      <w:r>
        <w:rPr>
          <w:sz w:val="20"/>
          <w:szCs w:val="20"/>
        </w:rPr>
        <w:t>ies are currently being operated under contracts that continue to generate cash flows resulting in the recoverability of the net book value of the previously idled facilities by material amounts. We also perform sensitivity analyses that consider reduction</w:t>
      </w:r>
      <w:r>
        <w:rPr>
          <w:sz w:val="20"/>
          <w:szCs w:val="20"/>
        </w:rPr>
        <w:t xml:space="preserve">s to such cash flows. Our sensitivity analyses include reductions in projected cash flows compared to historical cash flows generated by the respective facility as well as prolonged periods of vacancies. </w:t>
      </w:r>
    </w:p>
    <w:p w:rsidR="00000000" w:rsidRDefault="008206D2">
      <w:pPr>
        <w:pStyle w:val="a3"/>
        <w:spacing w:before="240" w:beforeAutospacing="0" w:after="0" w:afterAutospacing="0"/>
        <w:jc w:val="both"/>
        <w:rPr>
          <w:sz w:val="20"/>
          <w:szCs w:val="20"/>
        </w:rPr>
      </w:pPr>
      <w:r>
        <w:rPr>
          <w:sz w:val="20"/>
          <w:szCs w:val="20"/>
        </w:rPr>
        <w:t>We also evaluate on a quarterly basis market develo</w:t>
      </w:r>
      <w:r>
        <w:rPr>
          <w:sz w:val="20"/>
          <w:szCs w:val="20"/>
        </w:rPr>
        <w:t xml:space="preserve">pments for the potential utilization of each of our idle facilities in order to identify events that may cause us to reconsider our most recent assumptions.  Such events could include negotiations with a prospective customer for the utilization of an idle </w:t>
      </w:r>
      <w:r>
        <w:rPr>
          <w:sz w:val="20"/>
          <w:szCs w:val="20"/>
        </w:rPr>
        <w:t>facility at terms significantly less favorable than those used in our most recent impairment analysis, or changes in legislation surrounding a particular facility that could impact our ability to care for certain types of populations at such facility, or a</w:t>
      </w:r>
      <w:r>
        <w:rPr>
          <w:sz w:val="20"/>
          <w:szCs w:val="20"/>
        </w:rPr>
        <w:t xml:space="preserve"> demolition or substantial renovation of a facility.  Further, a substantial increase in the number of available beds at other facilities we own could lead to a deterioration in market conditions and cash flows that we might be able to obtain under a new c</w:t>
      </w:r>
      <w:r>
        <w:rPr>
          <w:sz w:val="20"/>
          <w:szCs w:val="20"/>
        </w:rPr>
        <w:t>ontract at our idle facilities. Although they are not frequent, an unsolicited offer to purchase any of our idle facilities at amounts that are less than the carrying value could also cause us to reconsider the assumptions used in our most recent impairmen</w:t>
      </w:r>
      <w:r>
        <w:rPr>
          <w:sz w:val="20"/>
          <w:szCs w:val="20"/>
        </w:rPr>
        <w:t xml:space="preserve">t analysis.   </w:t>
      </w:r>
    </w:p>
    <w:p w:rsidR="00000000" w:rsidRDefault="008206D2">
      <w:pPr>
        <w:pStyle w:val="a3"/>
        <w:spacing w:before="240" w:beforeAutospacing="0" w:after="0" w:afterAutospacing="0"/>
        <w:jc w:val="center"/>
        <w:rPr>
          <w:sz w:val="20"/>
          <w:szCs w:val="20"/>
        </w:rPr>
      </w:pPr>
      <w:r>
        <w:rPr>
          <w:sz w:val="20"/>
          <w:szCs w:val="20"/>
        </w:rPr>
        <w:t>23</w:t>
      </w:r>
    </w:p>
    <w:p w:rsidR="00000000" w:rsidRDefault="008206D2">
      <w:pPr>
        <w:rPr>
          <w:rFonts w:eastAsia="Times New Roman"/>
        </w:rPr>
      </w:pPr>
      <w:r>
        <w:rPr>
          <w:rFonts w:eastAsia="Times New Roman"/>
        </w:rPr>
        <w:pict>
          <v:rect id="_x0000_i1049"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We can provide no assurance that we will be able to secure agreements to utilize our idle properties, or that we will not incur impairment charges in the future. By their nature, these estimates conta</w:t>
      </w:r>
      <w:r>
        <w:rPr>
          <w:sz w:val="20"/>
          <w:szCs w:val="20"/>
        </w:rPr>
        <w:t>in uncertainties with respect to the extent and timing of the respective cash flows due to potential delays or material changes to historical terms and conditions in contracts with prospective customers that could impact the estimate of cash flows.  With r</w:t>
      </w:r>
      <w:r>
        <w:rPr>
          <w:sz w:val="20"/>
          <w:szCs w:val="20"/>
        </w:rPr>
        <w:t>espect to idle correctional facilities, we believe the long-term trends favor an increase in the utilization of our correctional facilities and management services.  This belief is based on our experience in working with governmental agencies faced with si</w:t>
      </w:r>
      <w:r>
        <w:rPr>
          <w:sz w:val="20"/>
          <w:szCs w:val="20"/>
        </w:rPr>
        <w:t>gnificant budgetary challenges, which is a primary contributing factor to the lack of appropriated funding over the past decade to build new bed capacity by the federal and state governments with which we partner, as well as the extensively aged criminal j</w:t>
      </w:r>
      <w:r>
        <w:rPr>
          <w:sz w:val="20"/>
          <w:szCs w:val="20"/>
        </w:rPr>
        <w:t>ustice infrastructure in the U.S. today. Due to a variety of factors, the lead time to negotiate contracts with our federal and state partners to utilize idle bed capacity at correctional facilities is generally lengthy.</w:t>
      </w:r>
    </w:p>
    <w:p w:rsidR="00000000" w:rsidRDefault="008206D2">
      <w:pPr>
        <w:pStyle w:val="a3"/>
        <w:spacing w:before="240" w:beforeAutospacing="0" w:after="0" w:afterAutospacing="0"/>
        <w:jc w:val="both"/>
        <w:rPr>
          <w:i/>
          <w:iCs/>
          <w:sz w:val="20"/>
          <w:szCs w:val="20"/>
        </w:rPr>
      </w:pPr>
      <w:r>
        <w:rPr>
          <w:i/>
          <w:iCs/>
          <w:sz w:val="20"/>
          <w:szCs w:val="20"/>
        </w:rPr>
        <w:t>Self-funded insurance reserves</w:t>
      </w:r>
      <w:r>
        <w:rPr>
          <w:sz w:val="20"/>
          <w:szCs w:val="20"/>
        </w:rPr>
        <w:t>.  As</w:t>
      </w:r>
      <w:r>
        <w:rPr>
          <w:sz w:val="20"/>
          <w:szCs w:val="20"/>
        </w:rPr>
        <w:t xml:space="preserve"> of March 31, 2022, we had $49.7 million in accrued liabilities for employee health, workers' compensation, and automobile insurance claims.  We are self-insured for employee health, workers' compensation, and automobile liability insurance claims.  As suc</w:t>
      </w:r>
      <w:r>
        <w:rPr>
          <w:sz w:val="20"/>
          <w:szCs w:val="20"/>
        </w:rPr>
        <w:t>h, our insurance expense is largely dependent on claims experience and our ability to control our claims.  We have consistently accrued the estimated liability for employee health insurance claims based on our history of claims experience and the estimated</w:t>
      </w:r>
      <w:r>
        <w:rPr>
          <w:sz w:val="20"/>
          <w:szCs w:val="20"/>
        </w:rPr>
        <w:t xml:space="preserve"> time lag between the incident date and the date we pay the claims.  We have accrued the estimated liability for workers' compensation claims based on an actuarial valuation of the outstanding liabilities, discounted to the net present value of the outstan</w:t>
      </w:r>
      <w:r>
        <w:rPr>
          <w:sz w:val="20"/>
          <w:szCs w:val="20"/>
        </w:rPr>
        <w:t>ding liabilities, using a combination of actuarial methods used to project ultimate losses, and our automobile insurance claims based on estimated development factors on claims incurred. The liability for employee health, workers' compensation, and automob</w:t>
      </w:r>
      <w:r>
        <w:rPr>
          <w:sz w:val="20"/>
          <w:szCs w:val="20"/>
        </w:rPr>
        <w:t>ile insurance includes estimates for both claims incurred and for claims incurred but not reported.  In recent history, our methods for determining our exposure have remained consistent, and our historical trends have been appropriately factored into our e</w:t>
      </w:r>
      <w:r>
        <w:rPr>
          <w:sz w:val="20"/>
          <w:szCs w:val="20"/>
        </w:rPr>
        <w:t>stimates and reserves. As we obtain additional information and refine our methods regarding the assumptions and estimates we use to recognize liabilities incurred, we will adjust our reserves accordingly.  Arriving at these estimates, however, requires a s</w:t>
      </w:r>
      <w:r>
        <w:rPr>
          <w:sz w:val="20"/>
          <w:szCs w:val="20"/>
        </w:rPr>
        <w:t>ignificant amount of subjective judgment by management, and as a result these estimates are uncertain, and our actual exposure may be different from our estimates.  It is possible that future cash flows and results of operations could be materially affecte</w:t>
      </w:r>
      <w:r>
        <w:rPr>
          <w:sz w:val="20"/>
          <w:szCs w:val="20"/>
        </w:rPr>
        <w:t>d by changes in our assumptions, new developments, or by the effectiveness of our strategies.</w:t>
      </w:r>
    </w:p>
    <w:p w:rsidR="00000000" w:rsidRDefault="008206D2">
      <w:pPr>
        <w:pStyle w:val="a3"/>
        <w:spacing w:before="240" w:beforeAutospacing="0" w:after="0" w:afterAutospacing="0"/>
        <w:jc w:val="both"/>
        <w:rPr>
          <w:i/>
          <w:iCs/>
          <w:sz w:val="20"/>
          <w:szCs w:val="20"/>
        </w:rPr>
      </w:pPr>
      <w:r>
        <w:rPr>
          <w:i/>
          <w:iCs/>
          <w:sz w:val="20"/>
          <w:szCs w:val="20"/>
        </w:rPr>
        <w:t>Legal reserves.</w:t>
      </w:r>
      <w:r>
        <w:rPr>
          <w:sz w:val="20"/>
          <w:szCs w:val="20"/>
        </w:rPr>
        <w:t>  As of March 31, 2022, we had $8.1 million in accrued liabilities under the provisions of Accounting Standards Codification, or ASC, Subtopic 450-</w:t>
      </w:r>
      <w:r>
        <w:rPr>
          <w:sz w:val="20"/>
          <w:szCs w:val="20"/>
        </w:rPr>
        <w:t>20, "Loss Contingencies," related to certain claims and legal proceedings in which we are involved.  We have accrued our best estimate of the probable costs for the resolution of these claims, if estimable.  In addition, we are subject to current and poten</w:t>
      </w:r>
      <w:r>
        <w:rPr>
          <w:sz w:val="20"/>
          <w:szCs w:val="20"/>
        </w:rPr>
        <w:t>tial future claims and legal proceedings for which little or no accrual has been reflected because our current assessment of the potential exposure is nominal, or because we cannot reasonably estimate the amount of loss or range of loss, if any, that may r</w:t>
      </w:r>
      <w:r>
        <w:rPr>
          <w:sz w:val="20"/>
          <w:szCs w:val="20"/>
        </w:rPr>
        <w:t>esult.  These estimates have been developed in consultation with our General Counsel's office and, as appropriate, outside counsel handling these matters, and are based upon an analysis of potential results, assuming a combination of litigation and settlem</w:t>
      </w:r>
      <w:r>
        <w:rPr>
          <w:sz w:val="20"/>
          <w:szCs w:val="20"/>
        </w:rPr>
        <w:t>ent strategies.  It is possible that future cash flows and results of operations could be materially affected by changes in our assumptions, new developments, or by the effectiveness of our litigation and settlement strategies.</w:t>
      </w:r>
    </w:p>
    <w:p w:rsidR="00000000" w:rsidRDefault="008206D2">
      <w:pPr>
        <w:pStyle w:val="a3"/>
        <w:spacing w:before="240" w:beforeAutospacing="0" w:after="0" w:afterAutospacing="0"/>
        <w:jc w:val="center"/>
        <w:rPr>
          <w:sz w:val="20"/>
          <w:szCs w:val="20"/>
        </w:rPr>
      </w:pPr>
      <w:r>
        <w:rPr>
          <w:sz w:val="20"/>
          <w:szCs w:val="20"/>
        </w:rPr>
        <w:t>24</w:t>
      </w:r>
    </w:p>
    <w:p w:rsidR="00000000" w:rsidRDefault="008206D2">
      <w:pPr>
        <w:rPr>
          <w:rFonts w:eastAsia="Times New Roman"/>
        </w:rPr>
      </w:pPr>
      <w:r>
        <w:rPr>
          <w:rFonts w:eastAsia="Times New Roman"/>
        </w:rPr>
        <w:pict>
          <v:rect id="_x0000_i1050"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360" w:beforeAutospacing="0" w:after="0" w:afterAutospacing="0"/>
        <w:jc w:val="both"/>
        <w:rPr>
          <w:b/>
          <w:bCs/>
          <w:sz w:val="20"/>
          <w:szCs w:val="20"/>
        </w:rPr>
      </w:pPr>
      <w:r>
        <w:rPr>
          <w:b/>
          <w:bCs/>
          <w:sz w:val="20"/>
          <w:szCs w:val="20"/>
        </w:rPr>
        <w:t>RESULTS OF OPERATIONS</w:t>
      </w:r>
    </w:p>
    <w:p w:rsidR="00000000" w:rsidRDefault="008206D2">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41 we owned and four owned by our government partners (CoreCivic Safety), the n</w:t>
      </w:r>
      <w:r>
        <w:rPr>
          <w:sz w:val="20"/>
          <w:szCs w:val="20"/>
        </w:rPr>
        <w:t>umber of residential reentry centers we owned and operated (CoreCivic Community), the number of facilities we leased to other operators (CoreCivic Properties), and the facilities we owned that were not in operation.  The following table sets forth the chan</w:t>
      </w:r>
      <w:r>
        <w:rPr>
          <w:sz w:val="20"/>
          <w:szCs w:val="20"/>
        </w:rPr>
        <w:t xml:space="preserve">ges in the number of facilities operated for the periods presented: </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trPr>
          <w:divId w:val="1018775274"/>
        </w:trPr>
        <w:tc>
          <w:tcPr>
            <w:tcW w:w="217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r>
      <w:tr w:rsidR="00000000">
        <w:trPr>
          <w:divId w:val="1018775274"/>
        </w:trPr>
        <w:tc>
          <w:tcPr>
            <w:tcW w:w="217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32" w:type="pct"/>
            <w:gridSpan w:val="2"/>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r>
      <w:tr w:rsidR="00000000">
        <w:trPr>
          <w:divId w:val="1018775274"/>
        </w:trPr>
        <w:tc>
          <w:tcPr>
            <w:tcW w:w="217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Facilities as of December 31, 2020</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018775274"/>
        </w:trPr>
        <w:tc>
          <w:tcPr>
            <w:tcW w:w="217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8206D2">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January 2021</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Sale of an idled government-leased</w:t>
            </w:r>
          </w:p>
          <w:p w:rsidR="00000000" w:rsidRDefault="008206D2">
            <w:pPr>
              <w:pStyle w:val="a3"/>
              <w:spacing w:before="0" w:beforeAutospacing="0" w:after="0" w:afterAutospacing="0"/>
              <w:rPr>
                <w:color w:val="000000"/>
                <w:sz w:val="20"/>
                <w:szCs w:val="20"/>
              </w:rPr>
            </w:pPr>
            <w:r>
              <w:rPr>
                <w:color w:val="000000"/>
                <w:sz w:val="20"/>
                <w:szCs w:val="20"/>
              </w:rPr>
              <w:t>   property in Missouri</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May 2021</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Sale of two leased properties in</w:t>
            </w:r>
          </w:p>
          <w:p w:rsidR="00000000" w:rsidRDefault="008206D2">
            <w:pPr>
              <w:pStyle w:val="a3"/>
              <w:spacing w:before="0" w:beforeAutospacing="0" w:after="0" w:afterAutospacing="0"/>
              <w:rPr>
                <w:color w:val="000000"/>
                <w:sz w:val="20"/>
                <w:szCs w:val="20"/>
              </w:rPr>
            </w:pPr>
            <w:r>
              <w:rPr>
                <w:color w:val="000000"/>
                <w:sz w:val="20"/>
                <w:szCs w:val="20"/>
              </w:rPr>
              <w:t>   Florida and Ohio</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May 2021</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Sale of a government-leased</w:t>
            </w:r>
          </w:p>
          <w:p w:rsidR="00000000" w:rsidRDefault="008206D2">
            <w:pPr>
              <w:pStyle w:val="a3"/>
              <w:spacing w:before="0" w:beforeAutospacing="0" w:after="0" w:afterAutospacing="0"/>
              <w:rPr>
                <w:color w:val="000000"/>
                <w:sz w:val="20"/>
                <w:szCs w:val="20"/>
              </w:rPr>
            </w:pPr>
            <w:r>
              <w:rPr>
                <w:color w:val="000000"/>
                <w:sz w:val="20"/>
                <w:szCs w:val="20"/>
              </w:rPr>
              <w:t>   property in Maryland</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June 2021</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Sale of an idled property in Pennsylvania</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June 2021</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Termination of GRES partnership (Detroit, Michigan)</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September 2021</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Lease of Northwest New Mexico Correctional</w:t>
            </w:r>
          </w:p>
          <w:p w:rsidR="00000000" w:rsidRDefault="008206D2">
            <w:pPr>
              <w:pStyle w:val="a3"/>
              <w:spacing w:before="0" w:beforeAutospacing="0" w:after="0" w:afterAutospacing="0"/>
              <w:rPr>
                <w:color w:val="000000"/>
                <w:sz w:val="20"/>
                <w:szCs w:val="20"/>
              </w:rPr>
            </w:pPr>
            <w:r>
              <w:rPr>
                <w:color w:val="000000"/>
                <w:sz w:val="20"/>
                <w:szCs w:val="20"/>
              </w:rPr>
              <w:t>   Center</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November 2021</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018775274"/>
        </w:trPr>
        <w:tc>
          <w:tcPr>
            <w:tcW w:w="217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Facilities as of December 31, 2021</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018775274"/>
        </w:trPr>
        <w:tc>
          <w:tcPr>
            <w:tcW w:w="217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Expiration of a managed-only contract in Indiana</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January 2022</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Sale of a residential reentry facility in Colorado</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February 2022</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Sale of a residential reentry facility in Colorado</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color w:val="000000"/>
                <w:sz w:val="20"/>
                <w:szCs w:val="20"/>
              </w:rPr>
            </w:pPr>
            <w:r>
              <w:rPr>
                <w:color w:val="000000"/>
                <w:sz w:val="20"/>
                <w:szCs w:val="20"/>
              </w:rPr>
              <w:t>March 2022</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018775274"/>
        </w:trPr>
        <w:tc>
          <w:tcPr>
            <w:tcW w:w="217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Facilities as of March 31, 2022</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
                <w:szCs w:val="2"/>
              </w:rPr>
            </w:pPr>
            <w:r>
              <w:rPr>
                <w:b/>
                <w:bCs/>
                <w:color w:val="000000"/>
                <w:sz w:val="2"/>
                <w:szCs w:val="2"/>
              </w:rPr>
              <w:t> </w:t>
            </w:r>
          </w:p>
        </w:tc>
      </w:tr>
    </w:tbl>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160" w:beforeAutospacing="0" w:after="0" w:afterAutospacing="0"/>
        <w:jc w:val="both"/>
        <w:rPr>
          <w:b/>
          <w:bCs/>
          <w:sz w:val="20"/>
          <w:szCs w:val="20"/>
        </w:rPr>
      </w:pPr>
      <w:r>
        <w:rPr>
          <w:b/>
          <w:bCs/>
          <w:sz w:val="20"/>
          <w:szCs w:val="20"/>
        </w:rPr>
        <w:t>Three Months Ended March 31, 2022 Compared to the Three Months Ended March 31, 2021</w:t>
      </w:r>
    </w:p>
    <w:p w:rsidR="00000000" w:rsidRDefault="008206D2">
      <w:pPr>
        <w:pStyle w:val="a3"/>
        <w:spacing w:before="120" w:beforeAutospacing="0" w:after="0" w:afterAutospacing="0"/>
        <w:jc w:val="both"/>
        <w:rPr>
          <w:sz w:val="20"/>
          <w:szCs w:val="20"/>
        </w:rPr>
      </w:pPr>
      <w:r>
        <w:rPr>
          <w:sz w:val="20"/>
          <w:szCs w:val="20"/>
        </w:rPr>
        <w:t>Net income was $19.0 million, or $0.16 per diluted share, for the three months ended March 31, 2022, compared with a net loss of $125.6 million, or $1.05 per diluted share,</w:t>
      </w:r>
      <w:r>
        <w:rPr>
          <w:sz w:val="20"/>
          <w:szCs w:val="20"/>
        </w:rPr>
        <w:t xml:space="preserve"> for the three months ended March 31, 2021. Financial results for the three months ended March 31, 2022 reflected a $2.3 million gain on the sale of real estate assets, partially offset by income tax expense of $0.6 million associated with such sale of rea</w:t>
      </w:r>
      <w:r>
        <w:rPr>
          <w:sz w:val="20"/>
          <w:szCs w:val="20"/>
        </w:rPr>
        <w:t>l estate assets. Financial results for the three months ended March 31, 2021 reflected an income tax charge of $113.5 million, including $114.2 million for income taxes associated primarily with the Company's net deferred tax liabilities due to the complet</w:t>
      </w:r>
      <w:r>
        <w:rPr>
          <w:sz w:val="20"/>
          <w:szCs w:val="20"/>
        </w:rPr>
        <w:t>ion of all significant actions necessary to revoke our REIT election and become a taxable C Corporation.  Financial results for the three months ended March 31, 2021 also included charges of $51.7 million related to the settlement agreement reached in Apri</w:t>
      </w:r>
      <w:r>
        <w:rPr>
          <w:sz w:val="20"/>
          <w:szCs w:val="20"/>
        </w:rPr>
        <w:t>l 2021 in connection with shareholder litigation, $1.6 million of incremental expenses directly associated with COVID-19 (reflected in operating expenses), and $1.3 million of asset impairments, all partially offset by an income tax benefit of $14.1 millio</w:t>
      </w:r>
      <w:r>
        <w:rPr>
          <w:sz w:val="20"/>
          <w:szCs w:val="20"/>
        </w:rPr>
        <w:t xml:space="preserve">n associated with these items. </w:t>
      </w:r>
    </w:p>
    <w:p w:rsidR="00000000" w:rsidRDefault="008206D2">
      <w:pPr>
        <w:pStyle w:val="a3"/>
        <w:spacing w:before="360" w:beforeAutospacing="0" w:after="0" w:afterAutospacing="0"/>
        <w:jc w:val="both"/>
        <w:rPr>
          <w:b/>
          <w:bCs/>
          <w:sz w:val="20"/>
          <w:szCs w:val="20"/>
        </w:rPr>
      </w:pPr>
      <w:r>
        <w:rPr>
          <w:b/>
          <w:bCs/>
          <w:sz w:val="20"/>
          <w:szCs w:val="20"/>
        </w:rPr>
        <w:t>Our Current Operations</w:t>
      </w:r>
    </w:p>
    <w:p w:rsidR="00000000" w:rsidRDefault="008206D2">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442918575"/>
        </w:trPr>
        <w:tc>
          <w:tcPr>
            <w:tcW w:w="201" w:type="pct"/>
            <w:noWrap/>
            <w:hideMark/>
          </w:tcPr>
          <w:p w:rsidR="00000000" w:rsidRDefault="008206D2">
            <w:pPr>
              <w:pStyle w:val="a3"/>
              <w:spacing w:before="120" w:beforeAutospacing="0" w:after="0" w:afterAutospacing="0"/>
              <w:jc w:val="both"/>
            </w:pPr>
            <w:r>
              <w:t> </w:t>
            </w:r>
          </w:p>
        </w:tc>
        <w:tc>
          <w:tcPr>
            <w:tcW w:w="166"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CoreCivic Safety segment, consisting of the 45 correctional and detention facilities that are owned, or controlled via a long-term lease, and managed by CoreCivic, as well as those correctional and detention facilities owned by third parties but managed by</w:t>
            </w:r>
            <w:r>
              <w:rPr>
                <w:color w:val="000000"/>
                <w:sz w:val="20"/>
                <w:szCs w:val="20"/>
              </w:rPr>
              <w:t xml:space="preserve"> CoreCivic. CoreCivic Safety also includes the operating results of our subsidiary that provides transportation services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2"/>
        <w:gridCol w:w="275"/>
        <w:gridCol w:w="480"/>
      </w:tblGrid>
      <w:tr w:rsidR="00000000">
        <w:tc>
          <w:tcPr>
            <w:tcW w:w="200" w:type="pct"/>
            <w:noWrap/>
            <w:hideMark/>
          </w:tcPr>
          <w:p w:rsidR="00000000" w:rsidRDefault="008206D2">
            <w:pPr>
              <w:pStyle w:val="a3"/>
              <w:spacing w:before="120" w:beforeAutospacing="0" w:after="0" w:afterAutospacing="0"/>
              <w:jc w:val="both"/>
            </w:pPr>
            <w:r>
              <w:t> </w:t>
            </w:r>
          </w:p>
        </w:tc>
        <w:tc>
          <w:tcPr>
            <w:tcW w:w="166"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CoreCivic Community segment, consisting of the 24 residential reent</w:t>
            </w:r>
            <w:r>
              <w:rPr>
                <w:color w:val="000000"/>
                <w:sz w:val="20"/>
                <w:szCs w:val="20"/>
              </w:rPr>
              <w:t>ry centers that are owned, or controlled via a long-term lease, and managed by CoreCivic.  CoreCivic Community also includes the operating results of our electronic monitoring and case management services.</w:t>
            </w:r>
          </w:p>
        </w:tc>
      </w:tr>
    </w:tbl>
    <w:p w:rsidR="00000000" w:rsidRDefault="008206D2">
      <w:pPr>
        <w:divId w:val="2085443740"/>
        <w:rPr>
          <w:rFonts w:eastAsia="Times New Roman"/>
          <w:vanish/>
        </w:rPr>
      </w:pPr>
    </w:p>
    <w:tbl>
      <w:tblPr>
        <w:tblW w:w="5000" w:type="pct"/>
        <w:tblCellMar>
          <w:left w:w="0" w:type="dxa"/>
          <w:right w:w="0" w:type="dxa"/>
        </w:tblCellMar>
        <w:tblLook w:val="04A0" w:firstRow="1" w:lastRow="0" w:firstColumn="1" w:lastColumn="0" w:noHBand="0" w:noVBand="1"/>
      </w:tblPr>
      <w:tblGrid>
        <w:gridCol w:w="332"/>
        <w:gridCol w:w="276"/>
        <w:gridCol w:w="7698"/>
      </w:tblGrid>
      <w:tr w:rsidR="00000000">
        <w:trPr>
          <w:divId w:val="2085443740"/>
        </w:trPr>
        <w:tc>
          <w:tcPr>
            <w:tcW w:w="200" w:type="pct"/>
            <w:noWrap/>
            <w:hideMark/>
          </w:tcPr>
          <w:p w:rsidR="00000000" w:rsidRDefault="008206D2">
            <w:pPr>
              <w:pStyle w:val="a3"/>
              <w:spacing w:before="120" w:beforeAutospacing="0" w:after="0" w:afterAutospacing="0"/>
              <w:jc w:val="both"/>
            </w:pPr>
            <w:r>
              <w:t> </w:t>
            </w:r>
          </w:p>
        </w:tc>
        <w:tc>
          <w:tcPr>
            <w:tcW w:w="166" w:type="pct"/>
            <w:noWrap/>
            <w:hideMark/>
          </w:tcPr>
          <w:p w:rsidR="00000000" w:rsidRDefault="008206D2">
            <w:pPr>
              <w:pStyle w:val="a3"/>
              <w:spacing w:before="120" w:beforeAutospacing="0" w:after="0" w:afterAutospacing="0"/>
              <w:jc w:val="both"/>
              <w:rPr>
                <w:sz w:val="20"/>
                <w:szCs w:val="20"/>
              </w:rPr>
            </w:pPr>
            <w:r>
              <w:rPr>
                <w:sz w:val="20"/>
                <w:szCs w:val="20"/>
              </w:rPr>
              <w:t>•</w:t>
            </w:r>
          </w:p>
        </w:tc>
        <w:tc>
          <w:tcPr>
            <w:tcW w:w="0" w:type="auto"/>
            <w:hideMark/>
          </w:tcPr>
          <w:p w:rsidR="00000000" w:rsidRDefault="008206D2">
            <w:pPr>
              <w:pStyle w:val="a3"/>
              <w:spacing w:before="120" w:beforeAutospacing="0" w:after="0" w:afterAutospacing="0"/>
              <w:jc w:val="both"/>
            </w:pPr>
            <w:r>
              <w:rPr>
                <w:color w:val="000000"/>
                <w:sz w:val="20"/>
                <w:szCs w:val="20"/>
              </w:rPr>
              <w:t xml:space="preserve">CoreCivic Properties segment, consisting of </w:t>
            </w:r>
            <w:r>
              <w:rPr>
                <w:color w:val="000000"/>
                <w:sz w:val="20"/>
                <w:szCs w:val="20"/>
              </w:rPr>
              <w:t>the 10 real estate properties owned by CoreCivic for lease to third parties and used by government agencies.</w:t>
            </w:r>
          </w:p>
        </w:tc>
      </w:tr>
    </w:tbl>
    <w:p w:rsidR="00000000" w:rsidRDefault="008206D2">
      <w:pPr>
        <w:pStyle w:val="a3"/>
        <w:shd w:val="clear" w:color="auto" w:fill="FFFFFF"/>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center"/>
        <w:rPr>
          <w:sz w:val="20"/>
          <w:szCs w:val="20"/>
        </w:rPr>
      </w:pPr>
      <w:r>
        <w:rPr>
          <w:sz w:val="20"/>
          <w:szCs w:val="20"/>
        </w:rPr>
        <w:t>25</w:t>
      </w:r>
    </w:p>
    <w:p w:rsidR="00000000" w:rsidRDefault="008206D2">
      <w:pPr>
        <w:rPr>
          <w:rFonts w:eastAsia="Times New Roman"/>
        </w:rPr>
      </w:pPr>
      <w:r>
        <w:rPr>
          <w:rFonts w:eastAsia="Times New Roman"/>
        </w:rPr>
        <w:pict>
          <v:rect id="_x0000_i1051"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hd w:val="clear" w:color="auto" w:fill="FFFFFF"/>
        <w:spacing w:before="40" w:beforeAutospacing="0" w:after="0" w:afterAutospacing="0"/>
        <w:jc w:val="both"/>
        <w:rPr>
          <w:color w:val="000000"/>
          <w:sz w:val="20"/>
          <w:szCs w:val="20"/>
        </w:rPr>
      </w:pPr>
      <w:r>
        <w:rPr>
          <w:color w:val="000000"/>
          <w:sz w:val="20"/>
          <w:szCs w:val="20"/>
        </w:rPr>
        <w:t xml:space="preserve">For the three months ended March 31, 2022 and 2021, our total segment net operating income, which we define as facility revenue (including interest income associated with finance leases) less operating expenses, was </w:t>
      </w:r>
      <w:r>
        <w:rPr>
          <w:color w:val="000000"/>
          <w:sz w:val="20"/>
          <w:szCs w:val="20"/>
        </w:rPr>
        <w:t>divided among our three business segments as follows:</w:t>
      </w:r>
    </w:p>
    <w:p w:rsidR="00000000" w:rsidRDefault="008206D2">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178"/>
        <w:gridCol w:w="91"/>
        <w:gridCol w:w="65"/>
        <w:gridCol w:w="1369"/>
        <w:gridCol w:w="215"/>
        <w:gridCol w:w="92"/>
        <w:gridCol w:w="65"/>
        <w:gridCol w:w="1218"/>
        <w:gridCol w:w="182"/>
      </w:tblGrid>
      <w:tr w:rsidR="00000000">
        <w:trPr>
          <w:divId w:val="1136920722"/>
        </w:trPr>
        <w:tc>
          <w:tcPr>
            <w:tcW w:w="281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8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204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136920722"/>
        </w:trPr>
        <w:tc>
          <w:tcPr>
            <w:tcW w:w="281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10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90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136920722"/>
        </w:trPr>
        <w:tc>
          <w:tcPr>
            <w:tcW w:w="2818"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Segment:</w:t>
            </w:r>
          </w:p>
        </w:tc>
        <w:tc>
          <w:tcPr>
            <w:tcW w:w="8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9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136920722"/>
        </w:trPr>
        <w:tc>
          <w:tcPr>
            <w:tcW w:w="2818"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Safety</w:t>
            </w:r>
          </w:p>
        </w:tc>
        <w:tc>
          <w:tcPr>
            <w:tcW w:w="8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956"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84.3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84.1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136920722"/>
        </w:trPr>
        <w:tc>
          <w:tcPr>
            <w:tcW w:w="2818"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Community</w:t>
            </w:r>
          </w:p>
        </w:tc>
        <w:tc>
          <w:tcPr>
            <w:tcW w:w="8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956"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5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136920722"/>
        </w:trPr>
        <w:tc>
          <w:tcPr>
            <w:tcW w:w="2818"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Properties</w:t>
            </w:r>
          </w:p>
        </w:tc>
        <w:tc>
          <w:tcPr>
            <w:tcW w:w="8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956"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120" w:beforeAutospacing="0" w:after="0" w:afterAutospacing="0"/>
        <w:jc w:val="both"/>
        <w:rPr>
          <w:b/>
          <w:bCs/>
          <w:i/>
          <w:iCs/>
          <w:sz w:val="20"/>
          <w:szCs w:val="20"/>
        </w:rPr>
      </w:pPr>
      <w:r>
        <w:rPr>
          <w:b/>
          <w:bCs/>
          <w:i/>
          <w:iCs/>
          <w:sz w:val="20"/>
          <w:szCs w:val="20"/>
        </w:rPr>
        <w:t>Facility Operations</w:t>
      </w:r>
    </w:p>
    <w:p w:rsidR="00000000" w:rsidRDefault="008206D2">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 diem rate based upon actual or minimum guar</w:t>
      </w:r>
      <w:r>
        <w:rPr>
          <w:sz w:val="20"/>
          <w:szCs w:val="20"/>
        </w:rPr>
        <w:t>anteed occupancy levels.  We also measure our costs on a per compensated man-day basis, which is largely dependent upon the number of offenders we accommodate.  Further, per compensated man-day measurements are also used to estimate our potential profitabi</w:t>
      </w:r>
      <w:r>
        <w:rPr>
          <w:sz w:val="20"/>
          <w:szCs w:val="20"/>
        </w:rPr>
        <w:t>lity based on certain occupancy levels relative to design capacity.  Revenue and expenses per compensated man-day for all of the correctional, detention, and residential reentry facilities placed into service that we owned or managed, exclusive of those he</w:t>
      </w:r>
      <w:r>
        <w:rPr>
          <w:sz w:val="20"/>
          <w:szCs w:val="20"/>
        </w:rPr>
        <w:t>ld for lease, and for TransCor were as follows for the three months ended March 31, 2022 and 2021:</w:t>
      </w:r>
    </w:p>
    <w:p w:rsidR="00000000" w:rsidRDefault="008206D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42"/>
        <w:gridCol w:w="65"/>
        <w:gridCol w:w="115"/>
        <w:gridCol w:w="887"/>
        <w:gridCol w:w="215"/>
        <w:gridCol w:w="65"/>
        <w:gridCol w:w="115"/>
        <w:gridCol w:w="889"/>
        <w:gridCol w:w="182"/>
      </w:tblGrid>
      <w:tr w:rsidR="00000000">
        <w:trPr>
          <w:divId w:val="1567496666"/>
        </w:trPr>
        <w:tc>
          <w:tcPr>
            <w:tcW w:w="334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67496666"/>
        </w:trPr>
        <w:tc>
          <w:tcPr>
            <w:tcW w:w="334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567496666"/>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Revenue per compensated man-day</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91.88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89.80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expenses per compensated man-day:</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Fixed expense</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50.79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49.65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Variable expense</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20.41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17.58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71.20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67.23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income per compensated man-day</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20.68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22.57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margin</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67496666"/>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compensated occupancy</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70.6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69.9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567496666"/>
        </w:trPr>
        <w:tc>
          <w:tcPr>
            <w:tcW w:w="3349"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available beds</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73,581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75,236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567496666"/>
        </w:trPr>
        <w:tc>
          <w:tcPr>
            <w:tcW w:w="3349"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compensated population</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51,971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52,595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160" w:beforeAutospacing="0" w:after="0" w:afterAutospacing="0"/>
        <w:jc w:val="both"/>
        <w:rPr>
          <w:i/>
          <w:iCs/>
          <w:sz w:val="20"/>
          <w:szCs w:val="20"/>
        </w:rPr>
      </w:pPr>
      <w:r>
        <w:rPr>
          <w:i/>
          <w:iCs/>
          <w:sz w:val="20"/>
          <w:szCs w:val="20"/>
        </w:rPr>
        <w:t>Revenue</w:t>
      </w:r>
    </w:p>
    <w:p w:rsidR="00000000" w:rsidRDefault="008206D2">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onitoring and case management services.  Total revenue also consists of lease revenue we generate through CoreCivic Properties from facilities we lease to third-party operators. The following table reflects the components of revenue for the three months en</w:t>
      </w:r>
      <w:r>
        <w:rPr>
          <w:sz w:val="20"/>
          <w:szCs w:val="20"/>
        </w:rPr>
        <w:t>ded March 31, 2022 and 2021 (in millions):</w:t>
      </w:r>
    </w:p>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240" w:beforeAutospacing="0" w:after="0" w:afterAutospacing="0"/>
        <w:jc w:val="center"/>
        <w:rPr>
          <w:sz w:val="20"/>
          <w:szCs w:val="20"/>
        </w:rPr>
      </w:pPr>
      <w:r>
        <w:rPr>
          <w:sz w:val="20"/>
          <w:szCs w:val="20"/>
        </w:rPr>
        <w:t>26</w:t>
      </w:r>
    </w:p>
    <w:p w:rsidR="00000000" w:rsidRDefault="008206D2">
      <w:pPr>
        <w:rPr>
          <w:rFonts w:eastAsia="Times New Roman"/>
        </w:rPr>
      </w:pPr>
      <w:r>
        <w:rPr>
          <w:rFonts w:eastAsia="Times New Roman"/>
        </w:rPr>
        <w:pict>
          <v:rect id="_x0000_i1052"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294336166"/>
        </w:trPr>
        <w:tc>
          <w:tcPr>
            <w:tcW w:w="252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294336166"/>
        </w:trPr>
        <w:tc>
          <w:tcPr>
            <w:tcW w:w="252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294336166"/>
        </w:trPr>
        <w:tc>
          <w:tcPr>
            <w:tcW w:w="2523"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294336166"/>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254.9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254.5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0.4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294336166"/>
        </w:trPr>
        <w:tc>
          <w:tcPr>
            <w:tcW w:w="2523"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154.7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294336166"/>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294336166"/>
        </w:trPr>
        <w:tc>
          <w:tcPr>
            <w:tcW w:w="2523"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294336166"/>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438.4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433.4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294336166"/>
        </w:trPr>
        <w:tc>
          <w:tcPr>
            <w:tcW w:w="2523"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Lease revenue</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21.3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294336166"/>
        </w:trPr>
        <w:tc>
          <w:tcPr>
            <w:tcW w:w="2523"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453.0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454.7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(0.4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The $5.0 million, or 1.2%, increase in total management revenue for the three months ended March 31, 2022 as compared with the same period in 2021 was primarily a result of an increase in revenue of $9.7 million driven primarily by an increase of 2.3% in a</w:t>
      </w:r>
      <w:r>
        <w:rPr>
          <w:sz w:val="20"/>
          <w:szCs w:val="20"/>
        </w:rPr>
        <w:t>verage revenue per compensated man-day.  The increase in average revenue per compensated man-day resulted from the effect of per diem increases at several of our facilities, as well as a higher mix of federal populations at higher per diem rates. The incre</w:t>
      </w:r>
      <w:r>
        <w:rPr>
          <w:sz w:val="20"/>
          <w:szCs w:val="20"/>
        </w:rPr>
        <w:t>ase in management revenue was partially offset by a decrease in revenue of approximately $5.0 million driven primarily by a decrease in the average daily compensated population from 2021 to 2022. Revenue generated from our electronic monitoring and case ma</w:t>
      </w:r>
      <w:r>
        <w:rPr>
          <w:sz w:val="20"/>
          <w:szCs w:val="20"/>
        </w:rPr>
        <w:t xml:space="preserve">nagement services during the three months ended March 31, 2022 increased $0.3 million from the comparable period in the prior year. </w:t>
      </w:r>
    </w:p>
    <w:p w:rsidR="00000000" w:rsidRDefault="008206D2">
      <w:pPr>
        <w:pStyle w:val="a3"/>
        <w:spacing w:before="240" w:beforeAutospacing="0" w:after="0" w:afterAutospacing="0"/>
        <w:jc w:val="both"/>
        <w:rPr>
          <w:sz w:val="20"/>
          <w:szCs w:val="20"/>
        </w:rPr>
      </w:pPr>
      <w:r>
        <w:rPr>
          <w:sz w:val="20"/>
          <w:szCs w:val="20"/>
        </w:rPr>
        <w:t>Average daily compensated population decreased 624, or 1.2%, to 51,971 during the three months ended March 31, 2022 compare</w:t>
      </w:r>
      <w:r>
        <w:rPr>
          <w:sz w:val="20"/>
          <w:szCs w:val="20"/>
        </w:rPr>
        <w:t>d to 52,595 during the three months ended March 31, 2021. The decrease in average daily compensated population was a result of the contract terminations at our 600-bed West Tennessee Detention Facility effective September 30, 2021, at our 1,033-bed Leavenw</w:t>
      </w:r>
      <w:r>
        <w:rPr>
          <w:sz w:val="20"/>
          <w:szCs w:val="20"/>
        </w:rPr>
        <w:t xml:space="preserve">orth Detention Center effective December 31, 2021, and at the 1,030-bed managed-only Marion County Jail effective January 31, 2022, all as further described hereinafter. In addition, the decrease in average daily compensated population was a result of the </w:t>
      </w:r>
      <w:r>
        <w:rPr>
          <w:sz w:val="20"/>
          <w:szCs w:val="20"/>
        </w:rPr>
        <w:t>three-year lease agreement we entered into with the state of New Mexico at our 596-bed Northwest New Mexico Correctional Center effective November 1, 2021.  We previously operated the Northwest New Mexico facility in our Safety segment under a contract wit</w:t>
      </w:r>
      <w:r>
        <w:rPr>
          <w:sz w:val="20"/>
          <w:szCs w:val="20"/>
        </w:rPr>
        <w:t>h the state of New Mexico. These factors, which contributed to the decrease in average daily compensated population, were partially offset by increases in state populations as states begin to recover from COVID-19 and operations of criminal justice systems</w:t>
      </w:r>
      <w:r>
        <w:rPr>
          <w:sz w:val="20"/>
          <w:szCs w:val="20"/>
        </w:rPr>
        <w:t xml:space="preserve"> have begun to normalize, as well as from an increase in ICE detainee populations, when compared to the prior year period.</w:t>
      </w:r>
    </w:p>
    <w:p w:rsidR="00000000" w:rsidRDefault="008206D2">
      <w:pPr>
        <w:pStyle w:val="a3"/>
        <w:spacing w:before="240" w:beforeAutospacing="0" w:after="0" w:afterAutospacing="0"/>
        <w:jc w:val="both"/>
        <w:rPr>
          <w:sz w:val="20"/>
          <w:szCs w:val="20"/>
        </w:rPr>
      </w:pPr>
      <w:r>
        <w:rPr>
          <w:sz w:val="20"/>
          <w:szCs w:val="20"/>
        </w:rPr>
        <w:t>The solutions we provide to our federal customers, including primarily ICE, the USMS, and the BOP, continue to be a significant compo</w:t>
      </w:r>
      <w:r>
        <w:rPr>
          <w:sz w:val="20"/>
          <w:szCs w:val="20"/>
        </w:rPr>
        <w:t>nent of our business. The federal customers in our Safety and Community segments generated approximately 56% of our total revenue for both the three months ended March 31, 2022 and 2021, increasing $0.4 million, or 0.2%, during the three months ended March</w:t>
      </w:r>
      <w:r>
        <w:rPr>
          <w:sz w:val="20"/>
          <w:szCs w:val="20"/>
        </w:rPr>
        <w:t xml:space="preserve"> 31, 2022 as compared with the same period in 2021. </w:t>
      </w:r>
    </w:p>
    <w:p w:rsidR="00000000" w:rsidRDefault="008206D2">
      <w:pPr>
        <w:pStyle w:val="a3"/>
        <w:spacing w:before="240" w:beforeAutospacing="0" w:after="0" w:afterAutospacing="0"/>
        <w:jc w:val="both"/>
        <w:rPr>
          <w:sz w:val="20"/>
          <w:szCs w:val="20"/>
        </w:rPr>
      </w:pPr>
      <w:r>
        <w:rPr>
          <w:sz w:val="20"/>
          <w:szCs w:val="20"/>
        </w:rPr>
        <w:t>The decision near the end of the first quarter of 2020 by the federal government to deny entry at the United States southern border to asylum-seekers and anyone crossing the southern border without prope</w:t>
      </w:r>
      <w:r>
        <w:rPr>
          <w:sz w:val="20"/>
          <w:szCs w:val="20"/>
        </w:rPr>
        <w:t>r documentation or authority in an effort to contain the spread of COVID-19, a policy known as Title 42, resulted in a reduction in people being apprehended and detained by ICE.  The financial impact was somewhat mitigated by fixed monthly payments from IC</w:t>
      </w:r>
      <w:r>
        <w:rPr>
          <w:sz w:val="20"/>
          <w:szCs w:val="20"/>
        </w:rPr>
        <w:t>E at certain facilities, to ensure ICE has adequate bed capacity in the event of a surge in the future.  Compared with the first quarter of 2021, however, we have experienced a modest increase in the number of people detained by ICE in our facilities.  Dur</w:t>
      </w:r>
      <w:r>
        <w:rPr>
          <w:sz w:val="20"/>
          <w:szCs w:val="20"/>
        </w:rPr>
        <w:t>ing 2021, revenue from ICE was $552.2 million compared to $542.0 million during 2020, and compared to $579.5 million during 2019, prior to the implementation of Title 42.  During the three months ended March 31, 2022, revenue from ICE was $138.7 million co</w:t>
      </w:r>
      <w:r>
        <w:rPr>
          <w:sz w:val="20"/>
          <w:szCs w:val="20"/>
        </w:rPr>
        <w:t>mpared to $131.5 million during the three months ended March 31, 2021.  On April 1, 2022, the CDC issued a Public Health Determination terminating Title 42 with an effective date of May 23, 2022. However, on April 25, 2022, a federal judge issued a tempora</w:t>
      </w:r>
      <w:r>
        <w:rPr>
          <w:sz w:val="20"/>
          <w:szCs w:val="20"/>
        </w:rPr>
        <w:t>ry restraining order blocking the termination of Title 42. The next hearing on Title 42 is currently scheduled for May 13, 2022.  If Title 42 is terminated, such action may result in an increase in the number of undocumented people permitted to enter the U</w:t>
      </w:r>
      <w:r>
        <w:rPr>
          <w:sz w:val="20"/>
          <w:szCs w:val="20"/>
        </w:rPr>
        <w:t>nited States claiming asylum, and could result in an increase in the number of people apprehended and detained by ICE.  The number of people apprehended by ICE could also increase if the federal government prevails over its attempt to reverse the MPP imple</w:t>
      </w:r>
      <w:r>
        <w:rPr>
          <w:sz w:val="20"/>
          <w:szCs w:val="20"/>
        </w:rPr>
        <w:t>mented by the Trump administration.  As previously described, litigation over MPP is ongoing and on April 26, 2022 the Supreme Court heard arguments on MPP and a ruling regarding the ability for the federal government to terminate MPP could be delivered in</w:t>
      </w:r>
      <w:r>
        <w:rPr>
          <w:sz w:val="20"/>
          <w:szCs w:val="20"/>
        </w:rPr>
        <w:t xml:space="preserve"> June 2022.</w:t>
      </w:r>
    </w:p>
    <w:p w:rsidR="00000000" w:rsidRDefault="008206D2">
      <w:pPr>
        <w:pStyle w:val="a3"/>
        <w:spacing w:before="240" w:beforeAutospacing="0" w:after="0" w:afterAutospacing="0"/>
        <w:jc w:val="both"/>
        <w:rPr>
          <w:sz w:val="20"/>
          <w:szCs w:val="20"/>
        </w:rPr>
      </w:pPr>
      <w:r>
        <w:rPr>
          <w:sz w:val="20"/>
          <w:szCs w:val="20"/>
        </w:rPr>
        <w:t xml:space="preserve">State revenues from contracts at correctional, detention, and residential reentry facilities that we operate increased $10.9 million, or 7.6%, during the three months ended March 31, 2022 as compared to the same period in 2021.  State revenues </w:t>
      </w:r>
      <w:r>
        <w:rPr>
          <w:sz w:val="20"/>
          <w:szCs w:val="20"/>
        </w:rPr>
        <w:t xml:space="preserve">increased most notably as a result of the </w:t>
      </w:r>
      <w:r>
        <w:rPr>
          <w:color w:val="000000"/>
          <w:spacing w:val="3"/>
          <w:sz w:val="20"/>
          <w:szCs w:val="20"/>
        </w:rPr>
        <w:t>amended contract with the state of Montana to utilize all of the capacity at the Crossroads Correctional Center, including the space vacated by the USMS, as previously discussed herein.  In addition, state revenues</w:t>
      </w:r>
      <w:r>
        <w:rPr>
          <w:color w:val="000000"/>
          <w:spacing w:val="3"/>
          <w:sz w:val="20"/>
          <w:szCs w:val="20"/>
        </w:rPr>
        <w:t xml:space="preserve"> increased as a result of higher state inmate populations, and from per diem increases under a number of our state contracts, as certain states have recognized the </w:t>
      </w:r>
    </w:p>
    <w:p w:rsidR="00000000" w:rsidRDefault="008206D2">
      <w:pPr>
        <w:pStyle w:val="a3"/>
        <w:spacing w:before="240" w:beforeAutospacing="0" w:after="0" w:afterAutospacing="0"/>
        <w:jc w:val="center"/>
        <w:rPr>
          <w:sz w:val="20"/>
          <w:szCs w:val="20"/>
        </w:rPr>
      </w:pPr>
      <w:r>
        <w:rPr>
          <w:sz w:val="20"/>
          <w:szCs w:val="20"/>
        </w:rPr>
        <w:t>27</w:t>
      </w:r>
    </w:p>
    <w:p w:rsidR="00000000" w:rsidRDefault="008206D2">
      <w:pPr>
        <w:rPr>
          <w:rFonts w:eastAsia="Times New Roman"/>
        </w:rPr>
      </w:pPr>
      <w:r>
        <w:rPr>
          <w:rFonts w:eastAsia="Times New Roman"/>
        </w:rPr>
        <w:pict>
          <v:rect id="_x0000_i1053"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color w:val="000000"/>
          <w:spacing w:val="3"/>
          <w:sz w:val="20"/>
          <w:szCs w:val="20"/>
        </w:rPr>
        <w:t>need to provide additional funding to address incr</w:t>
      </w:r>
      <w:r>
        <w:rPr>
          <w:color w:val="000000"/>
          <w:spacing w:val="3"/>
          <w:sz w:val="20"/>
          <w:szCs w:val="20"/>
        </w:rPr>
        <w:t>eases in the wages of our employees.</w:t>
      </w:r>
      <w:r>
        <w:rPr>
          <w:sz w:val="20"/>
          <w:szCs w:val="20"/>
        </w:rPr>
        <w:t xml:space="preserve"> The increase in state revenues was partially offset by the effect of the new lease agreement at our Northwest New Mexico Correctional Center effective November 1, 2021.  We previously operated the facility in our Safety</w:t>
      </w:r>
      <w:r>
        <w:rPr>
          <w:sz w:val="20"/>
          <w:szCs w:val="20"/>
        </w:rPr>
        <w:t xml:space="preserve"> segment under a contract with the state of New Mexico.  Excluding state inmate populations at the Northwest New Mexico facility, average daily state inmate populations increased from 26,536 during the first quarter of 2021 to 27,839 during the first quart</w:t>
      </w:r>
      <w:r>
        <w:rPr>
          <w:sz w:val="20"/>
          <w:szCs w:val="20"/>
        </w:rPr>
        <w:t>er of 2022, an increase of 4.9%.  We expect state revenues to further increase as a result of a new contract from the state of Arizona for up to 2,706 inmates awarded in December 2021 at our 3,060-bed La Palma Correctional Center.  We began receiving inmat</w:t>
      </w:r>
      <w:r>
        <w:rPr>
          <w:sz w:val="20"/>
          <w:szCs w:val="20"/>
        </w:rPr>
        <w:t>es from the state of Arizona in April 2022 under this new contract and expect the transfer process to be complete in the fourth quarter of 2022.  Before the new award, the La Palma facility supported the mission of ICE by caring for approximately 1,800 det</w:t>
      </w:r>
      <w:r>
        <w:rPr>
          <w:sz w:val="20"/>
          <w:szCs w:val="20"/>
        </w:rPr>
        <w:t>ainees.  As the new contract with Arizona commences and state inmates are accepted at the facility, we are working closely with ICE to provide alternative capacity within the region in order to continue to support its needs.</w:t>
      </w:r>
    </w:p>
    <w:p w:rsidR="00000000" w:rsidRDefault="008206D2">
      <w:pPr>
        <w:pStyle w:val="a3"/>
        <w:spacing w:before="240" w:beforeAutospacing="0" w:after="0" w:afterAutospacing="0"/>
        <w:jc w:val="both"/>
        <w:rPr>
          <w:sz w:val="20"/>
          <w:szCs w:val="20"/>
        </w:rPr>
      </w:pPr>
      <w:r>
        <w:rPr>
          <w:sz w:val="20"/>
          <w:szCs w:val="20"/>
        </w:rPr>
        <w:t>Local revenues from contracts a</w:t>
      </w:r>
      <w:r>
        <w:rPr>
          <w:sz w:val="20"/>
          <w:szCs w:val="20"/>
        </w:rPr>
        <w:t>t correctional, detention, and residential reentry facilities that we operate decreased $3.1 million, or 25.0%, from the first quarter of 2021 to the first quarter of 2022.  The decrease in local revenue is primarily a result of the contract termination at</w:t>
      </w:r>
      <w:r>
        <w:rPr>
          <w:sz w:val="20"/>
          <w:szCs w:val="20"/>
        </w:rPr>
        <w:t xml:space="preserve"> the 1,030-bed managed-only Marion County Jail on January 31, 2022.  This facility contributed to the reduction in local revenues of $3.6 million. </w:t>
      </w:r>
    </w:p>
    <w:p w:rsidR="00000000" w:rsidRDefault="008206D2">
      <w:pPr>
        <w:pStyle w:val="a3"/>
        <w:spacing w:before="240" w:beforeAutospacing="0" w:after="0" w:afterAutospacing="0"/>
        <w:jc w:val="both"/>
        <w:rPr>
          <w:sz w:val="20"/>
          <w:szCs w:val="20"/>
        </w:rPr>
      </w:pPr>
      <w:r>
        <w:rPr>
          <w:sz w:val="20"/>
          <w:szCs w:val="20"/>
        </w:rPr>
        <w:t>The $6.7 million, or 31.5%, decrease in lease revenue from the first quarter of 2021 to the comparable perio</w:t>
      </w:r>
      <w:r>
        <w:rPr>
          <w:sz w:val="20"/>
          <w:szCs w:val="20"/>
        </w:rPr>
        <w:t xml:space="preserve">d in 2022, was primarily a result of the sale of three actively leased properties during the second quarter of 2021, as further described hereinafter.  The decrease in lease revenue was partially offset by the lease revenue generated from the commencement </w:t>
      </w:r>
      <w:r>
        <w:rPr>
          <w:sz w:val="20"/>
          <w:szCs w:val="20"/>
        </w:rPr>
        <w:t>of the lease of the 596-bed Northwest New Mexico Correctional Center to the state of New Mexico effective November 1, 2021, which was previously operated as a facility in our Safety segment but is now part of our Properties segment.  </w:t>
      </w:r>
    </w:p>
    <w:p w:rsidR="00000000" w:rsidRDefault="008206D2">
      <w:pPr>
        <w:pStyle w:val="a3"/>
        <w:spacing w:before="360" w:beforeAutospacing="0" w:after="0" w:afterAutospacing="0"/>
        <w:jc w:val="both"/>
        <w:rPr>
          <w:i/>
          <w:iCs/>
          <w:sz w:val="20"/>
          <w:szCs w:val="20"/>
        </w:rPr>
      </w:pPr>
      <w:r>
        <w:rPr>
          <w:i/>
          <w:iCs/>
          <w:sz w:val="20"/>
          <w:szCs w:val="20"/>
        </w:rPr>
        <w:t>Operating Expenses</w:t>
      </w:r>
    </w:p>
    <w:p w:rsidR="00000000" w:rsidRDefault="008206D2">
      <w:pPr>
        <w:pStyle w:val="a3"/>
        <w:spacing w:before="120" w:beforeAutospacing="0" w:after="0" w:afterAutospacing="0"/>
        <w:jc w:val="both"/>
        <w:rPr>
          <w:sz w:val="20"/>
          <w:szCs w:val="20"/>
        </w:rPr>
      </w:pPr>
      <w:r>
        <w:rPr>
          <w:sz w:val="20"/>
          <w:szCs w:val="20"/>
        </w:rPr>
        <w:t>Op</w:t>
      </w:r>
      <w:r>
        <w:rPr>
          <w:sz w:val="20"/>
          <w:szCs w:val="20"/>
        </w:rPr>
        <w:t>erating expenses totaled $344.6 million and $332.9 million for the three months ended March 31, 2022 and 2021, respectively. Operating expenses consist of those expenses incurred in the operation and management of correctional, detention, and residential r</w:t>
      </w:r>
      <w:r>
        <w:rPr>
          <w:sz w:val="20"/>
          <w:szCs w:val="20"/>
        </w:rPr>
        <w:t>eentry facilities, as well as those expenses incurred in the operations of TransCor and our electronic monitoring and case management services.  Operating expenses also consist of those expenses incurred in the operation of facilities we lease to third-par</w:t>
      </w:r>
      <w:r>
        <w:rPr>
          <w:sz w:val="20"/>
          <w:szCs w:val="20"/>
        </w:rPr>
        <w:t>ty operators.  </w:t>
      </w:r>
    </w:p>
    <w:p w:rsidR="00000000" w:rsidRDefault="008206D2">
      <w:pPr>
        <w:pStyle w:val="a3"/>
        <w:spacing w:before="240" w:beforeAutospacing="0" w:after="0" w:afterAutospacing="0"/>
        <w:jc w:val="both"/>
        <w:rPr>
          <w:sz w:val="20"/>
          <w:szCs w:val="20"/>
        </w:rPr>
      </w:pPr>
      <w:r>
        <w:rPr>
          <w:sz w:val="20"/>
          <w:szCs w:val="20"/>
        </w:rPr>
        <w:t>Expenses incurred by CoreCivic Safety and CoreCivic Community in connection with the operation and management of our correctional, detention, and residential reentry facilities, as well as those incurred in the operations of TransCor and ou</w:t>
      </w:r>
      <w:r>
        <w:rPr>
          <w:sz w:val="20"/>
          <w:szCs w:val="20"/>
        </w:rPr>
        <w:t xml:space="preserve">r electronic monitoring and case management services, increased $14.7 million, or 4.5%, during the first quarter of 2022 when compared with the same period in 2021. There were several factors that contributed to the increase in operating expenses incurred </w:t>
      </w:r>
      <w:r>
        <w:rPr>
          <w:sz w:val="20"/>
          <w:szCs w:val="20"/>
        </w:rPr>
        <w:t>in these segments.  Operating expenses increased primarily as a result of wage and employee benefits increases and related incremental expenses resulting from labor shortages and wage pressures, as further described hereinafter. Additionally, operating exp</w:t>
      </w:r>
      <w:r>
        <w:rPr>
          <w:sz w:val="20"/>
          <w:szCs w:val="20"/>
        </w:rPr>
        <w:t>enses increased as a result of expenses incurred as we prepare for the aforementioned transition of inmate populations at our La Palma Correctional Center, as a result of a new contract with the state of Arizona. The increase in operating expenses was part</w:t>
      </w:r>
      <w:r>
        <w:rPr>
          <w:sz w:val="20"/>
          <w:szCs w:val="20"/>
        </w:rPr>
        <w:t>ially offset by the contract terminations at our 600-bed West Tennessee Detention Facility effective September 30, 2021, at our 1,033-bed Leavenworth Detention Center effective December 31, 2021, and at the 1,030-bed managed-only Marion County Jail effecti</w:t>
      </w:r>
      <w:r>
        <w:rPr>
          <w:sz w:val="20"/>
          <w:szCs w:val="20"/>
        </w:rPr>
        <w:t>ve January 31, 2022.  In addition, the increase in operating expenses was partially offset by the three-year lease agreement we entered into with the state of New Mexico at our 596-bed Northwest New Mexico Correctional Center effective November 1, 2021.  W</w:t>
      </w:r>
      <w:r>
        <w:rPr>
          <w:sz w:val="20"/>
          <w:szCs w:val="20"/>
        </w:rPr>
        <w:t xml:space="preserve">e previously operated the Northwest New Mexico facility in our Safety segment. </w:t>
      </w:r>
    </w:p>
    <w:p w:rsidR="00000000" w:rsidRDefault="008206D2">
      <w:pPr>
        <w:pStyle w:val="a3"/>
        <w:spacing w:before="240" w:beforeAutospacing="0" w:after="0" w:afterAutospacing="0"/>
        <w:jc w:val="both"/>
        <w:rPr>
          <w:sz w:val="20"/>
          <w:szCs w:val="20"/>
        </w:rPr>
      </w:pPr>
      <w:r>
        <w:rPr>
          <w:sz w:val="20"/>
          <w:szCs w:val="20"/>
        </w:rPr>
        <w:t>Total expenses per compensated man-day increased to $71.20 during the three months ended March 31, 2022 from $67.23 during the three months ended March 31, 2021.  Fixed expense</w:t>
      </w:r>
      <w:r>
        <w:rPr>
          <w:sz w:val="20"/>
          <w:szCs w:val="20"/>
        </w:rPr>
        <w:t>s per compensated man-day increased to $50.79 during the three months ended March 31, 2022 from $49.65 during the same period in the prior year.  We have experienced labor shortages and wage pressures in many markets across the country, and have provided w</w:t>
      </w:r>
      <w:r>
        <w:rPr>
          <w:sz w:val="20"/>
          <w:szCs w:val="20"/>
        </w:rPr>
        <w:t>age increases to remain competitive, including increases to most of our facility staff during the third quarters of both 2021 and 2020.  Recruiting has been particularly challenging during the pandemic due to the front-line nature of the services we provid</w:t>
      </w:r>
      <w:r>
        <w:rPr>
          <w:sz w:val="20"/>
          <w:szCs w:val="20"/>
        </w:rPr>
        <w:t>e, and the shortage of nursing staff across the country has intensified as a result of the COVID-19 pandemic, resulting in a significant increase in registry nursing expenses, as further described hereinafter.  The challenges of recruiting and retaining st</w:t>
      </w:r>
      <w:r>
        <w:rPr>
          <w:sz w:val="20"/>
          <w:szCs w:val="20"/>
        </w:rPr>
        <w:t>aff, including nursing, could be exacerbated by actions taken or contemplated to be taken by government authorities intended to mitigate the spread of COVID-19 such as vaccine mandates, health and safety directives or other requirements that apply to us an</w:t>
      </w:r>
      <w:r>
        <w:rPr>
          <w:sz w:val="20"/>
          <w:szCs w:val="20"/>
        </w:rPr>
        <w:t>d our facilities.</w:t>
      </w:r>
      <w:r>
        <w:t>  </w:t>
      </w:r>
      <w:r>
        <w:rPr>
          <w:sz w:val="20"/>
          <w:szCs w:val="20"/>
        </w:rPr>
        <w:t>Further, we have incurred, and expect to continue to incur, incremental expenses to help ensure sufficient staffing levels under unique and challenging working conditions.  Incremental expenses include, but may not be limited to, incenti</w:t>
      </w:r>
      <w:r>
        <w:rPr>
          <w:sz w:val="20"/>
          <w:szCs w:val="20"/>
        </w:rPr>
        <w:t>ve payments to our front-line and field staff, additional paid time off, off-cycle wage increases in certain markets to remain competitive, further increases in registry nursing expenses, as well as expenses to procure personal protective equipment and oth</w:t>
      </w:r>
      <w:r>
        <w:rPr>
          <w:sz w:val="20"/>
          <w:szCs w:val="20"/>
        </w:rPr>
        <w:t>er supplies.  We continue to incur operating expenses associated with COVID-19 for personal protective equipment and other supplies.  </w:t>
      </w:r>
    </w:p>
    <w:p w:rsidR="00000000" w:rsidRDefault="008206D2">
      <w:pPr>
        <w:pStyle w:val="a3"/>
        <w:spacing w:before="240" w:beforeAutospacing="0" w:after="0" w:afterAutospacing="0"/>
        <w:jc w:val="both"/>
        <w:rPr>
          <w:sz w:val="20"/>
          <w:szCs w:val="20"/>
        </w:rPr>
      </w:pPr>
      <w:r>
        <w:rPr>
          <w:sz w:val="20"/>
          <w:szCs w:val="20"/>
        </w:rPr>
        <w:t>We continually monitor compensation levels very closely along with overall economic conditions and will adjust wage level</w:t>
      </w:r>
      <w:r>
        <w:rPr>
          <w:sz w:val="20"/>
          <w:szCs w:val="20"/>
        </w:rPr>
        <w:t xml:space="preserve">s necessary to help ensure the long-term success of our business.  Further, we continually evaluate the structure of our employee benefits package </w:t>
      </w:r>
    </w:p>
    <w:p w:rsidR="00000000" w:rsidRDefault="008206D2">
      <w:pPr>
        <w:pStyle w:val="a3"/>
        <w:spacing w:before="240" w:beforeAutospacing="0" w:after="0" w:afterAutospacing="0"/>
        <w:jc w:val="center"/>
        <w:rPr>
          <w:sz w:val="20"/>
          <w:szCs w:val="20"/>
        </w:rPr>
      </w:pPr>
      <w:r>
        <w:rPr>
          <w:sz w:val="20"/>
          <w:szCs w:val="20"/>
        </w:rPr>
        <w:t>28</w:t>
      </w:r>
    </w:p>
    <w:p w:rsidR="00000000" w:rsidRDefault="008206D2">
      <w:pPr>
        <w:rPr>
          <w:rFonts w:eastAsia="Times New Roman"/>
        </w:rPr>
      </w:pPr>
      <w:r>
        <w:rPr>
          <w:rFonts w:eastAsia="Times New Roman"/>
        </w:rPr>
        <w:pict>
          <v:rect id="_x0000_i1054"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 xml:space="preserve">and training programs to ensure we are better able to attract and </w:t>
      </w:r>
      <w:r>
        <w:rPr>
          <w:sz w:val="20"/>
          <w:szCs w:val="20"/>
        </w:rPr>
        <w:t xml:space="preserve">retain our employees. Salaries and benefits represent the most significant component of our operating expenses, representing approximately 59% and 60% of our total operating expenses during the three months ended March 31, 2022 and 2021, respectively.  As </w:t>
      </w:r>
      <w:r>
        <w:rPr>
          <w:sz w:val="20"/>
          <w:szCs w:val="20"/>
        </w:rPr>
        <w:t>mentioned, recruiting and retaining staff has become particularly challenging in the current employment market for us and for the corrections and detention industry as a whole. An inability to attract and retain sufficient personnel could prevent us from c</w:t>
      </w:r>
      <w:r>
        <w:rPr>
          <w:sz w:val="20"/>
          <w:szCs w:val="20"/>
        </w:rPr>
        <w:t>aring for additional residential populations for government agencies in need of additional capacity due to an increase in inmate populations or an inability to adequately staff their facilities. An inability to attract and retain sufficient personnel in ou</w:t>
      </w:r>
      <w:r>
        <w:rPr>
          <w:sz w:val="20"/>
          <w:szCs w:val="20"/>
        </w:rPr>
        <w:t>r existing facilities could also cause our government partners to assess liquidated damages, reduce our residential populations, or in extreme circumstances, cancel our contracts. We have also been subjected to increasing staff vacancy deductions as a resu</w:t>
      </w:r>
      <w:r>
        <w:rPr>
          <w:sz w:val="20"/>
          <w:szCs w:val="20"/>
        </w:rPr>
        <w:t>lt of the labor shortages, which are reflected as reductions to other management revenue.  Estimating vacancy deduction amounts can be complex and subject to management judgment and estimations.  Some of our government partners have granted waivers for vac</w:t>
      </w:r>
      <w:r>
        <w:rPr>
          <w:sz w:val="20"/>
          <w:szCs w:val="20"/>
        </w:rPr>
        <w:t xml:space="preserve">ancy deductions in recognition of the unique and challenging labor market, while others have discretionarily adjusted such deductions based on our extraordinary costs, efforts and incentive programs implemented to attract and retain staff. </w:t>
      </w:r>
    </w:p>
    <w:p w:rsidR="00000000" w:rsidRDefault="008206D2">
      <w:pPr>
        <w:pStyle w:val="a3"/>
        <w:spacing w:before="240" w:beforeAutospacing="0" w:after="0" w:afterAutospacing="0"/>
        <w:jc w:val="both"/>
        <w:rPr>
          <w:sz w:val="20"/>
          <w:szCs w:val="20"/>
        </w:rPr>
      </w:pPr>
      <w:r>
        <w:rPr>
          <w:sz w:val="20"/>
          <w:szCs w:val="20"/>
        </w:rPr>
        <w:t>Variable expens</w:t>
      </w:r>
      <w:r>
        <w:rPr>
          <w:sz w:val="20"/>
          <w:szCs w:val="20"/>
        </w:rPr>
        <w:t>es per compensated man-day increased to $20.41</w:t>
      </w:r>
      <w:r>
        <w:rPr>
          <w:b/>
          <w:bCs/>
          <w:sz w:val="20"/>
          <w:szCs w:val="20"/>
        </w:rPr>
        <w:t xml:space="preserve"> </w:t>
      </w:r>
      <w:r>
        <w:rPr>
          <w:sz w:val="20"/>
          <w:szCs w:val="20"/>
        </w:rPr>
        <w:t xml:space="preserve">during the three months ended March 31, 2022, from $17.58 during the same period in the prior year.  The increase in variable expenses per compensated man-day was primarily a result of an increase in registry </w:t>
      </w:r>
      <w:r>
        <w:rPr>
          <w:sz w:val="20"/>
          <w:szCs w:val="20"/>
        </w:rPr>
        <w:t>nursing expenses of $6.4 million, or $1.37 per compensated man-day, due to the shortage of nursing staff across the country.</w:t>
      </w:r>
      <w:r>
        <w:rPr>
          <w:b/>
          <w:bCs/>
          <w:sz w:val="20"/>
          <w:szCs w:val="20"/>
        </w:rPr>
        <w:t xml:space="preserve">   </w:t>
      </w:r>
      <w:r>
        <w:rPr>
          <w:sz w:val="20"/>
          <w:szCs w:val="20"/>
        </w:rPr>
        <w:t>In addition, we experienced an increase in travel expenses from the same period in the prior year as we supported our staff who a</w:t>
      </w:r>
      <w:r>
        <w:rPr>
          <w:sz w:val="20"/>
          <w:szCs w:val="20"/>
        </w:rPr>
        <w:t>re temporarily deployed across the Company to help address the labor shortages we are experiencing in certain regions.</w:t>
      </w:r>
    </w:p>
    <w:p w:rsidR="00000000" w:rsidRDefault="008206D2">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decreased $3.0 million, or 47.7%, during the first quarter of 2022 when compared with the same period in 2021. The decrease in expenses in t</w:t>
      </w:r>
      <w:r>
        <w:rPr>
          <w:sz w:val="20"/>
          <w:szCs w:val="20"/>
        </w:rPr>
        <w:t>his segment was primarily a result of the sale of three actively leased properties during the second quarter of 2021, as further described hereinafter.  The decrease in lease revenue was partially offset by the lease revenue generated from the commencement</w:t>
      </w:r>
      <w:r>
        <w:rPr>
          <w:sz w:val="20"/>
          <w:szCs w:val="20"/>
        </w:rPr>
        <w:t xml:space="preserve"> of the lease of the 596-bed Northwest New Mexico Correctional Center effective November 1, 2021, also as further described hereinafter. </w:t>
      </w:r>
    </w:p>
    <w:p w:rsidR="00000000" w:rsidRDefault="008206D2">
      <w:pPr>
        <w:pStyle w:val="a3"/>
        <w:spacing w:before="360" w:beforeAutospacing="0" w:after="0" w:afterAutospacing="0"/>
        <w:jc w:val="both"/>
        <w:rPr>
          <w:i/>
          <w:iCs/>
          <w:sz w:val="20"/>
          <w:szCs w:val="20"/>
        </w:rPr>
      </w:pPr>
      <w:r>
        <w:rPr>
          <w:i/>
          <w:iCs/>
          <w:sz w:val="20"/>
          <w:szCs w:val="20"/>
        </w:rPr>
        <w:t>Facility Management Contracts</w:t>
      </w:r>
    </w:p>
    <w:p w:rsidR="00000000" w:rsidRDefault="008206D2">
      <w:pPr>
        <w:pStyle w:val="a3"/>
        <w:spacing w:before="120" w:beforeAutospacing="0" w:after="0" w:afterAutospacing="0"/>
        <w:jc w:val="both"/>
        <w:rPr>
          <w:sz w:val="20"/>
          <w:szCs w:val="20"/>
        </w:rPr>
      </w:pPr>
      <w:r>
        <w:rPr>
          <w:sz w:val="20"/>
          <w:szCs w:val="20"/>
        </w:rPr>
        <w:t>We enter into facility management contracts to provide bed capacity and management servi</w:t>
      </w:r>
      <w:r>
        <w:rPr>
          <w:sz w:val="20"/>
          <w:szCs w:val="20"/>
        </w:rPr>
        <w:t>ces to governmental entities in our CoreCivic Safety and CoreCivic Community segments for terms typically ranging from three to five years, with additional renewal periods at the option of the contracting governmental agency. Accordingly, a substantial por</w:t>
      </w:r>
      <w:r>
        <w:rPr>
          <w:sz w:val="20"/>
          <w:szCs w:val="20"/>
        </w:rPr>
        <w:t>tion of our facility management contracts are scheduled to expire each year, notwithstanding contractual renewal options that a government agency may exercise. Although we generally expect these customers to exercise renewal options or negotiate new contra</w:t>
      </w:r>
      <w:r>
        <w:rPr>
          <w:sz w:val="20"/>
          <w:szCs w:val="20"/>
        </w:rPr>
        <w:t xml:space="preserve">cts with us, one or more of these contracts may not be renewed by the corresponding governmental agency.  Further, our government partners can generally terminate our management contracts for non-appropriation of funds or for convenience. </w:t>
      </w:r>
    </w:p>
    <w:p w:rsidR="00000000" w:rsidRDefault="008206D2">
      <w:pPr>
        <w:pStyle w:val="a3"/>
        <w:spacing w:before="240" w:beforeAutospacing="0" w:after="0" w:afterAutospacing="0"/>
        <w:jc w:val="both"/>
        <w:rPr>
          <w:sz w:val="20"/>
          <w:szCs w:val="20"/>
        </w:rPr>
      </w:pPr>
      <w:r>
        <w:rPr>
          <w:sz w:val="20"/>
          <w:szCs w:val="20"/>
        </w:rPr>
        <w:t>Additionally, th</w:t>
      </w:r>
      <w:r>
        <w:rPr>
          <w:sz w:val="20"/>
          <w:szCs w:val="20"/>
        </w:rPr>
        <w:t xml:space="preserve">e Private Prison EO issued by President Biden on January 26, 2021, directs the Attorney General to not renew DOJ contracts with privately operated criminal detention facilities.  Two agencies of the DOJ, the BOP and the USMS utilize our services.  The BOP </w:t>
      </w:r>
      <w:r>
        <w:rPr>
          <w:sz w:val="20"/>
          <w:szCs w:val="20"/>
        </w:rPr>
        <w:t>houses inmates who have been convicted, and the USMS is generally responsible for detainees who are awaiting trial.  The BOP has experienced a steady decline in inmate populations over the last eight years, a trend that has been accelerated by the COVID-19</w:t>
      </w:r>
      <w:r>
        <w:rPr>
          <w:sz w:val="20"/>
          <w:szCs w:val="20"/>
        </w:rPr>
        <w:t xml:space="preserve"> pandemic.  We currently have one prison contract with the BOP at our 1,978-bed McRae Correctional Facility, accounting for 2% ($40.6 million) of our total revenue for the twelve months ended December 31, 2021, which expires in November 2022.  During the t</w:t>
      </w:r>
      <w:r>
        <w:rPr>
          <w:sz w:val="20"/>
          <w:szCs w:val="20"/>
        </w:rPr>
        <w:t>hree months ended March 31, 2022, we generated management revenue of $10.3 million from this contract with the BOP.  We do not expect this contract to be renewed upon expiration.  The Private Prison EO only applies to agencies that are part of the DOJ, whi</w:t>
      </w:r>
      <w:r>
        <w:rPr>
          <w:sz w:val="20"/>
          <w:szCs w:val="20"/>
        </w:rPr>
        <w:t>ch includes the BOP and USMS.  ICE facilities are not covered by the Private Prison EO, as ICE is an agency of DHS, not the DOJ, although it is possible that the federal government could choose to take similar action on ICE facilities in the future.  </w:t>
      </w:r>
      <w:r>
        <w:rPr>
          <w:color w:val="000000"/>
          <w:spacing w:val="3"/>
          <w:sz w:val="20"/>
          <w:szCs w:val="20"/>
        </w:rPr>
        <w:t>For t</w:t>
      </w:r>
      <w:r>
        <w:rPr>
          <w:color w:val="000000"/>
          <w:spacing w:val="3"/>
          <w:sz w:val="20"/>
          <w:szCs w:val="20"/>
        </w:rPr>
        <w:t>he twelve months ended December 31, 2021, USMS and ICE accounted for 23% ($433.6 million) and 30% ($552.2 million), respectively, of our total revenue.  </w:t>
      </w:r>
    </w:p>
    <w:p w:rsidR="00000000" w:rsidRDefault="008206D2">
      <w:pPr>
        <w:pStyle w:val="a3"/>
        <w:spacing w:before="240" w:beforeAutospacing="0" w:after="0" w:afterAutospacing="0"/>
        <w:jc w:val="both"/>
        <w:rPr>
          <w:sz w:val="20"/>
          <w:szCs w:val="20"/>
        </w:rPr>
      </w:pPr>
      <w:r>
        <w:rPr>
          <w:sz w:val="20"/>
          <w:szCs w:val="20"/>
        </w:rPr>
        <w:t xml:space="preserve">Unlike the BOP, the USMS does not own detention capacity and relies on the private sector, along with </w:t>
      </w:r>
      <w:r>
        <w:rPr>
          <w:sz w:val="20"/>
          <w:szCs w:val="20"/>
        </w:rPr>
        <w:t xml:space="preserve">various government agencies, for its detainee population. </w:t>
      </w:r>
      <w:r>
        <w:rPr>
          <w:color w:val="000000"/>
          <w:spacing w:val="3"/>
          <w:sz w:val="20"/>
          <w:szCs w:val="20"/>
        </w:rPr>
        <w:t>The USMS has been advised by the Office of the Deputy Attorney General not to renew existing contracts, or enter into new contracts for private detention facilities.  We currently have six detention</w:t>
      </w:r>
      <w:r>
        <w:rPr>
          <w:color w:val="000000"/>
          <w:spacing w:val="3"/>
          <w:sz w:val="20"/>
          <w:szCs w:val="20"/>
        </w:rPr>
        <w:t xml:space="preserve"> facilities that have separate contracts where the USMS is the primary customer within the facility that all expire at various times over the next several years, with the exception of two contracts that have indefinite terms. Non-renewal of these contracts</w:t>
      </w:r>
      <w:r>
        <w:rPr>
          <w:color w:val="000000"/>
          <w:spacing w:val="3"/>
          <w:sz w:val="20"/>
          <w:szCs w:val="20"/>
        </w:rPr>
        <w:t>, or the expansion of the Private Prison EO to ICE, could have a material adverse effect on our business, financial condition, and results of operations if we are unable to replace the cash flows with new management contracts like we did at our Northeast O</w:t>
      </w:r>
      <w:r>
        <w:rPr>
          <w:color w:val="000000"/>
          <w:spacing w:val="3"/>
          <w:sz w:val="20"/>
          <w:szCs w:val="20"/>
        </w:rPr>
        <w:t>hio and Crossroads facilities.  As of March 31, 2021, one of the aforementioned six contracts, a contract with a government agency at our 2,672-bed Tallahatchie County Correctional Facility in Mississippi that allows the USMS to utilize available capacity,</w:t>
      </w:r>
      <w:r>
        <w:rPr>
          <w:color w:val="000000"/>
          <w:spacing w:val="3"/>
          <w:sz w:val="20"/>
          <w:szCs w:val="20"/>
        </w:rPr>
        <w:t xml:space="preserve"> expires in June 2022.  During the three months ended March 31, 2022 and the twelve months ended December 31, 2021, we generated management revenue of $4.5 million and $30.3 million, respectively, from the USMS under this contract. </w:t>
      </w:r>
    </w:p>
    <w:p w:rsidR="00000000" w:rsidRDefault="008206D2">
      <w:pPr>
        <w:pStyle w:val="a3"/>
        <w:spacing w:before="240" w:beforeAutospacing="0" w:after="0" w:afterAutospacing="0"/>
        <w:jc w:val="center"/>
        <w:rPr>
          <w:sz w:val="20"/>
          <w:szCs w:val="20"/>
        </w:rPr>
      </w:pPr>
      <w:r>
        <w:rPr>
          <w:sz w:val="20"/>
          <w:szCs w:val="20"/>
        </w:rPr>
        <w:t>29</w:t>
      </w:r>
    </w:p>
    <w:p w:rsidR="00000000" w:rsidRDefault="008206D2">
      <w:pPr>
        <w:rPr>
          <w:rFonts w:eastAsia="Times New Roman"/>
        </w:rPr>
      </w:pPr>
      <w:r>
        <w:rPr>
          <w:rFonts w:eastAsia="Times New Roman"/>
        </w:rPr>
        <w:pict>
          <v:rect id="_x0000_i1055"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 xml:space="preserve">Based on information available as of the date of this Quarterly Report, other than the previously mentioned contract with the BOP at our McRae facility, </w:t>
      </w:r>
      <w:r>
        <w:rPr>
          <w:sz w:val="20"/>
          <w:szCs w:val="20"/>
        </w:rPr>
        <w:t>we believe we will renew all other contracts with our government partners that have expired or are scheduled to expire within the next twelve months that could have a material adverse impact on our financial statements.  We believe our renewal rate on exis</w:t>
      </w:r>
      <w:r>
        <w:rPr>
          <w:sz w:val="20"/>
          <w:szCs w:val="20"/>
        </w:rPr>
        <w:t>ting contracts remains high due to a variety of reasons including, but not limited to, the constrained supply of available beds within the U.S. correctional system, our ownership of the majority of the beds we operate, and the cost effectiveness of the ser</w:t>
      </w:r>
      <w:r>
        <w:rPr>
          <w:sz w:val="20"/>
          <w:szCs w:val="20"/>
        </w:rPr>
        <w:t>vices we provide.  However, we cannot assure we will continue to achieve such renewal rates in the future.  </w:t>
      </w:r>
    </w:p>
    <w:p w:rsidR="00000000" w:rsidRDefault="008206D2">
      <w:pPr>
        <w:pStyle w:val="a3"/>
        <w:spacing w:before="360" w:beforeAutospacing="0" w:after="0" w:afterAutospacing="0"/>
        <w:jc w:val="both"/>
        <w:rPr>
          <w:i/>
          <w:iCs/>
          <w:sz w:val="20"/>
          <w:szCs w:val="20"/>
        </w:rPr>
      </w:pPr>
      <w:r>
        <w:rPr>
          <w:i/>
          <w:iCs/>
          <w:sz w:val="20"/>
          <w:szCs w:val="20"/>
        </w:rPr>
        <w:t xml:space="preserve">CoreCivic Safety </w:t>
      </w:r>
    </w:p>
    <w:p w:rsidR="00000000" w:rsidRDefault="008206D2">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each period.</w:t>
      </w:r>
      <w:r>
        <w:rPr>
          <w:sz w:val="20"/>
          <w:szCs w:val="20"/>
        </w:rPr>
        <w:t>  Total revenue generated by CoreCivic Safety increased $4.5 million, or 1.1%, from $409.8 million during the three months ended March 31, 2021 to $414.2 million during the three months ended March 31, 2022. CoreCivic Safety's facility net operating income</w:t>
      </w:r>
      <w:r>
        <w:rPr>
          <w:sz w:val="20"/>
          <w:szCs w:val="20"/>
        </w:rPr>
        <w:t xml:space="preserve"> decreased $11.1 million, or 10.7%, from $104.3 million during the three months ended March 31, 2021 to $93.2 million during the three months ended March 31, 2022. During the three months ended March 31, 2022, CoreCivic Safety generated 84.3% of our total </w:t>
      </w:r>
      <w:r>
        <w:rPr>
          <w:sz w:val="20"/>
          <w:szCs w:val="20"/>
        </w:rPr>
        <w:t xml:space="preserve">segment net operating income, compared with 84.1% during the three months ended March 31, 2021. </w:t>
      </w:r>
    </w:p>
    <w:p w:rsidR="00000000" w:rsidRDefault="008206D2">
      <w:pPr>
        <w:pStyle w:val="a3"/>
        <w:spacing w:before="240" w:beforeAutospacing="0" w:after="0" w:afterAutospacing="0"/>
        <w:jc w:val="both"/>
        <w:rPr>
          <w:sz w:val="20"/>
          <w:szCs w:val="20"/>
        </w:rPr>
      </w:pPr>
      <w:r>
        <w:rPr>
          <w:sz w:val="20"/>
          <w:szCs w:val="20"/>
        </w:rPr>
        <w:t xml:space="preserve">The following table displays the revenue and expenses per compensated man-day for CoreCivic Safety's correctional and detention facilities placed into service </w:t>
      </w:r>
      <w:r>
        <w:rPr>
          <w:sz w:val="20"/>
          <w:szCs w:val="20"/>
        </w:rPr>
        <w:t>that we own and manage and for the facilities we manage but do not own, inclusive of the transportation services provided by TransCor:</w:t>
      </w:r>
    </w:p>
    <w:p w:rsidR="00000000" w:rsidRDefault="008206D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50"/>
        <w:gridCol w:w="65"/>
        <w:gridCol w:w="115"/>
        <w:gridCol w:w="882"/>
        <w:gridCol w:w="215"/>
        <w:gridCol w:w="65"/>
        <w:gridCol w:w="115"/>
        <w:gridCol w:w="886"/>
        <w:gridCol w:w="182"/>
      </w:tblGrid>
      <w:tr w:rsidR="00000000">
        <w:trPr>
          <w:divId w:val="1775586731"/>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775586731"/>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775586731"/>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CoreCivic Safety Facilities: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93.38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91.25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51.40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49.96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20.96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18.05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72.36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68.01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21.02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23.24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775586731"/>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71.7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775586731"/>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68,712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70,003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775586731"/>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49,292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49,895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240" w:beforeAutospacing="0" w:after="0" w:afterAutospacing="0"/>
        <w:jc w:val="both"/>
        <w:rPr>
          <w:color w:val="000000"/>
          <w:spacing w:val="3"/>
          <w:sz w:val="20"/>
          <w:szCs w:val="20"/>
        </w:rPr>
      </w:pPr>
      <w:r>
        <w:rPr>
          <w:color w:val="000000"/>
          <w:spacing w:val="3"/>
          <w:sz w:val="20"/>
          <w:szCs w:val="20"/>
        </w:rPr>
        <w:t>The Private Prison EO could have a negative impact on our future results of operations and cash flows, to the extent we are unable to replace the cash flows with new management contracts like we did at our Northeast Ohio and Crossroads facilities, as previ</w:t>
      </w:r>
      <w:r>
        <w:rPr>
          <w:color w:val="000000"/>
          <w:spacing w:val="3"/>
          <w:sz w:val="20"/>
          <w:szCs w:val="20"/>
        </w:rPr>
        <w:t>ously described herein.  We had direct contracts with the USMS to care for detainees at our 600-bed West Tennessee Detention Facility that expired on September 30, 2021 and was not renewed and our 1,033-bed Leavenworth Detention Center that expired on Dece</w:t>
      </w:r>
      <w:r>
        <w:rPr>
          <w:color w:val="000000"/>
          <w:spacing w:val="3"/>
          <w:sz w:val="20"/>
          <w:szCs w:val="20"/>
        </w:rPr>
        <w:t>mber 31, 2021 and was not renewed. We are actively marketing the West Tennessee and Leavenworth facilities to other government agencies, and in August 2021, we submitted a formal response to a government agency's request for proposal to utilize the West Te</w:t>
      </w:r>
      <w:r>
        <w:rPr>
          <w:color w:val="000000"/>
          <w:spacing w:val="3"/>
          <w:sz w:val="20"/>
          <w:szCs w:val="20"/>
        </w:rPr>
        <w:t>nnessee facility.  We are also currently in discussions with, and have submitted proposals to, other potential government partners to utilize the Leavenworth facility.  However, we can provide no assurance that we will be able to reach an agreement for the</w:t>
      </w:r>
      <w:r>
        <w:rPr>
          <w:color w:val="000000"/>
          <w:spacing w:val="3"/>
          <w:sz w:val="20"/>
          <w:szCs w:val="20"/>
        </w:rPr>
        <w:t xml:space="preserve"> utilization of the West Tennessee and Leavenworth facilities. During the three months ended March 31, 2021 and the year ended December 31, 2021, the contract with the USMS at our West Tennessee facility generated management revenue of $5.2 million and $14</w:t>
      </w:r>
      <w:r>
        <w:rPr>
          <w:color w:val="000000"/>
          <w:spacing w:val="3"/>
          <w:sz w:val="20"/>
          <w:szCs w:val="20"/>
        </w:rPr>
        <w:t xml:space="preserve">.7 million, respectively. During the three months ended March 31, 2021 and the time the facility was active during 2021, the West Tennessee facility generated facility net operating income, or facility revenues less operating expenses, of $0.1 million and </w:t>
      </w:r>
      <w:r>
        <w:rPr>
          <w:color w:val="000000"/>
          <w:spacing w:val="3"/>
          <w:sz w:val="20"/>
          <w:szCs w:val="20"/>
        </w:rPr>
        <w:t>$0.4 million, respectively.  During the three months ended March 31, 2021 and the year ended December 31, 2021, the contract with the USMS at our Leavenworth facility generated management revenue of $9.8 million and $36.4 million, respectively, and generat</w:t>
      </w:r>
      <w:r>
        <w:rPr>
          <w:color w:val="000000"/>
          <w:spacing w:val="3"/>
          <w:sz w:val="20"/>
          <w:szCs w:val="20"/>
        </w:rPr>
        <w:t>ed facility net operating income of $2.6 million and $4.8 million, respectively. We idled both the West Tennessee and Leavenworth facilities upon expiration of the contracts with the USMS.  However, we have retained a certain staffing level at both facilit</w:t>
      </w:r>
      <w:r>
        <w:rPr>
          <w:color w:val="000000"/>
          <w:spacing w:val="3"/>
          <w:sz w:val="20"/>
          <w:szCs w:val="20"/>
        </w:rPr>
        <w:t>ies in order to quickly respond should we enter into new contracts with government agencies in the near-term and to provide transportation services at the Leavenworth facility, which contributed to the increase in operating expenses per man-day in our Safe</w:t>
      </w:r>
      <w:r>
        <w:rPr>
          <w:color w:val="000000"/>
          <w:spacing w:val="3"/>
          <w:sz w:val="20"/>
          <w:szCs w:val="20"/>
        </w:rPr>
        <w:t>ty segment.  During the three months ended March 31, 2022, these two facilities experienced facility net operating losses aggregating $2.9 million, resulting in a total reduction to facility net operating income of $5.6 million at these two facilities as c</w:t>
      </w:r>
      <w:r>
        <w:rPr>
          <w:color w:val="000000"/>
          <w:spacing w:val="3"/>
          <w:sz w:val="20"/>
          <w:szCs w:val="20"/>
        </w:rPr>
        <w:t>ompared to the same period in 2021.</w:t>
      </w:r>
    </w:p>
    <w:p w:rsidR="00000000" w:rsidRDefault="008206D2">
      <w:pPr>
        <w:pStyle w:val="a3"/>
        <w:spacing w:before="240" w:beforeAutospacing="0" w:after="0" w:afterAutospacing="0"/>
        <w:jc w:val="center"/>
        <w:rPr>
          <w:sz w:val="20"/>
          <w:szCs w:val="20"/>
        </w:rPr>
      </w:pPr>
      <w:r>
        <w:rPr>
          <w:sz w:val="20"/>
          <w:szCs w:val="20"/>
        </w:rPr>
        <w:t>30</w:t>
      </w:r>
    </w:p>
    <w:p w:rsidR="00000000" w:rsidRDefault="008206D2">
      <w:pPr>
        <w:rPr>
          <w:rFonts w:eastAsia="Times New Roman"/>
        </w:rPr>
      </w:pPr>
      <w:r>
        <w:rPr>
          <w:rFonts w:eastAsia="Times New Roman"/>
        </w:rPr>
        <w:pict>
          <v:rect id="_x0000_i1056"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Our managed-only contract for the 1,030-bed Marion County Jail in Indianapolis, Indiana terminated and operations transitioned to Marion County effective January 31, 2022.  Mario</w:t>
      </w:r>
      <w:r>
        <w:rPr>
          <w:sz w:val="20"/>
          <w:szCs w:val="20"/>
        </w:rPr>
        <w:t>n County constructed a replacement facility that became fully operational in January 2022.  The County intends to redevelop the property where the Marion County Jail was located, and we received notice in the second quarter of 2021 that the County intended</w:t>
      </w:r>
      <w:r>
        <w:rPr>
          <w:sz w:val="20"/>
          <w:szCs w:val="20"/>
        </w:rPr>
        <w:t xml:space="preserve"> to terminate the contract effective December 31, 2021.  The contract was subsequently amended and extended through January 31, 2022 to allow the County more time to prepare for the transition.  During the first quarter of 2021, this facility generated fac</w:t>
      </w:r>
      <w:r>
        <w:rPr>
          <w:sz w:val="20"/>
          <w:szCs w:val="20"/>
        </w:rPr>
        <w:t>ility net operating income of $1.0 million, compared to a facility net operating loss of $0.1 million during the first quarter of 2022.</w:t>
      </w:r>
    </w:p>
    <w:p w:rsidR="00000000" w:rsidRDefault="008206D2">
      <w:pPr>
        <w:pStyle w:val="a3"/>
        <w:spacing w:before="240" w:beforeAutospacing="0" w:after="0" w:afterAutospacing="0"/>
        <w:jc w:val="both"/>
        <w:rPr>
          <w:sz w:val="20"/>
          <w:szCs w:val="20"/>
        </w:rPr>
      </w:pPr>
      <w:r>
        <w:rPr>
          <w:sz w:val="20"/>
          <w:szCs w:val="20"/>
        </w:rPr>
        <w:t xml:space="preserve">On September 20, 2021, we entered into a three-year lease agreement with the state of New Mexico at our 596-bed Northwest New Mexico Correctional Center.  We previously operated the Northwest New Mexico facility in our Safety segment under a contract with </w:t>
      </w:r>
      <w:r>
        <w:rPr>
          <w:sz w:val="20"/>
          <w:szCs w:val="20"/>
        </w:rPr>
        <w:t xml:space="preserve">the state of New Mexico. We transitioned facility operations to the New Mexico Corrections Department upon commencement of the new lease agreement on November 1, 2021.  During the time the facility operated in our Safety segment during 2021, the Northwest </w:t>
      </w:r>
      <w:r>
        <w:rPr>
          <w:sz w:val="20"/>
          <w:szCs w:val="20"/>
        </w:rPr>
        <w:t xml:space="preserve">New Mexico facility generated revenue of $9.2 million, including revenue of $2.9 million in the first quarter of 2021, and incurred a facility net operating loss of $2.3 million, including a net operating loss of $0.4 million in the first quarter of 2021. </w:t>
      </w:r>
      <w:r>
        <w:rPr>
          <w:sz w:val="20"/>
          <w:szCs w:val="20"/>
        </w:rPr>
        <w:t>During the first quarter of 2022, this facility generated lease revenue of $0.8 million, and facility net operating income of $0.4 million.</w:t>
      </w:r>
    </w:p>
    <w:p w:rsidR="00000000" w:rsidRDefault="008206D2">
      <w:pPr>
        <w:pStyle w:val="a3"/>
        <w:spacing w:before="240" w:beforeAutospacing="0" w:after="0" w:afterAutospacing="0"/>
        <w:jc w:val="both"/>
        <w:rPr>
          <w:sz w:val="20"/>
          <w:szCs w:val="20"/>
        </w:rPr>
      </w:pPr>
      <w:r>
        <w:rPr>
          <w:sz w:val="20"/>
          <w:szCs w:val="20"/>
        </w:rPr>
        <w:t>In December 2021, we were awarded a new management contract from the state of Arizona for up to 2,706 inmates at our</w:t>
      </w:r>
      <w:r>
        <w:rPr>
          <w:sz w:val="20"/>
          <w:szCs w:val="20"/>
        </w:rPr>
        <w:t xml:space="preserve"> 3,060-bed La Palma Correctional Center in Arizona. The State will close an outdated public-sector prison and transfer the inmate populations to our La Palma facility.  The transfer began in April 2022, and is expected to be completed in the fourth quarter</w:t>
      </w:r>
      <w:r>
        <w:rPr>
          <w:sz w:val="20"/>
          <w:szCs w:val="20"/>
        </w:rPr>
        <w:t xml:space="preserve"> of 2022.  Before the new award, the La Palma facility supported the mission of ICE by caring for approximately 1,800 detainees.  As the new contract with Arizona commences and state inmates are accepted at the facility, we are working closely with ICE to </w:t>
      </w:r>
      <w:r>
        <w:rPr>
          <w:sz w:val="20"/>
          <w:szCs w:val="20"/>
        </w:rPr>
        <w:t>provide alternative capacity within the region in order to continue to support their needs.  </w:t>
      </w:r>
      <w:r>
        <w:rPr>
          <w:color w:val="000000"/>
          <w:sz w:val="20"/>
          <w:szCs w:val="20"/>
        </w:rPr>
        <w:t>We expect the transition of population from ICE detainees to inmates from the state of Arizona will result in the disruption of earnings and cash flows until the o</w:t>
      </w:r>
      <w:r>
        <w:rPr>
          <w:color w:val="000000"/>
          <w:sz w:val="20"/>
          <w:szCs w:val="20"/>
        </w:rPr>
        <w:t>ccupancy of inmates from the state of Arizona reaches stabilization.  </w:t>
      </w:r>
      <w:r>
        <w:rPr>
          <w:sz w:val="20"/>
          <w:szCs w:val="20"/>
        </w:rPr>
        <w:t>Upon full utilization of the new contract, we expect to generate approximately $75.0 million to $85.0 million in annualized revenue at the La Palma facility. However, because of the prep</w:t>
      </w:r>
      <w:r>
        <w:rPr>
          <w:sz w:val="20"/>
          <w:szCs w:val="20"/>
        </w:rPr>
        <w:t>aration to receive the Arizona inmates, including a reduction in the average daily population of ICE detainees at the facility, facility net operating income decreased $2.4 million during the first quarter of 2022 compared with the first quarter of 2021.</w:t>
      </w:r>
    </w:p>
    <w:p w:rsidR="00000000" w:rsidRDefault="008206D2">
      <w:pPr>
        <w:pStyle w:val="a3"/>
        <w:spacing w:before="240" w:beforeAutospacing="0" w:after="0" w:afterAutospacing="0"/>
        <w:jc w:val="both"/>
        <w:rPr>
          <w:color w:val="000000"/>
          <w:sz w:val="20"/>
          <w:szCs w:val="20"/>
        </w:rPr>
      </w:pPr>
      <w:r>
        <w:rPr>
          <w:color w:val="000000"/>
          <w:sz w:val="20"/>
          <w:szCs w:val="20"/>
        </w:rPr>
        <w:t>O</w:t>
      </w:r>
      <w:r>
        <w:rPr>
          <w:color w:val="000000"/>
          <w:sz w:val="20"/>
          <w:szCs w:val="20"/>
        </w:rPr>
        <w:t>perating margins in the CoreCivic Safety segment were also negatively impacted during the first quarter of 2022 by increased operating expenses per man-day, which was driven primarily by incremental staffing levels, higher wage rates, and increased registr</w:t>
      </w:r>
      <w:r>
        <w:rPr>
          <w:color w:val="000000"/>
          <w:sz w:val="20"/>
          <w:szCs w:val="20"/>
        </w:rPr>
        <w:t>y nursing and other related expenses. As previously described herein, we have experienced labor shortages and wage pressures in many markets across the country, and have provided wage increases to remain competitive, including increases to most of our faci</w:t>
      </w:r>
      <w:r>
        <w:rPr>
          <w:color w:val="000000"/>
          <w:sz w:val="20"/>
          <w:szCs w:val="20"/>
        </w:rPr>
        <w:t>lity staff during the third quarters of both 2021 and 2020. Further, we have incurred, and expect to continue to incur, incremental expenses to help ensure sufficient staffing levels under unique and challenging working conditions, including but not limite</w:t>
      </w:r>
      <w:r>
        <w:rPr>
          <w:color w:val="000000"/>
          <w:sz w:val="20"/>
          <w:szCs w:val="20"/>
        </w:rPr>
        <w:t>d to, shift incentive bonuses, recruiting and retention bonuses, off-cycle wage increases, as well as relocation incentives.  During 2021, we operated at reduced staffing levels due to COVID-19 health and safety measures, including occupancy restrictions a</w:t>
      </w:r>
      <w:r>
        <w:rPr>
          <w:color w:val="000000"/>
          <w:sz w:val="20"/>
          <w:szCs w:val="20"/>
        </w:rPr>
        <w:t>nd labor shortages in many of our markets. Further, in an effort to mitigate the spread of COVID-19 and at the direction of our government partners, we significantly reduced the level of movement within our facilities, enabling us to more efficiently manag</w:t>
      </w:r>
      <w:r>
        <w:rPr>
          <w:color w:val="000000"/>
          <w:sz w:val="20"/>
          <w:szCs w:val="20"/>
        </w:rPr>
        <w:t>e our staffing.  We have worked with our government partners and followed national and local health standards as we reinstated normal movement within our facilities.  The negative impact on operating margins resulting from these factors was partially offse</w:t>
      </w:r>
      <w:r>
        <w:rPr>
          <w:color w:val="000000"/>
          <w:sz w:val="20"/>
          <w:szCs w:val="20"/>
        </w:rPr>
        <w:t xml:space="preserve">t by a 2.3% increase in average revenue per compensated man-day.  The increase in average revenue per compensated man-day resulted from the effect of per diem increases at several of our facilities, as well as a higher mix of federal populations at higher </w:t>
      </w:r>
      <w:r>
        <w:rPr>
          <w:color w:val="000000"/>
          <w:sz w:val="20"/>
          <w:szCs w:val="20"/>
        </w:rPr>
        <w:t>per diem rates.</w:t>
      </w:r>
    </w:p>
    <w:p w:rsidR="00000000" w:rsidRDefault="008206D2">
      <w:pPr>
        <w:pStyle w:val="a3"/>
        <w:spacing w:before="240" w:beforeAutospacing="0" w:after="0" w:afterAutospacing="0"/>
        <w:jc w:val="both"/>
        <w:rPr>
          <w:sz w:val="20"/>
          <w:szCs w:val="20"/>
        </w:rPr>
      </w:pPr>
      <w:r>
        <w:rPr>
          <w:sz w:val="20"/>
          <w:szCs w:val="20"/>
        </w:rPr>
        <w:t>California Assembly Bill 32, or AB32, became effective January 1, 2020.  AB32 generally prohibits new contracts and renewals of existing contracts between private, for-profit entities and government agencies for the operation of detention f</w:t>
      </w:r>
      <w:r>
        <w:rPr>
          <w:sz w:val="20"/>
          <w:szCs w:val="20"/>
        </w:rPr>
        <w:t>acilities within the state of California, and prohibits the utilization of detention centers operated by private, for-profit entities by the state of California effective January 1, 2028.  AB32 does not apply to facilities leased from private, for-profit e</w:t>
      </w:r>
      <w:r>
        <w:rPr>
          <w:sz w:val="20"/>
          <w:szCs w:val="20"/>
        </w:rPr>
        <w:t>ntities, such as our California City Correctional Center. The U.S. Government and The GEO Group, Inc. both filed lawsuits against the state of California challenging the enforceability of AB32 under applicable law.  On October 8, 2020, a federal judge allo</w:t>
      </w:r>
      <w:r>
        <w:rPr>
          <w:sz w:val="20"/>
          <w:szCs w:val="20"/>
        </w:rPr>
        <w:t>wed AB32 to block future BOP and ICE contracts and renewals, while determining that AB32 could not block future USMS contracts and renewals.  The federal judge also acknowledged that the State has agreed it will not use AB32 to block federal, state, or loc</w:t>
      </w:r>
      <w:r>
        <w:rPr>
          <w:sz w:val="20"/>
          <w:szCs w:val="20"/>
        </w:rPr>
        <w:t>al residential reentry center contracts. Both the U.S. Government and The GEO Group, Inc. appealed the federal judge's ruling to the Ninth Circuit Court of Appeals, or the Ninth Circuit.  On October 3, 2021, the Ninth Circuit reversed the decision, finding</w:t>
      </w:r>
      <w:r>
        <w:rPr>
          <w:sz w:val="20"/>
          <w:szCs w:val="20"/>
        </w:rPr>
        <w:t xml:space="preserve"> AB32 impermissibly interferes with the federal government’s operation of immigration detention.  California appealed the Ninth Circuit decision.  On April 26, 2022, the Ninth Circuit agreed to rehear the appeal en banc, with oral arguments expected to occ</w:t>
      </w:r>
      <w:r>
        <w:rPr>
          <w:sz w:val="20"/>
          <w:szCs w:val="20"/>
        </w:rPr>
        <w:t>ur the week of June 21, 2022. If the Ninth Circuit upholds AB32 and AB32 is implemented so as to prohibit ICE</w:t>
      </w:r>
      <w:r>
        <w:rPr>
          <w:sz w:val="20"/>
          <w:szCs w:val="20"/>
        </w:rPr>
        <w:noBreakHyphen/>
        <w:t>contracted private detention facilities, the federal government could be prohibited from renewing its contract for us to operate our 1,994-bed Ota</w:t>
      </w:r>
      <w:r>
        <w:rPr>
          <w:sz w:val="20"/>
          <w:szCs w:val="20"/>
        </w:rPr>
        <w:t xml:space="preserve">y Mesa Detention Center, which is currently scheduled to expire in December 2024.  A potential non-renewal of our contract to operate the Otay Mesa Detention Center could have a significant impact on our results of operations and cash flows at the time of </w:t>
      </w:r>
      <w:r>
        <w:rPr>
          <w:sz w:val="20"/>
          <w:szCs w:val="20"/>
        </w:rPr>
        <w:t>non-renewal.</w:t>
      </w:r>
    </w:p>
    <w:p w:rsidR="00000000" w:rsidRDefault="008206D2">
      <w:pPr>
        <w:pStyle w:val="a3"/>
        <w:spacing w:before="240" w:beforeAutospacing="0" w:after="0" w:afterAutospacing="0"/>
        <w:jc w:val="center"/>
        <w:rPr>
          <w:sz w:val="20"/>
          <w:szCs w:val="20"/>
        </w:rPr>
      </w:pPr>
      <w:r>
        <w:rPr>
          <w:sz w:val="20"/>
          <w:szCs w:val="20"/>
        </w:rPr>
        <w:t>31</w:t>
      </w:r>
    </w:p>
    <w:p w:rsidR="00000000" w:rsidRDefault="008206D2">
      <w:pPr>
        <w:rPr>
          <w:rFonts w:eastAsia="Times New Roman"/>
        </w:rPr>
      </w:pPr>
      <w:r>
        <w:rPr>
          <w:rFonts w:eastAsia="Times New Roman"/>
        </w:rPr>
        <w:pict>
          <v:rect id="_x0000_i1057"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360" w:beforeAutospacing="0" w:after="0" w:afterAutospacing="0"/>
        <w:jc w:val="both"/>
        <w:rPr>
          <w:i/>
          <w:iCs/>
          <w:sz w:val="20"/>
          <w:szCs w:val="20"/>
        </w:rPr>
      </w:pPr>
      <w:r>
        <w:rPr>
          <w:i/>
          <w:iCs/>
          <w:sz w:val="20"/>
          <w:szCs w:val="20"/>
        </w:rPr>
        <w:t xml:space="preserve">CoreCivic Community </w:t>
      </w:r>
    </w:p>
    <w:p w:rsidR="00000000" w:rsidRDefault="008206D2">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results of our electronic monitoring and case management services.  Total revenue generated by CoreCivic Com</w:t>
      </w:r>
      <w:r>
        <w:rPr>
          <w:sz w:val="20"/>
          <w:szCs w:val="20"/>
        </w:rPr>
        <w:t>munity increased $0.5 million, or 1.9%, from $23.7 million during the three months ended March 31, 2021 to $24.1 million during the three months ended March 31, 2022. CoreCivic Community's facility net operating income increased $1.3 million, or 52.0%, fro</w:t>
      </w:r>
      <w:r>
        <w:rPr>
          <w:sz w:val="20"/>
          <w:szCs w:val="20"/>
        </w:rPr>
        <w:t>m $2.6 million during the three months ended March 31, 2021 to $3.9 million during the three months ended March 31, 2022. During the three months ended March 31, 2022, CoreCivic Community generated 3.5% of our total segment net operating income, compared w</w:t>
      </w:r>
      <w:r>
        <w:rPr>
          <w:sz w:val="20"/>
          <w:szCs w:val="20"/>
        </w:rPr>
        <w:t>ith 2.0% during the three months ended March 31, 2021.  </w:t>
      </w:r>
    </w:p>
    <w:p w:rsidR="00000000" w:rsidRDefault="008206D2">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placed into service that we own and manage, but exclusive of the</w:t>
      </w:r>
      <w:r>
        <w:rPr>
          <w:sz w:val="20"/>
          <w:szCs w:val="20"/>
        </w:rPr>
        <w:t xml:space="preserve"> electronic monitoring and case management services given that revenue is not generated on a per compensated man-day basis for these services:</w:t>
      </w:r>
    </w:p>
    <w:p w:rsidR="00000000" w:rsidRDefault="008206D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50"/>
        <w:gridCol w:w="65"/>
        <w:gridCol w:w="115"/>
        <w:gridCol w:w="882"/>
        <w:gridCol w:w="215"/>
        <w:gridCol w:w="65"/>
        <w:gridCol w:w="115"/>
        <w:gridCol w:w="886"/>
        <w:gridCol w:w="182"/>
      </w:tblGrid>
      <w:tr w:rsidR="00000000">
        <w:trPr>
          <w:divId w:val="1497260995"/>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497260995"/>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4972609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b/>
                <w:bCs/>
                <w:color w:val="000000"/>
                <w:sz w:val="20"/>
                <w:szCs w:val="20"/>
              </w:rPr>
            </w:pPr>
            <w:r>
              <w:rPr>
                <w:b/>
                <w:bCs/>
                <w:color w:val="000000"/>
                <w:sz w:val="20"/>
                <w:szCs w:val="20"/>
              </w:rPr>
              <w:t>CoreCivic Community Facilities: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64.27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63.00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39.52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43.91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10.29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8.82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49.81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52.73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14.46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10.27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4972609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55.0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1497260995"/>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4,869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5,233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497260995"/>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2,679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2,700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color w:val="000000"/>
          <w:sz w:val="20"/>
          <w:szCs w:val="20"/>
        </w:rPr>
      </w:pPr>
      <w:r>
        <w:rPr>
          <w:color w:val="000000"/>
          <w:sz w:val="20"/>
          <w:szCs w:val="20"/>
        </w:rPr>
        <w:t>The improvement in operating margins primarily resulted from an increase in average revenue per compensated man-day during the three months ended March 31, 2022 of 2.0% compared with the same period in 2021.  Average revenue per compensated man-day increas</w:t>
      </w:r>
      <w:r>
        <w:rPr>
          <w:color w:val="000000"/>
          <w:sz w:val="20"/>
          <w:szCs w:val="20"/>
        </w:rPr>
        <w:t>ed primarily as a result of per diem increases at several of our facilities.  Like our CoreCivic Safety segment, occupancy in our CoreCivic Community facilities continues to be negatively affected by COVID-19.</w:t>
      </w:r>
    </w:p>
    <w:p w:rsidR="00000000" w:rsidRDefault="008206D2">
      <w:pPr>
        <w:pStyle w:val="a3"/>
        <w:spacing w:before="240" w:beforeAutospacing="0" w:after="0" w:afterAutospacing="0"/>
        <w:jc w:val="both"/>
        <w:rPr>
          <w:sz w:val="20"/>
          <w:szCs w:val="20"/>
        </w:rPr>
      </w:pPr>
      <w:r>
        <w:rPr>
          <w:sz w:val="20"/>
          <w:szCs w:val="20"/>
        </w:rPr>
        <w:t>Contributing to the improved average compensat</w:t>
      </w:r>
      <w:r>
        <w:rPr>
          <w:sz w:val="20"/>
          <w:szCs w:val="20"/>
        </w:rPr>
        <w:t>ed occupancy and operating margins were the sales of our 120-bed Fox Facility and Training Center and our 90-bed Ulster Facility in the first quarter of 2022.  During the fourth quarter of 2021, we entered into a purchase and sale agreement for our Fox fac</w:t>
      </w:r>
      <w:r>
        <w:rPr>
          <w:sz w:val="20"/>
          <w:szCs w:val="20"/>
        </w:rPr>
        <w:t>ility, which was sold in February 2022.  In addition, during the fourth quarter of 2021, we entered into a separate purchase and sale agreement for our idled Ulster facility, which was sold in March 2022. The two facilities were located in Denver, Colorado</w:t>
      </w:r>
      <w:r>
        <w:rPr>
          <w:sz w:val="20"/>
          <w:szCs w:val="20"/>
        </w:rPr>
        <w:t xml:space="preserve"> and had recently been under-utilized by Denver County, and incurred facility net operating losses aggregating $0.5 million during the year ended December 31, 2021, including $0.1 million during the first quarter of 2021.  </w:t>
      </w:r>
    </w:p>
    <w:p w:rsidR="00000000" w:rsidRDefault="008206D2">
      <w:pPr>
        <w:pStyle w:val="a3"/>
        <w:spacing w:before="360" w:beforeAutospacing="0" w:after="0" w:afterAutospacing="0"/>
        <w:jc w:val="both"/>
        <w:rPr>
          <w:i/>
          <w:iCs/>
          <w:sz w:val="20"/>
          <w:szCs w:val="20"/>
        </w:rPr>
      </w:pPr>
      <w:r>
        <w:rPr>
          <w:i/>
          <w:iCs/>
          <w:sz w:val="20"/>
          <w:szCs w:val="20"/>
        </w:rPr>
        <w:t>CoreCivic Properties</w:t>
      </w:r>
    </w:p>
    <w:p w:rsidR="00000000" w:rsidRDefault="008206D2">
      <w:pPr>
        <w:pStyle w:val="a3"/>
        <w:spacing w:before="120" w:beforeAutospacing="0" w:after="0" w:afterAutospacing="0"/>
        <w:jc w:val="both"/>
        <w:rPr>
          <w:sz w:val="20"/>
          <w:szCs w:val="20"/>
        </w:rPr>
      </w:pPr>
      <w:r>
        <w:rPr>
          <w:sz w:val="20"/>
          <w:szCs w:val="20"/>
        </w:rPr>
        <w:t>CoreCivic P</w:t>
      </w:r>
      <w:r>
        <w:rPr>
          <w:sz w:val="20"/>
          <w:szCs w:val="20"/>
        </w:rPr>
        <w:t xml:space="preserve">roperties includes the operating results of the </w:t>
      </w:r>
      <w:r>
        <w:rPr>
          <w:spacing w:val="-2"/>
          <w:sz w:val="20"/>
          <w:szCs w:val="20"/>
        </w:rPr>
        <w:t>properties we leased to third parties and that were used by government agencies during each period.</w:t>
      </w:r>
      <w:r>
        <w:rPr>
          <w:sz w:val="20"/>
          <w:szCs w:val="20"/>
        </w:rPr>
        <w:t>  Total revenue generated by CoreCivic Properties decreased $6.7 million, or 31.4%, from $21.3 million during</w:t>
      </w:r>
      <w:r>
        <w:rPr>
          <w:sz w:val="20"/>
          <w:szCs w:val="20"/>
        </w:rPr>
        <w:t xml:space="preserve"> the three months ended March 31, 2021 to $14.6 million during the three months ended March 31, 2022.  CoreCivic Properties' facility net operating income decreased $3.7 million, or 24.5%, from $15.0 million during the three months ended March 31, 2021 to </w:t>
      </w:r>
      <w:r>
        <w:rPr>
          <w:sz w:val="20"/>
          <w:szCs w:val="20"/>
        </w:rPr>
        <w:t>$11.3 million during the three months ended March 31, 2022. The decreases in total revenue and net operating income were primarily the result of the three actively leased properties we sold in the second quarter of 2021, partially offset by the revenue and</w:t>
      </w:r>
      <w:r>
        <w:rPr>
          <w:sz w:val="20"/>
          <w:szCs w:val="20"/>
        </w:rPr>
        <w:t xml:space="preserve"> net operating income generated by the new lease at our Northwest New Mexico Correctional Center, both as further described hereinafter. During the three months ended March 31, 2022, CoreCivic Properties generated 12.2% of our total segment net operating i</w:t>
      </w:r>
      <w:r>
        <w:rPr>
          <w:sz w:val="20"/>
          <w:szCs w:val="20"/>
        </w:rPr>
        <w:t>ncome, compared with 13.9% during the three months ended March 31, 2021.</w:t>
      </w:r>
    </w:p>
    <w:p w:rsidR="00000000" w:rsidRDefault="008206D2">
      <w:pPr>
        <w:pStyle w:val="a3"/>
        <w:spacing w:before="240" w:beforeAutospacing="0" w:after="0" w:afterAutospacing="0"/>
        <w:jc w:val="both"/>
        <w:rPr>
          <w:sz w:val="20"/>
          <w:szCs w:val="20"/>
        </w:rPr>
      </w:pPr>
      <w:r>
        <w:rPr>
          <w:sz w:val="20"/>
          <w:szCs w:val="20"/>
        </w:rPr>
        <w:t>On May 28, 2021, we completed the sale of two leased properties, the 277,000 square foot Capital Commerce Center, primarily leased to an agency of the State of Florida in Tallahassee,</w:t>
      </w:r>
      <w:r>
        <w:rPr>
          <w:sz w:val="20"/>
          <w:szCs w:val="20"/>
        </w:rPr>
        <w:t xml:space="preserve"> Florida, and a 217,000 square foot warehouse property leased to the General Services Administration, or GSA, in Dayton, Ohio, in a single transaction to a third party for an aggregate price of $73.0 million, generating net proceeds of $46.2 million after </w:t>
      </w:r>
      <w:r>
        <w:rPr>
          <w:sz w:val="20"/>
          <w:szCs w:val="20"/>
        </w:rPr>
        <w:t>the repayment of the debt related to the Capital Commerce Center and other transaction-related costs.  In addition, on June 29, 2021, we completed the sale of a 541,000 square foot property leased to the GSA in Baltimore, Maryland to a third party for a pr</w:t>
      </w:r>
      <w:r>
        <w:rPr>
          <w:sz w:val="20"/>
          <w:szCs w:val="20"/>
        </w:rPr>
        <w:t xml:space="preserve">ice of $253.0 million, generating net proceeds of $76.4 million after the repayment of the debt related to the Baltimore </w:t>
      </w:r>
    </w:p>
    <w:p w:rsidR="00000000" w:rsidRDefault="008206D2">
      <w:pPr>
        <w:pStyle w:val="a3"/>
        <w:spacing w:before="240" w:beforeAutospacing="0" w:after="0" w:afterAutospacing="0"/>
        <w:jc w:val="center"/>
        <w:rPr>
          <w:sz w:val="20"/>
          <w:szCs w:val="20"/>
        </w:rPr>
      </w:pPr>
      <w:r>
        <w:rPr>
          <w:sz w:val="20"/>
          <w:szCs w:val="20"/>
        </w:rPr>
        <w:t>32</w:t>
      </w:r>
    </w:p>
    <w:p w:rsidR="00000000" w:rsidRDefault="008206D2">
      <w:pPr>
        <w:rPr>
          <w:rFonts w:eastAsia="Times New Roman"/>
        </w:rPr>
      </w:pPr>
      <w:r>
        <w:rPr>
          <w:rFonts w:eastAsia="Times New Roman"/>
        </w:rPr>
        <w:pict>
          <v:rect id="_x0000_i1058"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property and other transaction-related costs.  </w:t>
      </w:r>
      <w:r>
        <w:rPr>
          <w:sz w:val="20"/>
          <w:szCs w:val="20"/>
        </w:rPr>
        <w:t xml:space="preserve">During our period of ownership in 2021, these three properties generated facility net operating income of $9.5 million, including $4.9 million in the first quarter of 2021.  We reported an aggregate net gain on the sales of these three properties of $38.9 </w:t>
      </w:r>
      <w:r>
        <w:rPr>
          <w:sz w:val="20"/>
          <w:szCs w:val="20"/>
        </w:rPr>
        <w:t>million during the second quarter of 2021.  </w:t>
      </w:r>
    </w:p>
    <w:p w:rsidR="00000000" w:rsidRDefault="008206D2">
      <w:pPr>
        <w:pStyle w:val="a3"/>
        <w:spacing w:before="240" w:beforeAutospacing="0" w:after="0" w:afterAutospacing="0"/>
        <w:jc w:val="both"/>
        <w:rPr>
          <w:sz w:val="20"/>
          <w:szCs w:val="20"/>
        </w:rPr>
      </w:pPr>
      <w:r>
        <w:rPr>
          <w:sz w:val="20"/>
          <w:szCs w:val="20"/>
        </w:rPr>
        <w:t>On September 20, 2021, we entered into a three-year lease agreement with the state of New Mexico at our 596-bed Northwest New Mexico Correctional Center.  We previously operated the Northwest New Mexico facility</w:t>
      </w:r>
      <w:r>
        <w:rPr>
          <w:sz w:val="20"/>
          <w:szCs w:val="20"/>
        </w:rPr>
        <w:t xml:space="preserve"> in our Safety segment under a contract with the state of New Mexico. We transitioned facility operations to the New Mexico Corrections Department upon commencement of the new lease agreement on November 1, 2021.  We will retain responsibility for facility</w:t>
      </w:r>
      <w:r>
        <w:rPr>
          <w:sz w:val="20"/>
          <w:szCs w:val="20"/>
        </w:rPr>
        <w:t xml:space="preserve"> maintenance throughout the term of the lease.  The new lease agreement includes extension options that could extend the term of the lease through October 31, 2041.  The average annual rent for the initial three-year lease term is $3.2 million, including a</w:t>
      </w:r>
      <w:r>
        <w:rPr>
          <w:sz w:val="20"/>
          <w:szCs w:val="20"/>
        </w:rPr>
        <w:t>nnual rent of $4.2 million in the second and third years of the lease, with annual escalators thereafter.  </w:t>
      </w:r>
    </w:p>
    <w:p w:rsidR="00000000" w:rsidRDefault="008206D2">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8206D2">
      <w:pPr>
        <w:pStyle w:val="a3"/>
        <w:spacing w:before="120" w:beforeAutospacing="0" w:after="0" w:afterAutospacing="0"/>
        <w:jc w:val="both"/>
        <w:rPr>
          <w:sz w:val="20"/>
          <w:szCs w:val="20"/>
        </w:rPr>
      </w:pPr>
      <w:r>
        <w:rPr>
          <w:sz w:val="20"/>
          <w:szCs w:val="20"/>
        </w:rPr>
        <w:t>For the three months ended March 31, 2022 and 2021, general and administrative expenses totaled $31.1 million an</w:t>
      </w:r>
      <w:r>
        <w:rPr>
          <w:sz w:val="20"/>
          <w:szCs w:val="20"/>
        </w:rPr>
        <w:t>d $29.5 million, respectively.  General and administrative expenses consist primarily of corporate management salaries and benefits, professional fees, and other administrative expenses. General and administrative expenses increased from the prior year per</w:t>
      </w:r>
      <w:r>
        <w:rPr>
          <w:sz w:val="20"/>
          <w:szCs w:val="20"/>
        </w:rPr>
        <w:t xml:space="preserve">iod primarily as a result of an </w:t>
      </w:r>
      <w:r>
        <w:rPr>
          <w:color w:val="242424"/>
          <w:sz w:val="20"/>
          <w:szCs w:val="20"/>
        </w:rPr>
        <w:t xml:space="preserve">increase </w:t>
      </w:r>
      <w:r>
        <w:rPr>
          <w:color w:val="242424"/>
          <w:sz w:val="20"/>
          <w:szCs w:val="20"/>
          <w:shd w:val="clear" w:color="auto" w:fill="FFFFFF"/>
        </w:rPr>
        <w:t>in salaries and benefits.  We also experienced an increase in certain other administrative expenses, including consulting fees, as well as advertising expenses in an effort to generate increased awareness of employm</w:t>
      </w:r>
      <w:r>
        <w:rPr>
          <w:color w:val="242424"/>
          <w:sz w:val="20"/>
          <w:szCs w:val="20"/>
          <w:shd w:val="clear" w:color="auto" w:fill="FFFFFF"/>
        </w:rPr>
        <w:t>ent opportunities we have available at CoreCivic.</w:t>
      </w:r>
    </w:p>
    <w:p w:rsidR="00000000" w:rsidRDefault="008206D2">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8206D2">
      <w:pPr>
        <w:pStyle w:val="a3"/>
        <w:spacing w:before="120" w:beforeAutospacing="0" w:after="0" w:afterAutospacing="0"/>
        <w:jc w:val="both"/>
        <w:rPr>
          <w:sz w:val="20"/>
          <w:szCs w:val="20"/>
        </w:rPr>
      </w:pPr>
      <w:r>
        <w:rPr>
          <w:sz w:val="20"/>
          <w:szCs w:val="20"/>
        </w:rPr>
        <w:t xml:space="preserve">For the three months ended March 31, 2022 and 2021, depreciation and amortization expense totaled $32.0 million and $32.7 million, respectively.  Depreciation and amortization </w:t>
      </w:r>
      <w:r>
        <w:rPr>
          <w:sz w:val="20"/>
          <w:szCs w:val="20"/>
        </w:rPr>
        <w:t xml:space="preserve">decreased from the first quarter of 2021 primarily </w:t>
      </w:r>
      <w:r>
        <w:rPr>
          <w:color w:val="242424"/>
          <w:sz w:val="20"/>
          <w:szCs w:val="20"/>
        </w:rPr>
        <w:t>due to certain information technology equipment becoming fully depreciated.  In addition, the decrease in depreciation and amortization expense is due to</w:t>
      </w:r>
      <w:r>
        <w:rPr>
          <w:sz w:val="20"/>
          <w:szCs w:val="20"/>
        </w:rPr>
        <w:t xml:space="preserve"> the contract termination on the Marion County Jail </w:t>
      </w:r>
      <w:r>
        <w:rPr>
          <w:sz w:val="20"/>
          <w:szCs w:val="20"/>
        </w:rPr>
        <w:t>and the sales of our Fox Facility and Training Center and our Ulster Facility, all of which occurred during the first quarter of 2022.</w:t>
      </w:r>
      <w:r>
        <w:rPr>
          <w:sz w:val="20"/>
          <w:szCs w:val="20"/>
          <w:shd w:val="clear" w:color="auto" w:fill="FFFF00"/>
        </w:rPr>
        <w:t xml:space="preserve"> </w:t>
      </w:r>
    </w:p>
    <w:p w:rsidR="00000000" w:rsidRDefault="008206D2">
      <w:pPr>
        <w:pStyle w:val="a3"/>
        <w:spacing w:before="360" w:beforeAutospacing="0" w:after="0" w:afterAutospacing="0"/>
        <w:jc w:val="both"/>
        <w:rPr>
          <w:b/>
          <w:bCs/>
          <w:i/>
          <w:iCs/>
          <w:sz w:val="20"/>
          <w:szCs w:val="20"/>
        </w:rPr>
      </w:pPr>
      <w:r>
        <w:rPr>
          <w:b/>
          <w:bCs/>
          <w:i/>
          <w:iCs/>
          <w:sz w:val="20"/>
          <w:szCs w:val="20"/>
        </w:rPr>
        <w:t>Shareholder litigation expense</w:t>
      </w:r>
    </w:p>
    <w:p w:rsidR="00000000" w:rsidRDefault="008206D2">
      <w:pPr>
        <w:pStyle w:val="a3"/>
        <w:spacing w:before="120" w:beforeAutospacing="0" w:after="0" w:afterAutospacing="0"/>
        <w:jc w:val="both"/>
        <w:rPr>
          <w:sz w:val="20"/>
          <w:szCs w:val="20"/>
        </w:rPr>
      </w:pPr>
      <w:r>
        <w:rPr>
          <w:sz w:val="20"/>
          <w:szCs w:val="20"/>
        </w:rPr>
        <w:t xml:space="preserve">On April 16, 2021, we reached an agreement in principle to settle a purported securities </w:t>
      </w:r>
      <w:r>
        <w:rPr>
          <w:sz w:val="20"/>
          <w:szCs w:val="20"/>
        </w:rPr>
        <w:t xml:space="preserve">class action lawsuit that was filed on August 23, 2016 in the United States District Court for the Middle District of Tennessee, or the District Court, captioned </w:t>
      </w:r>
      <w:r>
        <w:rPr>
          <w:i/>
          <w:iCs/>
          <w:sz w:val="20"/>
          <w:szCs w:val="20"/>
        </w:rPr>
        <w:t>Grae v. Corrections Corporation of America et al.</w:t>
      </w:r>
      <w:r>
        <w:rPr>
          <w:sz w:val="20"/>
          <w:szCs w:val="20"/>
        </w:rPr>
        <w:t>  The monetary terms of the settlement includ</w:t>
      </w:r>
      <w:r>
        <w:rPr>
          <w:sz w:val="20"/>
          <w:szCs w:val="20"/>
        </w:rPr>
        <w:t>ed a payment of $56.0 million in return for a dismissal of the case with prejudice and a full release of all claims against all defendants.  The settlement agreement, which was approved by the District Court on November 8, 2021, contains no admission of li</w:t>
      </w:r>
      <w:r>
        <w:rPr>
          <w:sz w:val="20"/>
          <w:szCs w:val="20"/>
        </w:rPr>
        <w:t xml:space="preserve">ability, wrongdoing, or responsibility by any of the defendants, including us.  As a result of the settlement, we recognized an expense of $54.3 million during 2021 ($51.7 million of which was recognized during the first quarter of 2021), which was net of </w:t>
      </w:r>
      <w:r>
        <w:rPr>
          <w:sz w:val="20"/>
          <w:szCs w:val="20"/>
        </w:rPr>
        <w:t>the remaining insurance available under the Company's policies.  We paid the settlement amount in May 2021.  </w:t>
      </w:r>
    </w:p>
    <w:p w:rsidR="00000000" w:rsidRDefault="008206D2">
      <w:pPr>
        <w:pStyle w:val="a3"/>
        <w:spacing w:before="360" w:beforeAutospacing="0" w:after="0" w:afterAutospacing="0"/>
        <w:jc w:val="both"/>
        <w:rPr>
          <w:b/>
          <w:bCs/>
          <w:i/>
          <w:iCs/>
          <w:sz w:val="20"/>
          <w:szCs w:val="20"/>
        </w:rPr>
      </w:pPr>
      <w:r>
        <w:rPr>
          <w:b/>
          <w:bCs/>
          <w:i/>
          <w:iCs/>
          <w:sz w:val="20"/>
          <w:szCs w:val="20"/>
        </w:rPr>
        <w:t>Asset impairments</w:t>
      </w:r>
    </w:p>
    <w:p w:rsidR="00000000" w:rsidRDefault="008206D2">
      <w:pPr>
        <w:pStyle w:val="a3"/>
        <w:spacing w:before="120" w:beforeAutospacing="0" w:after="0" w:afterAutospacing="0"/>
        <w:jc w:val="both"/>
        <w:rPr>
          <w:sz w:val="20"/>
          <w:szCs w:val="20"/>
        </w:rPr>
      </w:pPr>
      <w:r>
        <w:rPr>
          <w:sz w:val="20"/>
          <w:szCs w:val="20"/>
        </w:rPr>
        <w:t>Asset impairment charges during the three months ended March 31, 2021 include $1.3 million for the impairment of real estate ass</w:t>
      </w:r>
      <w:r>
        <w:rPr>
          <w:sz w:val="20"/>
          <w:szCs w:val="20"/>
        </w:rPr>
        <w:t>ets recognized during the first quarter of 2021 for a facility in our Properties segment that was sold during the second quarter of 2021.  </w:t>
      </w:r>
    </w:p>
    <w:p w:rsidR="00000000" w:rsidRDefault="008206D2">
      <w:pPr>
        <w:pStyle w:val="a3"/>
        <w:spacing w:before="360" w:beforeAutospacing="0" w:after="0" w:afterAutospacing="0"/>
        <w:jc w:val="both"/>
        <w:rPr>
          <w:b/>
          <w:bCs/>
          <w:i/>
          <w:iCs/>
          <w:sz w:val="20"/>
          <w:szCs w:val="20"/>
        </w:rPr>
      </w:pPr>
      <w:r>
        <w:rPr>
          <w:b/>
          <w:bCs/>
          <w:i/>
          <w:iCs/>
          <w:sz w:val="20"/>
          <w:szCs w:val="20"/>
        </w:rPr>
        <w:t>Interest expense, net</w:t>
      </w:r>
    </w:p>
    <w:p w:rsidR="00000000" w:rsidRDefault="008206D2">
      <w:pPr>
        <w:pStyle w:val="a3"/>
        <w:spacing w:before="120" w:beforeAutospacing="0" w:after="0" w:afterAutospacing="0"/>
        <w:jc w:val="both"/>
        <w:rPr>
          <w:sz w:val="20"/>
          <w:szCs w:val="20"/>
        </w:rPr>
      </w:pPr>
      <w:r>
        <w:rPr>
          <w:sz w:val="20"/>
          <w:szCs w:val="20"/>
        </w:rPr>
        <w:t>Interest expense is reported net of interest income and capitalized interest for the three mon</w:t>
      </w:r>
      <w:r>
        <w:rPr>
          <w:sz w:val="20"/>
          <w:szCs w:val="20"/>
        </w:rPr>
        <w:t>ths ended March 31, 2022 and 2021.  Gross interest expense, net of capitalized interest, was $25.4 million and $20.9 million for the three months ended March 31, 2022 and 2021, respectively. Gross interest expense is based on outstanding borrowings under o</w:t>
      </w:r>
      <w:r>
        <w:rPr>
          <w:sz w:val="20"/>
          <w:szCs w:val="20"/>
        </w:rPr>
        <w:t>ur Revolving Credit Facility, our Term Loan A, our Term Loan B, our outstanding senior notes, and our outstanding non-recourse mortgage notes, as well as the amortization of loan costs and unused facility fees.  Interest expense increased primarily as a re</w:t>
      </w:r>
      <w:r>
        <w:rPr>
          <w:sz w:val="20"/>
          <w:szCs w:val="20"/>
        </w:rPr>
        <w:t>sult of the issuance of $675.0 million aggregate principal amount of 8.25% senior unsecured notes in April and September 2021, which increased the average interest rate applicable to our outstanding debt, as further described hereinafter.  However, the inc</w:t>
      </w:r>
      <w:r>
        <w:rPr>
          <w:sz w:val="20"/>
          <w:szCs w:val="20"/>
        </w:rPr>
        <w:t xml:space="preserve">rease in gross interest expense was partially offset by a decrease in the average outstanding balance on our Revolving Credit Facility, the redemption and repurchase of an aggregate of $426.4 million of senior unsecured notes during 2021, the repayment of </w:t>
      </w:r>
      <w:r>
        <w:rPr>
          <w:sz w:val="20"/>
          <w:szCs w:val="20"/>
        </w:rPr>
        <w:t>certain non-recourse mortgage notes during 2021, and the repayment of $90.0 million of the outstanding balance of the Term Loan B during October 2021, all as further described hereinafter.    </w:t>
      </w:r>
    </w:p>
    <w:p w:rsidR="00000000" w:rsidRDefault="008206D2">
      <w:pPr>
        <w:pStyle w:val="a3"/>
        <w:spacing w:before="240" w:beforeAutospacing="0" w:after="0" w:afterAutospacing="0"/>
        <w:jc w:val="center"/>
        <w:rPr>
          <w:sz w:val="20"/>
          <w:szCs w:val="20"/>
        </w:rPr>
      </w:pPr>
      <w:r>
        <w:rPr>
          <w:sz w:val="20"/>
          <w:szCs w:val="20"/>
        </w:rPr>
        <w:t>33</w:t>
      </w:r>
    </w:p>
    <w:p w:rsidR="00000000" w:rsidRDefault="008206D2">
      <w:pPr>
        <w:rPr>
          <w:rFonts w:eastAsia="Times New Roman"/>
        </w:rPr>
      </w:pPr>
      <w:r>
        <w:rPr>
          <w:rFonts w:eastAsia="Times New Roman"/>
        </w:rPr>
        <w:pict>
          <v:rect id="_x0000_i1059"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z w:val="20"/>
          <w:szCs w:val="20"/>
        </w:rPr>
      </w:pPr>
      <w:r>
        <w:rPr>
          <w:sz w:val="20"/>
          <w:szCs w:val="20"/>
        </w:rPr>
        <w:t>We have benefited from</w:t>
      </w:r>
      <w:r>
        <w:rPr>
          <w:sz w:val="20"/>
          <w:szCs w:val="20"/>
        </w:rPr>
        <w:t xml:space="preserve"> relatively low interest rates on our Bank Credit Facility (Revolving Credit Facility and Term Loan A), which is largely based on the London Interbank Offered Rate, or LIBOR.  Based on our total leverage ratio, borrowings under our Bank Credit Facility dur</w:t>
      </w:r>
      <w:r>
        <w:rPr>
          <w:sz w:val="20"/>
          <w:szCs w:val="20"/>
        </w:rPr>
        <w:t>ing most of 2021 were at the base rate plus a margin of 0.50% or at LIBOR plus a margin of 1.50%, and a commitment fee equal to 0.35% of the unfunded balance. Based on our current total leverage ratio, borrowings under our Bank Credit Facility are at the b</w:t>
      </w:r>
      <w:r>
        <w:rPr>
          <w:sz w:val="20"/>
          <w:szCs w:val="20"/>
        </w:rPr>
        <w:t>ase rate plus a margin of 0.25% or at LIBOR plus a margin of 1.25%, and a commitment fee equal to 0.30% of the unfunded balance.  Our Bank Credit Facility matures in April 2023.  We intend to pursue a new or amended credit facility in the short-term, which</w:t>
      </w:r>
      <w:r>
        <w:rPr>
          <w:sz w:val="20"/>
          <w:szCs w:val="20"/>
        </w:rPr>
        <w:t xml:space="preserve"> will use a different interest rate benchmark than LIBOR due to the phase-out of LIBOR by the Financial Conduct Authority.  We currently expect the effective interest rate under a new or amended credit facility to increase, but do not yet know to what exte</w:t>
      </w:r>
      <w:r>
        <w:rPr>
          <w:sz w:val="20"/>
          <w:szCs w:val="20"/>
        </w:rPr>
        <w:t>nt, which could depend on, among other things, the benchmark used as well as the interest rate spreads pursuant to the terms of such new or amended credit facility.</w:t>
      </w:r>
    </w:p>
    <w:p w:rsidR="00000000" w:rsidRDefault="008206D2">
      <w:pPr>
        <w:pStyle w:val="a3"/>
        <w:spacing w:before="240" w:beforeAutospacing="0" w:after="0" w:afterAutospacing="0"/>
        <w:jc w:val="both"/>
        <w:rPr>
          <w:sz w:val="20"/>
          <w:szCs w:val="20"/>
        </w:rPr>
      </w:pPr>
      <w:r>
        <w:rPr>
          <w:sz w:val="20"/>
          <w:szCs w:val="20"/>
        </w:rPr>
        <w:t>The 2018 acquisition of the Capital Commerce Center located in Tallahassee, Florida was par</w:t>
      </w:r>
      <w:r>
        <w:rPr>
          <w:sz w:val="20"/>
          <w:szCs w:val="20"/>
        </w:rPr>
        <w:t>tially financed with a non-recourse mortgage note, or the Capital Commerce Note, which was fully-secured by the Capital Commerce property.  The Capital Commerce Note carried a fixed interest rate of 4.5%, required monthly principal and interest payments, a</w:t>
      </w:r>
      <w:r>
        <w:rPr>
          <w:sz w:val="20"/>
          <w:szCs w:val="20"/>
        </w:rPr>
        <w:t xml:space="preserve">nd was scheduled to mature in January 2033.  The Capital Commerce Note was fully repaid as part of the sale of the Capital Commerce Center on May 28, 2021. </w:t>
      </w:r>
    </w:p>
    <w:p w:rsidR="00000000" w:rsidRDefault="008206D2">
      <w:pPr>
        <w:pStyle w:val="a3"/>
        <w:spacing w:before="240" w:beforeAutospacing="0" w:after="0" w:afterAutospacing="0"/>
        <w:jc w:val="both"/>
        <w:rPr>
          <w:sz w:val="20"/>
          <w:szCs w:val="20"/>
        </w:rPr>
      </w:pPr>
      <w:r>
        <w:rPr>
          <w:sz w:val="20"/>
          <w:szCs w:val="20"/>
        </w:rPr>
        <w:t>In connection with the acquisition of the SSA-Baltimore office building in 2018, a wholly-owned unr</w:t>
      </w:r>
      <w:r>
        <w:rPr>
          <w:sz w:val="20"/>
          <w:szCs w:val="20"/>
        </w:rPr>
        <w:t>estricted subsidiary of ours assumed $157.3 million of in-place financing.  The assumed non-recourse mortgage note, or the SSA Baltimore Note, carried a fixed interest rate of 4.5% and required monthly principal and interest payments, with a balloon paymen</w:t>
      </w:r>
      <w:r>
        <w:rPr>
          <w:sz w:val="20"/>
          <w:szCs w:val="20"/>
        </w:rPr>
        <w:t xml:space="preserve">t of $40.0 million due at maturity in February 2034.  The SSA-Baltimore Note was fully-secured by the SSA-Baltimore property. The SSA-Baltimore Note was fully repaid as part of the sale of the SSA-Baltimore property on June 29, 2021. </w:t>
      </w:r>
    </w:p>
    <w:p w:rsidR="00000000" w:rsidRDefault="008206D2">
      <w:pPr>
        <w:pStyle w:val="a3"/>
        <w:spacing w:before="240" w:beforeAutospacing="0" w:after="0" w:afterAutospacing="0"/>
        <w:jc w:val="both"/>
        <w:rPr>
          <w:sz w:val="20"/>
          <w:szCs w:val="20"/>
        </w:rPr>
      </w:pPr>
      <w:r>
        <w:rPr>
          <w:sz w:val="20"/>
          <w:szCs w:val="20"/>
        </w:rPr>
        <w:t>On April 14, 2021, we</w:t>
      </w:r>
      <w:r>
        <w:rPr>
          <w:sz w:val="20"/>
          <w:szCs w:val="20"/>
        </w:rPr>
        <w:t xml:space="preserve"> completed an underwritten registered offering of $450.0 million aggregate principal amount of 8.25% senior unsecured notes due 2026, or the Original 8.25% Senior Notes, which are guaranteed by our existing and future subsidiaries that guarantee the Bank C</w:t>
      </w:r>
      <w:r>
        <w:rPr>
          <w:sz w:val="20"/>
          <w:szCs w:val="20"/>
        </w:rPr>
        <w:t>redit Facility. The Original 8.25% Senior Notes were priced at 99.0% of face value and as a result have an effective yield to maturity of 8.50%. We used a significant amount of the net proceeds from the offering of the Original 8.25% Senior Notes (i) to re</w:t>
      </w:r>
      <w:r>
        <w:rPr>
          <w:sz w:val="20"/>
          <w:szCs w:val="20"/>
        </w:rPr>
        <w:t>deem all of our previous $250.0 million aggregate principal amount of 5.0% senior unsecured notes, which were due in 2022, or the 5.0% Senior Notes, including the payment of the applicable "make-whole" redemption amount of $15.5 million and accrued interes</w:t>
      </w:r>
      <w:r>
        <w:rPr>
          <w:sz w:val="20"/>
          <w:szCs w:val="20"/>
        </w:rPr>
        <w:t>t, and (ii) to repurchase $149.0 million of our $350.0 million principal amount of 4.625% senior unsecured notes due 2023, or the 4.625% Senior Notes, at an aggregate purchase price of $151.2 million in privately negotiated transactions, reducing the outst</w:t>
      </w:r>
      <w:r>
        <w:rPr>
          <w:sz w:val="20"/>
          <w:szCs w:val="20"/>
        </w:rPr>
        <w:t>anding balance of the 4.625% Senior Notes to $201.0 million.  In the second and fourth quarters of 2021, we purchased an additional aggregate $27.3 million of our 4.625% Senior Notes at par in open market purchases, further reducing the outstanding balance</w:t>
      </w:r>
      <w:r>
        <w:rPr>
          <w:sz w:val="20"/>
          <w:szCs w:val="20"/>
        </w:rPr>
        <w:t xml:space="preserve"> of the 4.625% Senior Notes to $173.7 million. The "make-whole" redemption amount paid in connection with the redemption of the 5.0% Senior Notes and the aggregate price paid for the 4.625% Senior Notes in excess of the principal amount of the notes repurc</w:t>
      </w:r>
      <w:r>
        <w:rPr>
          <w:sz w:val="20"/>
          <w:szCs w:val="20"/>
        </w:rPr>
        <w:t>hased resulted in charges of approximately $19.2 million during the second quarter of 2021, including costs associated with the repurchases and the proportionate write-off of existing debt issuance costs.  The remaining net proceeds were used to pay down a</w:t>
      </w:r>
      <w:r>
        <w:rPr>
          <w:sz w:val="20"/>
          <w:szCs w:val="20"/>
        </w:rPr>
        <w:t xml:space="preserve"> portion of the amounts outstanding under the Revolving Credit Facility and for general corporate purposes.</w:t>
      </w:r>
    </w:p>
    <w:p w:rsidR="00000000" w:rsidRDefault="008206D2">
      <w:pPr>
        <w:pStyle w:val="a3"/>
        <w:spacing w:before="240" w:beforeAutospacing="0" w:after="0" w:afterAutospacing="0"/>
        <w:jc w:val="both"/>
        <w:rPr>
          <w:sz w:val="20"/>
          <w:szCs w:val="20"/>
        </w:rPr>
      </w:pPr>
      <w:r>
        <w:rPr>
          <w:sz w:val="20"/>
          <w:szCs w:val="20"/>
        </w:rPr>
        <w:t>On September 29, 2021, we completed an underwritten registered tack-on offering of $225.0 million in aggregate principal amount of 8.25% Senior Notes due 2026, or the Additional 8.25% Senior Notes at an issue price of 102.25% of their aggregate principal a</w:t>
      </w:r>
      <w:r>
        <w:rPr>
          <w:sz w:val="20"/>
          <w:szCs w:val="20"/>
        </w:rPr>
        <w:t>mount, plus accrued interest from the April 14, 2021 issue date for the Original 8.25% Senior Notes, resulting in an effective yield to maturity of 7.65% for the Additional 8.25% Senior Notes. The Additional 8.25% Senior Notes and the Original 8.25% Senior</w:t>
      </w:r>
      <w:r>
        <w:rPr>
          <w:sz w:val="20"/>
          <w:szCs w:val="20"/>
        </w:rPr>
        <w:t xml:space="preserve"> Notes, or, collectively, 8.25% Senior Notes, constitute a single class of securities and have identical terms, other than issue date and issue price. The issuance of the Additional 8.25% Senior Notes increased the total aggregate principal amount of the 8</w:t>
      </w:r>
      <w:r>
        <w:rPr>
          <w:sz w:val="20"/>
          <w:szCs w:val="20"/>
        </w:rPr>
        <w:t>.25% Senior Notes outstanding to $675.0 million. The net proceeds from the issuance of the Additional 8.25% Senior Notes totaled approximately $225.5 million, after deducting the underwriting discounts and estimated offering expenses and including the orig</w:t>
      </w:r>
      <w:r>
        <w:rPr>
          <w:sz w:val="20"/>
          <w:szCs w:val="20"/>
        </w:rPr>
        <w:t xml:space="preserve">inal issuance premium. We used the net proceeds from the offering of the Additional 8.25% Senior Notes to pay down our Revolving Credit Facility and for general corporate purposes. </w:t>
      </w:r>
    </w:p>
    <w:p w:rsidR="00000000" w:rsidRDefault="008206D2">
      <w:pPr>
        <w:pStyle w:val="a3"/>
        <w:spacing w:before="240" w:beforeAutospacing="0" w:after="0" w:afterAutospacing="0"/>
        <w:jc w:val="both"/>
        <w:rPr>
          <w:sz w:val="20"/>
          <w:szCs w:val="20"/>
        </w:rPr>
      </w:pPr>
      <w:r>
        <w:rPr>
          <w:sz w:val="20"/>
          <w:szCs w:val="20"/>
        </w:rPr>
        <w:t>Gross interest income was $2.5 million for both the three months ended Mar</w:t>
      </w:r>
      <w:r>
        <w:rPr>
          <w:sz w:val="20"/>
          <w:szCs w:val="20"/>
        </w:rPr>
        <w:t>ch 31, 2022 and 2021. Gross interest income is earned on notes receivable, investments, cash and cash equivalents, and restricted cash.  Interest income also includes interest income associated with the 20-year finance receivable associated with the Lansin</w:t>
      </w:r>
      <w:r>
        <w:rPr>
          <w:sz w:val="20"/>
          <w:szCs w:val="20"/>
        </w:rPr>
        <w:t>g Correctional Facility lease to the Kansas Department of Corrections, which commenced in January 2020, and amounted to $2.2 million for both the three months ended March 31, 2022 and 2021.  Total capitalized interest was $0.2 million and $28,000 during th</w:t>
      </w:r>
      <w:r>
        <w:rPr>
          <w:sz w:val="20"/>
          <w:szCs w:val="20"/>
        </w:rPr>
        <w:t xml:space="preserve">e three months ended March 31, 2022 and 2021, respectively. </w:t>
      </w:r>
    </w:p>
    <w:p w:rsidR="00000000" w:rsidRDefault="008206D2">
      <w:pPr>
        <w:pStyle w:val="a3"/>
        <w:spacing w:before="240" w:beforeAutospacing="0" w:after="0" w:afterAutospacing="0"/>
        <w:jc w:val="center"/>
        <w:rPr>
          <w:sz w:val="20"/>
          <w:szCs w:val="20"/>
        </w:rPr>
      </w:pPr>
      <w:r>
        <w:rPr>
          <w:sz w:val="20"/>
          <w:szCs w:val="20"/>
        </w:rPr>
        <w:t>34</w:t>
      </w:r>
    </w:p>
    <w:p w:rsidR="00000000" w:rsidRDefault="008206D2">
      <w:pPr>
        <w:rPr>
          <w:rFonts w:eastAsia="Times New Roman"/>
        </w:rPr>
      </w:pPr>
      <w:r>
        <w:rPr>
          <w:rFonts w:eastAsia="Times New Roman"/>
        </w:rPr>
        <w:pict>
          <v:rect id="_x0000_i1060"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360" w:beforeAutospacing="0" w:after="0" w:afterAutospacing="0"/>
        <w:jc w:val="both"/>
        <w:rPr>
          <w:b/>
          <w:bCs/>
          <w:i/>
          <w:iCs/>
          <w:sz w:val="20"/>
          <w:szCs w:val="20"/>
        </w:rPr>
      </w:pPr>
      <w:r>
        <w:rPr>
          <w:b/>
          <w:bCs/>
          <w:i/>
          <w:iCs/>
          <w:sz w:val="20"/>
          <w:szCs w:val="20"/>
        </w:rPr>
        <w:t>Income tax expense</w:t>
      </w:r>
    </w:p>
    <w:p w:rsidR="00000000" w:rsidRDefault="008206D2">
      <w:pPr>
        <w:pStyle w:val="a3"/>
        <w:spacing w:before="240" w:beforeAutospacing="0" w:after="0" w:afterAutospacing="0"/>
        <w:jc w:val="both"/>
        <w:rPr>
          <w:sz w:val="20"/>
          <w:szCs w:val="20"/>
        </w:rPr>
      </w:pPr>
      <w:r>
        <w:rPr>
          <w:sz w:val="20"/>
          <w:szCs w:val="20"/>
        </w:rPr>
        <w:t>On August 5, 2020, we announced that our Board of Directors, or BOD, unanimously approved a plan to revoke our REIT election and become</w:t>
      </w:r>
      <w:r>
        <w:rPr>
          <w:sz w:val="20"/>
          <w:szCs w:val="20"/>
        </w:rPr>
        <w:t xml:space="preserve"> a taxable C Corporation, effective January 1, 2021.  As a result, we are no longer required to operate under REIT rules, including the requirement to distribute at least 90% of our taxable income to our stockholders, which provides us with greater flexibi</w:t>
      </w:r>
      <w:r>
        <w:rPr>
          <w:sz w:val="20"/>
          <w:szCs w:val="20"/>
        </w:rPr>
        <w:t>lity to use our free cash flow.  We continued to operate as a REIT for the remainder of the 2020 tax year, and existing REIT requirements and limitations, including those established by our organizational documents, remained in place until January 1, 2021.</w:t>
      </w:r>
      <w:r>
        <w:rPr>
          <w:sz w:val="20"/>
          <w:szCs w:val="20"/>
        </w:rPr>
        <w:t xml:space="preserve">  Effective January 1, 2021, we became subject to federal and state income taxes on our taxable income at applicable tax rates, and are no longer entitled to a tax deduction for dividends paid. We recorded an income tax expense of </w:t>
      </w:r>
      <w:r>
        <w:rPr>
          <w:spacing w:val="-2"/>
          <w:sz w:val="20"/>
          <w:szCs w:val="20"/>
        </w:rPr>
        <w:t>$6.6 million</w:t>
      </w:r>
      <w:r>
        <w:rPr>
          <w:sz w:val="20"/>
          <w:szCs w:val="20"/>
        </w:rPr>
        <w:t xml:space="preserve"> and $113.5 m</w:t>
      </w:r>
      <w:r>
        <w:rPr>
          <w:sz w:val="20"/>
          <w:szCs w:val="20"/>
        </w:rPr>
        <w:t>illion for the three months ended March 31, 2022 and 2021, respectively.  Income tax expense for the first quarter of 2021 included $114.2 million primarily resulting from the revaluation of our net deferred tax liabilities due to the completion of all sig</w:t>
      </w:r>
      <w:r>
        <w:rPr>
          <w:sz w:val="20"/>
          <w:szCs w:val="20"/>
        </w:rPr>
        <w:t xml:space="preserve">nificant actions necessary to revoke our REIT election. No catch-up tax payments or penalties resulted from the revocation of our REIT election.  Income tax expense related to operations for the three months ended March 31, 2021 was partially offset by an </w:t>
      </w:r>
      <w:r>
        <w:rPr>
          <w:sz w:val="20"/>
          <w:szCs w:val="20"/>
        </w:rPr>
        <w:t>income tax benefit of $14.1 million associated with the settlement agreement reached on April 16, 2021 in connection with the shareholder litigation, incremental expenses directly associated with COVID-19 (reflected in operating expenses), and asset impair</w:t>
      </w:r>
      <w:r>
        <w:rPr>
          <w:sz w:val="20"/>
          <w:szCs w:val="20"/>
        </w:rPr>
        <w:t xml:space="preserve">ments.     </w:t>
      </w:r>
    </w:p>
    <w:p w:rsidR="00000000" w:rsidRDefault="008206D2">
      <w:pPr>
        <w:pStyle w:val="a3"/>
        <w:spacing w:before="240" w:beforeAutospacing="0" w:after="0" w:afterAutospacing="0"/>
        <w:jc w:val="both"/>
        <w:rPr>
          <w:spacing w:val="-2"/>
          <w:sz w:val="20"/>
          <w:szCs w:val="20"/>
        </w:rPr>
      </w:pPr>
      <w:r>
        <w:rPr>
          <w:spacing w:val="-2"/>
          <w:sz w:val="20"/>
          <w:szCs w:val="20"/>
        </w:rPr>
        <w:t>Our effective tax rate could fluctuate in the future based on changes in estimates of taxable income, the implementation of additional tax planning strategies, changes in federal or state tax rates or laws affecting tax credits available to us,</w:t>
      </w:r>
      <w:r>
        <w:rPr>
          <w:spacing w:val="-2"/>
          <w:sz w:val="20"/>
          <w:szCs w:val="20"/>
        </w:rPr>
        <w:t xml:space="preserve"> changes in other tax laws, changes in estimates related to uncertain tax positions, or changes in state apportionment factors, as well as changes in the valuation allowance applied to our deferred tax assets that are based primarily on the amount of state</w:t>
      </w:r>
      <w:r>
        <w:rPr>
          <w:spacing w:val="-2"/>
          <w:sz w:val="20"/>
          <w:szCs w:val="20"/>
        </w:rPr>
        <w:t xml:space="preserve"> net operating losses and tax credits that could expire unused.</w:t>
      </w:r>
    </w:p>
    <w:p w:rsidR="00000000" w:rsidRDefault="008206D2">
      <w:pPr>
        <w:pStyle w:val="a3"/>
        <w:spacing w:before="360" w:beforeAutospacing="0" w:after="0" w:afterAutospacing="0"/>
        <w:jc w:val="both"/>
        <w:rPr>
          <w:b/>
          <w:bCs/>
          <w:sz w:val="20"/>
          <w:szCs w:val="20"/>
        </w:rPr>
      </w:pPr>
      <w:r>
        <w:rPr>
          <w:b/>
          <w:bCs/>
          <w:sz w:val="20"/>
          <w:szCs w:val="20"/>
        </w:rPr>
        <w:t>LIQUIDITY AND CAPITAL RESOURCES</w:t>
      </w:r>
    </w:p>
    <w:p w:rsidR="00000000" w:rsidRDefault="008206D2">
      <w:pPr>
        <w:pStyle w:val="a3"/>
        <w:spacing w:before="120" w:beforeAutospacing="0" w:after="0" w:afterAutospacing="0"/>
        <w:jc w:val="both"/>
        <w:rPr>
          <w:sz w:val="20"/>
          <w:szCs w:val="20"/>
        </w:rPr>
      </w:pPr>
      <w:r>
        <w:rPr>
          <w:sz w:val="20"/>
          <w:szCs w:val="20"/>
        </w:rPr>
        <w:t>Our principal capital requirements are for working capital, capital expenditures, and debt service payments, as well as outstanding commitments and contingencie</w:t>
      </w:r>
      <w:r>
        <w:rPr>
          <w:sz w:val="20"/>
          <w:szCs w:val="20"/>
        </w:rPr>
        <w:t>s, as further discussed in the notes to our financial statements. </w:t>
      </w:r>
    </w:p>
    <w:p w:rsidR="00000000" w:rsidRDefault="008206D2">
      <w:pPr>
        <w:pStyle w:val="a3"/>
        <w:spacing w:before="240" w:beforeAutospacing="0" w:after="0" w:afterAutospacing="0"/>
        <w:jc w:val="both"/>
        <w:rPr>
          <w:sz w:val="20"/>
          <w:szCs w:val="20"/>
        </w:rPr>
      </w:pPr>
      <w:r>
        <w:rPr>
          <w:sz w:val="20"/>
          <w:szCs w:val="20"/>
        </w:rPr>
        <w:t>As a result of the BOD decision to revoke our REIT election and become a taxable C Corporation effective January 1, 2021, we are no longer required to operate under REIT rules, including th</w:t>
      </w:r>
      <w:r>
        <w:rPr>
          <w:sz w:val="20"/>
          <w:szCs w:val="20"/>
        </w:rPr>
        <w:t>e requirement to distribute at least 90% of our taxable income to our stockholders, which will provide us with greater flexibility to use our free cash flow.</w:t>
      </w:r>
    </w:p>
    <w:p w:rsidR="00000000" w:rsidRDefault="008206D2">
      <w:pPr>
        <w:pStyle w:val="a3"/>
        <w:spacing w:before="240" w:beforeAutospacing="0" w:after="0" w:afterAutospacing="0"/>
        <w:jc w:val="both"/>
        <w:rPr>
          <w:sz w:val="20"/>
          <w:szCs w:val="20"/>
        </w:rPr>
      </w:pPr>
      <w:r>
        <w:rPr>
          <w:sz w:val="20"/>
          <w:szCs w:val="20"/>
        </w:rPr>
        <w:t>Effective January 1, 2021, we became subject to federal and state income taxes on our taxable inco</w:t>
      </w:r>
      <w:r>
        <w:rPr>
          <w:sz w:val="20"/>
          <w:szCs w:val="20"/>
        </w:rPr>
        <w:t>me at applicable tax rates, and are no longer entitled to a tax deduction for dividends paid. However, we believe this conversion in corporate tax structure improves our overall credit profile and will lower our overall cost of capital, as we are able to a</w:t>
      </w:r>
      <w:r>
        <w:rPr>
          <w:sz w:val="20"/>
          <w:szCs w:val="20"/>
        </w:rPr>
        <w:t>llocate our free cash flow toward the repayment of debt, which may include the purchase of our outstanding debt in open market transactions, privately negotiated transactions or otherwise. Any such debt repurchases will depend upon prevailing market condit</w:t>
      </w:r>
      <w:r>
        <w:rPr>
          <w:sz w:val="20"/>
          <w:szCs w:val="20"/>
        </w:rPr>
        <w:t>ions, our liquidity requirements, contractual requirements, applicable securities laws requirements, and other factors.  Following our first priority of utilizing free cash flow to reduce debt, we expect to allocate a substantial portion of our free cash f</w:t>
      </w:r>
      <w:r>
        <w:rPr>
          <w:sz w:val="20"/>
          <w:szCs w:val="20"/>
        </w:rPr>
        <w:t>low to returning capital to our shareholders, which could include share repurchases and future dividends.  Any future dividend is subject to the BOD's determinations as to the amount of distributions and the timing thereof, as well as limitations under the</w:t>
      </w:r>
      <w:r>
        <w:rPr>
          <w:sz w:val="20"/>
          <w:szCs w:val="20"/>
        </w:rPr>
        <w:t xml:space="preserve"> Company's debt covenants.  We were not able to implement a meaningful share repurchase program under the REIT structure without increasing our debt because a substantial portion of our free cash flow was required to satisfy the distribution requirements u</w:t>
      </w:r>
      <w:r>
        <w:rPr>
          <w:sz w:val="20"/>
          <w:szCs w:val="20"/>
        </w:rPr>
        <w:t>nder the REIT structure. We will also pursue attractive growth opportunities, including new development opportunities in our Properties segment to meet the need to modernize outdated correctional infrastructure across the country, and explore potential opp</w:t>
      </w:r>
      <w:r>
        <w:rPr>
          <w:sz w:val="20"/>
          <w:szCs w:val="20"/>
        </w:rPr>
        <w:t>ortunities to expand the scope of non-residential correctional alternatives we provide in our Community segment that were not available under the REIT structure.  As a REIT, we depended on the capital markets to provide resources we could deploy toward acq</w:t>
      </w:r>
      <w:r>
        <w:rPr>
          <w:sz w:val="20"/>
          <w:szCs w:val="20"/>
        </w:rPr>
        <w:t>uisition and development opportunities.  This capital was not always available to us and came at an increasing cost.  The revocation of our REIT election provides us with significantly more liquidity and financial flexibility, which will enable us to reduc</w:t>
      </w:r>
      <w:r>
        <w:rPr>
          <w:sz w:val="20"/>
          <w:szCs w:val="20"/>
        </w:rPr>
        <w:t>e our reliance on the capital markets and reduce the size of our Bank Credit Facility in the future.  </w:t>
      </w:r>
    </w:p>
    <w:p w:rsidR="00000000" w:rsidRDefault="008206D2">
      <w:pPr>
        <w:pStyle w:val="a3"/>
        <w:spacing w:before="240" w:beforeAutospacing="0" w:after="0" w:afterAutospacing="0"/>
        <w:jc w:val="both"/>
        <w:rPr>
          <w:sz w:val="20"/>
          <w:szCs w:val="20"/>
        </w:rPr>
      </w:pPr>
      <w:r>
        <w:rPr>
          <w:sz w:val="20"/>
          <w:szCs w:val="20"/>
        </w:rPr>
        <w:t>With the extensively aged criminal justice infrastructure in the U.S. today, we believe we can bring real estate and financing solutions to government ag</w:t>
      </w:r>
      <w:r>
        <w:rPr>
          <w:sz w:val="20"/>
          <w:szCs w:val="20"/>
        </w:rPr>
        <w:t>encies like we did in connection with the construction of the Lansing Correctional Facility that commenced operations in January 2020.  We believe we can also provide other real estate solutions to government agencies faced with extensively aged criminal j</w:t>
      </w:r>
      <w:r>
        <w:rPr>
          <w:sz w:val="20"/>
          <w:szCs w:val="20"/>
        </w:rPr>
        <w:t>ustice infrastructure, including "turn-key" solutions like those we will provide to the state of Arizona in connection with the new contract awarded to us during the fourth quarter of 2021 at our La Palma Correctional Center, as well as real estate only so</w:t>
      </w:r>
      <w:r>
        <w:rPr>
          <w:sz w:val="20"/>
          <w:szCs w:val="20"/>
        </w:rPr>
        <w:t xml:space="preserve">lutions to government agencies that need correctional capacity where they prefer to perform the operations. We financed the construction of the Lansing Correctional Facility 100% with project specific financing, requiring no equity commitment from us.  We </w:t>
      </w:r>
      <w:r>
        <w:rPr>
          <w:sz w:val="20"/>
          <w:szCs w:val="20"/>
        </w:rPr>
        <w:t>expect to incur $3.0 million to $4.0 million in capital expenditures for the award from the state of Arizona, and most real estate only solutions would not require material capital expenditures if we have existing capacity.  However, in the future we could</w:t>
      </w:r>
      <w:r>
        <w:rPr>
          <w:sz w:val="20"/>
          <w:szCs w:val="20"/>
        </w:rPr>
        <w:t xml:space="preserve"> incur capital expenditures to provide replacement capacity for government agencies that have extensively aged criminal justice infrastructure and are in need of new capacity. </w:t>
      </w:r>
    </w:p>
    <w:p w:rsidR="00000000" w:rsidRDefault="008206D2">
      <w:pPr>
        <w:pStyle w:val="a3"/>
        <w:spacing w:before="240" w:beforeAutospacing="0" w:after="0" w:afterAutospacing="0"/>
        <w:jc w:val="center"/>
        <w:rPr>
          <w:sz w:val="20"/>
          <w:szCs w:val="20"/>
        </w:rPr>
      </w:pPr>
      <w:r>
        <w:rPr>
          <w:sz w:val="20"/>
          <w:szCs w:val="20"/>
        </w:rPr>
        <w:t>35</w:t>
      </w:r>
    </w:p>
    <w:p w:rsidR="00000000" w:rsidRDefault="008206D2">
      <w:pPr>
        <w:rPr>
          <w:rFonts w:eastAsia="Times New Roman"/>
        </w:rPr>
      </w:pPr>
      <w:r>
        <w:rPr>
          <w:rFonts w:eastAsia="Times New Roman"/>
        </w:rPr>
        <w:pict>
          <v:rect id="_x0000_i1061"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240" w:beforeAutospacing="0" w:after="0" w:afterAutospacing="0"/>
        <w:jc w:val="both"/>
        <w:rPr>
          <w:spacing w:val="-2"/>
          <w:sz w:val="20"/>
          <w:szCs w:val="20"/>
        </w:rPr>
      </w:pPr>
      <w:r>
        <w:rPr>
          <w:spacing w:val="-2"/>
          <w:sz w:val="20"/>
          <w:szCs w:val="20"/>
        </w:rPr>
        <w:t>As of March 31, 2022, we had cash on h</w:t>
      </w:r>
      <w:r>
        <w:rPr>
          <w:spacing w:val="-2"/>
          <w:sz w:val="20"/>
          <w:szCs w:val="20"/>
        </w:rPr>
        <w:t>and of $378.2 million, and $785.3 million available under our Revolving Credit Facility.  During the three months ended March 31, 2022 and 2021, we generated $97.7 million and $99.6 million, respectively, in cash through operating activities.  We currently</w:t>
      </w:r>
      <w:r>
        <w:rPr>
          <w:spacing w:val="-2"/>
          <w:sz w:val="20"/>
          <w:szCs w:val="20"/>
        </w:rPr>
        <w:t xml:space="preserve"> expect to be able to meet our cash expenditure requirements for the next year and beyond utilizing cash on hand, cash flows from operations, and availability under our Revolving Credit Facility or a new or amended credit facility. Some banks that are part</w:t>
      </w:r>
      <w:r>
        <w:rPr>
          <w:spacing w:val="-2"/>
          <w:sz w:val="20"/>
          <w:szCs w:val="20"/>
        </w:rPr>
        <w:t xml:space="preserve">y to our Bank Credit Facility have announced that they do not expect to continue to provide credit or financial services to private entities that own or operate correctional and detention facilities, including CoreCivic, or to otherwise participate in the </w:t>
      </w:r>
      <w:r>
        <w:rPr>
          <w:spacing w:val="-2"/>
          <w:sz w:val="20"/>
          <w:szCs w:val="20"/>
        </w:rPr>
        <w:t>provision of credit or financial services in connection with the development or operation of correctional and detention facilities that are associated with private companies.  The banks that are currently parties to the Bank Credit Facility are obligated t</w:t>
      </w:r>
      <w:r>
        <w:rPr>
          <w:spacing w:val="-2"/>
          <w:sz w:val="20"/>
          <w:szCs w:val="20"/>
        </w:rPr>
        <w:t xml:space="preserve">o honor their commitments under our Bank Credit Facility, which expires in April 2023.  These decisions have currently affected the capital markets for our securities, and we can provide no assurance that additional banks that are party to our Bank Credit </w:t>
      </w:r>
      <w:r>
        <w:rPr>
          <w:spacing w:val="-2"/>
          <w:sz w:val="20"/>
          <w:szCs w:val="20"/>
        </w:rPr>
        <w:t>Facility will not make similar decisions, or that new banks will be willing to become party to our Bank Credit Facility, or that the capital markets for our securities will improve.  As previously mentioned, upon our revocation of our REIT election, we bel</w:t>
      </w:r>
      <w:r>
        <w:rPr>
          <w:spacing w:val="-2"/>
          <w:sz w:val="20"/>
          <w:szCs w:val="20"/>
        </w:rPr>
        <w:t>ieve we will not be as reliant on the Revolving Credit Facility under the Bank Credit Facility or any new or amended credit facility, as we will be able to retain our cash flows to use at our general discretion and, therefore, believe we can operate with a</w:t>
      </w:r>
      <w:r>
        <w:rPr>
          <w:spacing w:val="-2"/>
          <w:sz w:val="20"/>
          <w:szCs w:val="20"/>
        </w:rPr>
        <w:t xml:space="preserve"> smaller Bank Credit Facility.  Following the completion of the offering of the Original 8.25% Senior Notes and redemption of our 5.0% Senior Notes in the second quarter of 2021, we have no debt maturities beyond the Bank Credit Facility until May 2023, wh</w:t>
      </w:r>
      <w:r>
        <w:rPr>
          <w:spacing w:val="-2"/>
          <w:sz w:val="20"/>
          <w:szCs w:val="20"/>
        </w:rPr>
        <w:t xml:space="preserve">en $173.7 million of the 4.625% Senior Notes matures.  We currently anticipate that we will have sufficient liquidity to repay the 4.625% Senior Notes upon maturity.   </w:t>
      </w:r>
    </w:p>
    <w:p w:rsidR="00000000" w:rsidRDefault="008206D2">
      <w:pPr>
        <w:pStyle w:val="a3"/>
        <w:spacing w:before="240" w:beforeAutospacing="0" w:after="0" w:afterAutospacing="0"/>
        <w:jc w:val="both"/>
        <w:rPr>
          <w:sz w:val="20"/>
          <w:szCs w:val="20"/>
        </w:rPr>
      </w:pPr>
      <w:r>
        <w:rPr>
          <w:sz w:val="20"/>
          <w:szCs w:val="20"/>
        </w:rPr>
        <w:t xml:space="preserve">Our cash flow is subject to the receipt of sufficient funding of and timely payment by </w:t>
      </w:r>
      <w:r>
        <w:rPr>
          <w:sz w:val="20"/>
          <w:szCs w:val="20"/>
        </w:rPr>
        <w:t>contracting governmental entities.  If the appropriate governmental agency does not receive sufficient appropriations to cover its contractual obligations, it may terminate our contract or delay or reduce payment to us.  Delays in payment from our major cu</w:t>
      </w:r>
      <w:r>
        <w:rPr>
          <w:sz w:val="20"/>
          <w:szCs w:val="20"/>
        </w:rPr>
        <w:t>stomers or the termination of contracts from our major customers could have an adverse effect on our cash flow and financial condition.  Although our revenue has been negatively impacted by COVID-19, we have not experienced any unusual delays in payments f</w:t>
      </w:r>
      <w:r>
        <w:rPr>
          <w:sz w:val="20"/>
          <w:szCs w:val="20"/>
        </w:rPr>
        <w:t>rom our major customers.</w:t>
      </w:r>
    </w:p>
    <w:p w:rsidR="00000000" w:rsidRDefault="008206D2">
      <w:pPr>
        <w:pStyle w:val="a3"/>
        <w:spacing w:before="360" w:beforeAutospacing="0" w:after="0" w:afterAutospacing="0"/>
        <w:jc w:val="both"/>
        <w:rPr>
          <w:b/>
          <w:bCs/>
          <w:i/>
          <w:iCs/>
          <w:sz w:val="20"/>
          <w:szCs w:val="20"/>
        </w:rPr>
      </w:pPr>
      <w:r>
        <w:rPr>
          <w:b/>
          <w:bCs/>
          <w:i/>
          <w:iCs/>
          <w:sz w:val="20"/>
          <w:szCs w:val="20"/>
        </w:rPr>
        <w:t xml:space="preserve">Debt </w:t>
      </w:r>
    </w:p>
    <w:p w:rsidR="00000000" w:rsidRDefault="008206D2">
      <w:pPr>
        <w:pStyle w:val="a3"/>
        <w:spacing w:before="120" w:beforeAutospacing="0" w:after="0" w:afterAutospacing="0"/>
        <w:jc w:val="both"/>
        <w:rPr>
          <w:spacing w:val="-2"/>
          <w:sz w:val="20"/>
          <w:szCs w:val="20"/>
        </w:rPr>
      </w:pPr>
      <w:r>
        <w:rPr>
          <w:spacing w:val="-2"/>
          <w:sz w:val="20"/>
          <w:szCs w:val="20"/>
        </w:rPr>
        <w:t>As of March 31, 2022, we had $173.7 million principal amount of unsecured notes outstanding with a fixed stated interest rate of 4.625%, $250.0 million principal amount of unsecured notes outstanding with a fixed stated inter</w:t>
      </w:r>
      <w:r>
        <w:rPr>
          <w:spacing w:val="-2"/>
          <w:sz w:val="20"/>
          <w:szCs w:val="20"/>
        </w:rPr>
        <w:t xml:space="preserve">est rate of 4.75%, and $675.0 million principal amount of unsecured notes outstanding with a fixed stated interest rate of 8.25%, or collectively, the Senior Notes.  In addition, we had $153.8 million outstanding under the Kansas Notes with a fixed stated </w:t>
      </w:r>
      <w:r>
        <w:rPr>
          <w:spacing w:val="-2"/>
          <w:sz w:val="20"/>
          <w:szCs w:val="20"/>
        </w:rPr>
        <w:t xml:space="preserve">interest rate of 4.43%, $167.5 million outstanding under our Term Loan A with a variable interest rate of 1.7%, and $124.1 million outstanding under our Term Loan B with a variable interest rate of 5.5%. There was no amount outstanding under our Revolving </w:t>
      </w:r>
      <w:r>
        <w:rPr>
          <w:spacing w:val="-2"/>
          <w:sz w:val="20"/>
          <w:szCs w:val="20"/>
        </w:rPr>
        <w:t xml:space="preserve">Credit Facility as of March 31, 2022.  As of March 31, 2022, our total weighted average effective interest rate was 6.6%, while our total weighted average maturity was 4.9 years.   </w:t>
      </w:r>
    </w:p>
    <w:p w:rsidR="00000000" w:rsidRDefault="008206D2">
      <w:pPr>
        <w:pStyle w:val="a3"/>
        <w:spacing w:before="360" w:beforeAutospacing="0" w:after="0" w:afterAutospacing="0"/>
        <w:jc w:val="both"/>
        <w:rPr>
          <w:b/>
          <w:bCs/>
          <w:i/>
          <w:iCs/>
          <w:sz w:val="20"/>
          <w:szCs w:val="20"/>
        </w:rPr>
      </w:pPr>
      <w:r>
        <w:rPr>
          <w:b/>
          <w:bCs/>
          <w:i/>
          <w:iCs/>
          <w:sz w:val="20"/>
          <w:szCs w:val="20"/>
        </w:rPr>
        <w:t>Facility transactions, development, and capital expenditures</w:t>
      </w:r>
    </w:p>
    <w:p w:rsidR="00000000" w:rsidRDefault="008206D2">
      <w:pPr>
        <w:pStyle w:val="a3"/>
        <w:spacing w:before="240" w:beforeAutospacing="0" w:after="0" w:afterAutospacing="0"/>
        <w:jc w:val="both"/>
        <w:rPr>
          <w:sz w:val="20"/>
          <w:szCs w:val="20"/>
        </w:rPr>
      </w:pPr>
      <w:r>
        <w:rPr>
          <w:sz w:val="20"/>
          <w:szCs w:val="20"/>
        </w:rPr>
        <w:t>Although disr</w:t>
      </w:r>
      <w:r>
        <w:rPr>
          <w:sz w:val="20"/>
          <w:szCs w:val="20"/>
        </w:rPr>
        <w:t>upted by the COVID-19 pandemic, several of our existing federal and state partners, as well as prospective state partners, had been experiencing growth in offender populations and overcrowded conditions, as well as an increase in violent crime.  Government</w:t>
      </w:r>
      <w:r>
        <w:rPr>
          <w:sz w:val="20"/>
          <w:szCs w:val="20"/>
        </w:rPr>
        <w:t xml:space="preserve">s are now assessing their need for correctional space in light of COVID-19, and several are considering alternative correctional capacity for their aged or inefficient infrastructure, or are seeking cost savings by utilizing the private sector.  Competing </w:t>
      </w:r>
      <w:r>
        <w:rPr>
          <w:sz w:val="20"/>
          <w:szCs w:val="20"/>
        </w:rPr>
        <w:t>budget priorities often impede our customers' ability to construct new prison beds of their own or update their older facilities, which we believe could result in further need for private sector prison capacity solutions in the long-term. Over the long-ter</w:t>
      </w:r>
      <w:r>
        <w:rPr>
          <w:sz w:val="20"/>
          <w:szCs w:val="20"/>
        </w:rPr>
        <w:t>m, we would like to see meaningful utilization of our available capacity and better visibility from our customers into their potential future needs before we develop new prison capacity on a speculative basis. We will, however, respond to customer demand a</w:t>
      </w:r>
      <w:r>
        <w:rPr>
          <w:sz w:val="20"/>
          <w:szCs w:val="20"/>
        </w:rPr>
        <w:t>nd may develop or expand correctional and detention facilities when we believe potential long-term returns justify the capital deployment.</w:t>
      </w:r>
      <w:r>
        <w:rPr>
          <w:b/>
          <w:bCs/>
          <w:sz w:val="20"/>
          <w:szCs w:val="20"/>
        </w:rPr>
        <w:t>  </w:t>
      </w:r>
      <w:r>
        <w:rPr>
          <w:sz w:val="20"/>
          <w:szCs w:val="20"/>
        </w:rPr>
        <w:t>  </w:t>
      </w:r>
    </w:p>
    <w:p w:rsidR="00000000" w:rsidRDefault="008206D2">
      <w:pPr>
        <w:pStyle w:val="a3"/>
        <w:spacing w:before="360" w:beforeAutospacing="0" w:after="0" w:afterAutospacing="0"/>
        <w:jc w:val="both"/>
        <w:rPr>
          <w:b/>
          <w:bCs/>
          <w:sz w:val="20"/>
          <w:szCs w:val="20"/>
        </w:rPr>
      </w:pPr>
      <w:r>
        <w:rPr>
          <w:b/>
          <w:bCs/>
          <w:sz w:val="20"/>
          <w:szCs w:val="20"/>
        </w:rPr>
        <w:t>Operating Activities</w:t>
      </w:r>
    </w:p>
    <w:p w:rsidR="00000000" w:rsidRDefault="008206D2">
      <w:pPr>
        <w:pStyle w:val="a3"/>
        <w:spacing w:before="120" w:beforeAutospacing="0" w:after="0" w:afterAutospacing="0"/>
        <w:jc w:val="both"/>
        <w:rPr>
          <w:sz w:val="20"/>
          <w:szCs w:val="20"/>
        </w:rPr>
      </w:pPr>
      <w:r>
        <w:rPr>
          <w:sz w:val="20"/>
          <w:szCs w:val="20"/>
        </w:rPr>
        <w:t>Our net cash provided by operating activities for the three months ended March 31, 2022 was $97.7 million, compared with $99.6 million for the same period in the prior year.  Cash provided by operating activities represents the year to date net income (los</w:t>
      </w:r>
      <w:r>
        <w:rPr>
          <w:sz w:val="20"/>
          <w:szCs w:val="20"/>
        </w:rPr>
        <w:t>s) plus depreciation and amortization, changes in various components of working capital, and various non-cash charges.</w:t>
      </w:r>
    </w:p>
    <w:p w:rsidR="00000000" w:rsidRDefault="008206D2">
      <w:pPr>
        <w:pStyle w:val="a3"/>
        <w:spacing w:before="360" w:beforeAutospacing="0" w:after="0" w:afterAutospacing="0"/>
        <w:jc w:val="both"/>
        <w:rPr>
          <w:b/>
          <w:bCs/>
          <w:sz w:val="20"/>
          <w:szCs w:val="20"/>
        </w:rPr>
      </w:pPr>
      <w:r>
        <w:rPr>
          <w:b/>
          <w:bCs/>
          <w:sz w:val="20"/>
          <w:szCs w:val="20"/>
        </w:rPr>
        <w:t>Investing Activities</w:t>
      </w:r>
    </w:p>
    <w:p w:rsidR="00000000" w:rsidRDefault="008206D2">
      <w:pPr>
        <w:pStyle w:val="a3"/>
        <w:spacing w:before="120" w:beforeAutospacing="0" w:after="0" w:afterAutospacing="0"/>
        <w:jc w:val="both"/>
        <w:rPr>
          <w:sz w:val="20"/>
          <w:szCs w:val="20"/>
        </w:rPr>
      </w:pPr>
      <w:r>
        <w:rPr>
          <w:sz w:val="20"/>
          <w:szCs w:val="20"/>
        </w:rPr>
        <w:t>Our net cash flow used in investing activities was $3.8 million for the three months ended March 31, 2022 and was pr</w:t>
      </w:r>
      <w:r>
        <w:rPr>
          <w:sz w:val="20"/>
          <w:szCs w:val="20"/>
        </w:rPr>
        <w:t>imarily attributable to capital expenditures for facility development and expansions of $2.9 million and $9.0 million for facility maintenance and information technology capital expenditures, partially offset by $9.3 million in net proceeds from the sale o</w:t>
      </w:r>
      <w:r>
        <w:rPr>
          <w:sz w:val="20"/>
          <w:szCs w:val="20"/>
        </w:rPr>
        <w:t xml:space="preserve">f assets.  Our net cash flow used in </w:t>
      </w:r>
    </w:p>
    <w:p w:rsidR="00000000" w:rsidRDefault="008206D2">
      <w:pPr>
        <w:pStyle w:val="a3"/>
        <w:spacing w:before="240" w:beforeAutospacing="0" w:after="0" w:afterAutospacing="0"/>
        <w:jc w:val="center"/>
        <w:rPr>
          <w:sz w:val="20"/>
          <w:szCs w:val="20"/>
        </w:rPr>
      </w:pPr>
      <w:r>
        <w:rPr>
          <w:sz w:val="20"/>
          <w:szCs w:val="20"/>
        </w:rPr>
        <w:t>36</w:t>
      </w:r>
    </w:p>
    <w:p w:rsidR="00000000" w:rsidRDefault="008206D2">
      <w:pPr>
        <w:rPr>
          <w:rFonts w:eastAsia="Times New Roman"/>
        </w:rPr>
      </w:pPr>
      <w:r>
        <w:rPr>
          <w:rFonts w:eastAsia="Times New Roman"/>
        </w:rPr>
        <w:pict>
          <v:rect id="_x0000_i1062"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120" w:beforeAutospacing="0" w:after="0" w:afterAutospacing="0"/>
        <w:jc w:val="both"/>
        <w:rPr>
          <w:sz w:val="20"/>
          <w:szCs w:val="20"/>
        </w:rPr>
      </w:pPr>
      <w:r>
        <w:rPr>
          <w:sz w:val="20"/>
          <w:szCs w:val="20"/>
        </w:rPr>
        <w:t>investing activities was $17.4 million for the three months ended March 31, 2021 and was attributable to capital expenditures for facility development and expansions of $4.0 mi</w:t>
      </w:r>
      <w:r>
        <w:rPr>
          <w:sz w:val="20"/>
          <w:szCs w:val="20"/>
        </w:rPr>
        <w:t xml:space="preserve">llion and $12.2 million for facility maintenance and information technology capital expenditures.      </w:t>
      </w:r>
    </w:p>
    <w:p w:rsidR="00000000" w:rsidRDefault="008206D2">
      <w:pPr>
        <w:pStyle w:val="a3"/>
        <w:spacing w:before="360" w:beforeAutospacing="0" w:after="0" w:afterAutospacing="0"/>
        <w:jc w:val="both"/>
        <w:rPr>
          <w:b/>
          <w:bCs/>
          <w:sz w:val="20"/>
          <w:szCs w:val="20"/>
        </w:rPr>
      </w:pPr>
      <w:r>
        <w:rPr>
          <w:b/>
          <w:bCs/>
          <w:sz w:val="20"/>
          <w:szCs w:val="20"/>
        </w:rPr>
        <w:t>Financing Activities</w:t>
      </w:r>
    </w:p>
    <w:p w:rsidR="00000000" w:rsidRDefault="008206D2">
      <w:pPr>
        <w:pStyle w:val="a3"/>
        <w:spacing w:before="120" w:beforeAutospacing="0" w:after="0" w:afterAutospacing="0"/>
        <w:jc w:val="both"/>
        <w:rPr>
          <w:sz w:val="20"/>
          <w:szCs w:val="20"/>
        </w:rPr>
      </w:pPr>
      <w:r>
        <w:rPr>
          <w:sz w:val="20"/>
          <w:szCs w:val="20"/>
        </w:rPr>
        <w:t>Our net cash flow used in financing activities was $14.1 million for the three months ended March 31, 2022 and was primarily attrib</w:t>
      </w:r>
      <w:r>
        <w:rPr>
          <w:sz w:val="20"/>
          <w:szCs w:val="20"/>
        </w:rPr>
        <w:t>utable to $7.9 million of scheduled principal repayments under our Term Loan A, Term Loan B, and our non-recourse mortgage notes, $5.1 million for the purchase and retirement of common stock that was issued in connection with equity-based compensation, and</w:t>
      </w:r>
      <w:r>
        <w:rPr>
          <w:sz w:val="20"/>
          <w:szCs w:val="20"/>
        </w:rPr>
        <w:t xml:space="preserve"> dividend payments on restricted stock units that became vested of $0.9 million.  </w:t>
      </w:r>
    </w:p>
    <w:p w:rsidR="00000000" w:rsidRDefault="008206D2">
      <w:pPr>
        <w:pStyle w:val="a3"/>
        <w:spacing w:before="120" w:beforeAutospacing="0" w:after="0" w:afterAutospacing="0"/>
        <w:jc w:val="both"/>
        <w:rPr>
          <w:sz w:val="20"/>
          <w:szCs w:val="20"/>
        </w:rPr>
      </w:pPr>
      <w:r>
        <w:rPr>
          <w:sz w:val="20"/>
          <w:szCs w:val="20"/>
        </w:rPr>
        <w:t>Our net cash flow used in financing activities was $34.5 million for the three months ended March 31, 2021 and was primarily attributable to repayments under our revolving c</w:t>
      </w:r>
      <w:r>
        <w:rPr>
          <w:sz w:val="20"/>
          <w:szCs w:val="20"/>
        </w:rPr>
        <w:t>redit facility of $20.0 million, dividend payments on restricted stock units that became vested of $1.6 million and $1.6 million for the purchase and retirement of common stock that was issued in connection with equity-based compensation.  In addition, cas</w:t>
      </w:r>
      <w:r>
        <w:rPr>
          <w:sz w:val="20"/>
          <w:szCs w:val="20"/>
        </w:rPr>
        <w:t xml:space="preserve">h flow used in financing activities included $9.9 million of scheduled principal repayments under our Term Loan A, Term Loan B, and non-recourse mortgage notes.  Cash flow used in financing activities also included $1.0 million of contingent consideration </w:t>
      </w:r>
      <w:r>
        <w:rPr>
          <w:sz w:val="20"/>
          <w:szCs w:val="20"/>
        </w:rPr>
        <w:t>associated with the acquisition of a business.</w:t>
      </w:r>
    </w:p>
    <w:p w:rsidR="00000000" w:rsidRDefault="008206D2">
      <w:pPr>
        <w:pStyle w:val="a3"/>
        <w:spacing w:before="360" w:beforeAutospacing="0" w:after="0" w:afterAutospacing="0"/>
        <w:jc w:val="both"/>
        <w:rPr>
          <w:b/>
          <w:bCs/>
          <w:sz w:val="20"/>
          <w:szCs w:val="20"/>
        </w:rPr>
      </w:pPr>
      <w:r>
        <w:rPr>
          <w:b/>
          <w:bCs/>
          <w:sz w:val="20"/>
          <w:szCs w:val="20"/>
        </w:rPr>
        <w:t>Supplemental Guarantor Information</w:t>
      </w:r>
    </w:p>
    <w:p w:rsidR="00000000" w:rsidRDefault="008206D2">
      <w:pPr>
        <w:pStyle w:val="a3"/>
        <w:spacing w:before="120" w:beforeAutospacing="0" w:after="0" w:afterAutospacing="0"/>
        <w:jc w:val="both"/>
        <w:rPr>
          <w:sz w:val="20"/>
          <w:szCs w:val="20"/>
        </w:rPr>
      </w:pPr>
      <w:r>
        <w:rPr>
          <w:sz w:val="20"/>
          <w:szCs w:val="20"/>
        </w:rPr>
        <w:t>On March 2, 2020, the SEC adopted final rules that amended and simplified the financial disclosure requirements for subsidiary issuers and guarantors of registered debt securities under Rules 3-10 and 3-16 of SEC Regulation S-X.  The rules permit registran</w:t>
      </w:r>
      <w:r>
        <w:rPr>
          <w:sz w:val="20"/>
          <w:szCs w:val="20"/>
        </w:rPr>
        <w:t xml:space="preserve">ts to provide certain alternative financial disclosures and non-financial disclosures in lieu of separate consolidating financial statements for subsidiary issuers and guarantors of registered debt securities (which we previously included within the notes </w:t>
      </w:r>
      <w:r>
        <w:rPr>
          <w:sz w:val="20"/>
          <w:szCs w:val="20"/>
        </w:rPr>
        <w:t>to our financial statements included in our Annual Reports on Form 10-K and Quarterly Reports on Form 10-Q) if certain conditions are met. Although the disclosures required by the amendments did not become mandatory until January 4, 2021, voluntary early c</w:t>
      </w:r>
      <w:r>
        <w:rPr>
          <w:sz w:val="20"/>
          <w:szCs w:val="20"/>
        </w:rPr>
        <w:t>ompliance was permitted.  We elected to voluntarily comply beginning with the quarterly period ended June 30, 2020.</w:t>
      </w:r>
    </w:p>
    <w:p w:rsidR="00000000" w:rsidRDefault="008206D2">
      <w:pPr>
        <w:pStyle w:val="a3"/>
        <w:spacing w:before="240" w:beforeAutospacing="0" w:after="0" w:afterAutospacing="0"/>
        <w:jc w:val="both"/>
        <w:rPr>
          <w:sz w:val="20"/>
          <w:szCs w:val="20"/>
        </w:rPr>
      </w:pPr>
      <w:r>
        <w:rPr>
          <w:sz w:val="20"/>
          <w:szCs w:val="20"/>
        </w:rPr>
        <w:t>All of the domestic subsidiaries of CoreCivic (as the parent corporation) that guarantee the Credit Agreements have provided full and uncond</w:t>
      </w:r>
      <w:r>
        <w:rPr>
          <w:sz w:val="20"/>
          <w:szCs w:val="20"/>
        </w:rPr>
        <w:t>itional guarantees of our Senior Notes.  All of CoreCivic's subsidiaries guaranteeing the Senior Notes are 100% owned direct or indirect subsidiaries of CoreCivic, and the subsidiary guarantees are full and unconditional and are joint and several obligatio</w:t>
      </w:r>
      <w:r>
        <w:rPr>
          <w:sz w:val="20"/>
          <w:szCs w:val="20"/>
        </w:rPr>
        <w:t xml:space="preserve">ns of the guarantors. </w:t>
      </w:r>
    </w:p>
    <w:p w:rsidR="00000000" w:rsidRDefault="008206D2">
      <w:pPr>
        <w:pStyle w:val="a3"/>
        <w:spacing w:before="240" w:beforeAutospacing="0" w:after="0" w:afterAutospacing="0"/>
        <w:jc w:val="both"/>
        <w:rPr>
          <w:sz w:val="20"/>
          <w:szCs w:val="20"/>
        </w:rPr>
      </w:pPr>
      <w:r>
        <w:rPr>
          <w:sz w:val="20"/>
          <w:szCs w:val="20"/>
        </w:rPr>
        <w:t>As of March 31, 2022, neither CoreCivic nor any of its subsidiary guarantors had any material or significant restrictions on CoreCivic's ability to obtain funds from its subsidiaries by dividend or loan or to transfer assets from suc</w:t>
      </w:r>
      <w:r>
        <w:rPr>
          <w:sz w:val="20"/>
          <w:szCs w:val="20"/>
        </w:rPr>
        <w:t>h subsidiaries.</w:t>
      </w:r>
    </w:p>
    <w:p w:rsidR="00000000" w:rsidRDefault="008206D2">
      <w:pPr>
        <w:pStyle w:val="a3"/>
        <w:spacing w:before="24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CoreCivic's ability to, among other things, create or permit to exist certain liens and consolida</w:t>
      </w:r>
      <w:r>
        <w:rPr>
          <w:sz w:val="20"/>
          <w:szCs w:val="20"/>
        </w:rPr>
        <w:t>te, merge or transfer all or substantially all of CoreCivic's assets.  In addition, if CoreCivic experiences specific kinds of changes in control, CoreCivic must offer to repurchase all or a portion of the Senior Notes.  The offer price for the Senior Note</w:t>
      </w:r>
      <w:r>
        <w:rPr>
          <w:sz w:val="20"/>
          <w:szCs w:val="20"/>
        </w:rPr>
        <w:t>s in connection with a change in control would be 101% of the aggregate principal amount of the notes repurchased plus accrued and unpaid interest, if any, on the notes repurchased to the date of purchase.  The indenture related to our 8.25% senior notes d</w:t>
      </w:r>
      <w:r>
        <w:rPr>
          <w:sz w:val="20"/>
          <w:szCs w:val="20"/>
        </w:rPr>
        <w:t xml:space="preserve">ue 2026 additionally limits our ability to incur indebtedness, make restricted payments and investments and prepay certain indebtedness.   </w:t>
      </w:r>
    </w:p>
    <w:p w:rsidR="00000000" w:rsidRDefault="008206D2">
      <w:pPr>
        <w:pStyle w:val="a3"/>
        <w:spacing w:before="240" w:beforeAutospacing="0" w:after="0" w:afterAutospacing="0"/>
        <w:jc w:val="both"/>
        <w:rPr>
          <w:sz w:val="20"/>
          <w:szCs w:val="20"/>
        </w:rPr>
      </w:pPr>
      <w:r>
        <w:rPr>
          <w:sz w:val="20"/>
          <w:szCs w:val="20"/>
        </w:rPr>
        <w:t>The following tables present summarized information for CoreCivic and the subsidiary guarantors, on a combined basis</w:t>
      </w:r>
      <w:r>
        <w:rPr>
          <w:sz w:val="20"/>
          <w:szCs w:val="20"/>
        </w:rPr>
        <w:t xml:space="preserve"> after elimination of (i) intercompany transactions and balances among CoreCivic and the subsidiary guarantors and (ii) equity in earnings from, and any investments in, any subsidiary that is a non-guarantor (in thousands).  </w:t>
      </w:r>
    </w:p>
    <w:p w:rsidR="00000000" w:rsidRDefault="008206D2">
      <w:pPr>
        <w:pStyle w:val="a3"/>
        <w:spacing w:before="24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4"/>
        <w:gridCol w:w="65"/>
        <w:gridCol w:w="115"/>
        <w:gridCol w:w="857"/>
        <w:gridCol w:w="65"/>
        <w:gridCol w:w="65"/>
        <w:gridCol w:w="116"/>
        <w:gridCol w:w="1213"/>
        <w:gridCol w:w="65"/>
      </w:tblGrid>
      <w:tr w:rsidR="00000000">
        <w:trPr>
          <w:divId w:val="974485548"/>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March 31, 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97448554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583,686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531,626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Real estate and related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2,486,057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2,502,135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Other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218,359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224,277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non-current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2,704,416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2,726,412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259,032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237,795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Long-term debt, net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1,337,615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1,344,606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   Other liabilities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291,012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293,456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974485548"/>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long-term liabilities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1,628,627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1,638,062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240" w:beforeAutospacing="0" w:after="0" w:afterAutospacing="0"/>
        <w:jc w:val="center"/>
        <w:rPr>
          <w:sz w:val="20"/>
          <w:szCs w:val="20"/>
        </w:rPr>
      </w:pPr>
      <w:r>
        <w:rPr>
          <w:sz w:val="20"/>
          <w:szCs w:val="20"/>
        </w:rPr>
        <w:t>37</w:t>
      </w:r>
    </w:p>
    <w:p w:rsidR="00000000" w:rsidRDefault="008206D2">
      <w:pPr>
        <w:rPr>
          <w:rFonts w:eastAsia="Times New Roman"/>
        </w:rPr>
      </w:pPr>
      <w:r>
        <w:rPr>
          <w:rFonts w:eastAsia="Times New Roman"/>
        </w:rPr>
        <w:pict>
          <v:rect id="_x0000_i1063"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both"/>
        <w:rPr>
          <w:b/>
          <w:bCs/>
          <w:sz w:val="20"/>
          <w:szCs w:val="20"/>
        </w:rPr>
      </w:pPr>
      <w:r>
        <w:rPr>
          <w:b/>
          <w:bCs/>
          <w:sz w:val="20"/>
          <w:szCs w:val="20"/>
        </w:rPr>
        <w:t> </w:t>
      </w:r>
    </w:p>
    <w:p w:rsidR="00000000" w:rsidRDefault="008206D2">
      <w:pPr>
        <w:pStyle w:val="a3"/>
        <w:spacing w:before="0" w:beforeAutospacing="0" w:after="0" w:afterAutospacing="0"/>
        <w:jc w:val="both"/>
        <w:rPr>
          <w:b/>
          <w:bCs/>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942"/>
        <w:gridCol w:w="102"/>
        <w:gridCol w:w="115"/>
        <w:gridCol w:w="934"/>
        <w:gridCol w:w="65"/>
        <w:gridCol w:w="99"/>
        <w:gridCol w:w="115"/>
        <w:gridCol w:w="1021"/>
        <w:gridCol w:w="82"/>
      </w:tblGrid>
      <w:tr w:rsidR="00000000">
        <w:trPr>
          <w:divId w:val="1643346682"/>
        </w:trPr>
        <w:tc>
          <w:tcPr>
            <w:tcW w:w="331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68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 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4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Twelve</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December 31, 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1643346682"/>
        </w:trPr>
        <w:tc>
          <w:tcPr>
            <w:tcW w:w="331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Revenue</w:t>
            </w:r>
          </w:p>
        </w:tc>
        <w:tc>
          <w:tcPr>
            <w:tcW w:w="78"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452,621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9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1,848,315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43346682"/>
        </w:trPr>
        <w:tc>
          <w:tcPr>
            <w:tcW w:w="331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Operating expenses</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344,623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1,332,248</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43346682"/>
        </w:trPr>
        <w:tc>
          <w:tcPr>
            <w:tcW w:w="331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Other expenses</w:t>
            </w:r>
          </w:p>
        </w:tc>
        <w:tc>
          <w:tcPr>
            <w:tcW w:w="78"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63,130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336,084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43346682"/>
        </w:trPr>
        <w:tc>
          <w:tcPr>
            <w:tcW w:w="3315"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Total expenses</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407,753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1,668,332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43346682"/>
        </w:trPr>
        <w:tc>
          <w:tcPr>
            <w:tcW w:w="3315"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Income before income taxes</w:t>
            </w:r>
          </w:p>
        </w:tc>
        <w:tc>
          <w:tcPr>
            <w:tcW w:w="78"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24,861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60,543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1643346682"/>
        </w:trPr>
        <w:tc>
          <w:tcPr>
            <w:tcW w:w="3315"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Net income (loss)</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18,251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(77,456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bl>
    <w:p w:rsidR="00000000" w:rsidRDefault="008206D2">
      <w:pPr>
        <w:pStyle w:val="a3"/>
        <w:spacing w:before="0" w:beforeAutospacing="0" w:after="0" w:afterAutospacing="0"/>
        <w:jc w:val="both"/>
        <w:rPr>
          <w:b/>
          <w:bCs/>
          <w:sz w:val="20"/>
          <w:szCs w:val="20"/>
        </w:rPr>
      </w:pPr>
      <w:r>
        <w:rPr>
          <w:b/>
          <w:bCs/>
          <w:sz w:val="20"/>
          <w:szCs w:val="20"/>
        </w:rPr>
        <w:t> </w:t>
      </w:r>
    </w:p>
    <w:p w:rsidR="00000000" w:rsidRDefault="008206D2">
      <w:pPr>
        <w:pStyle w:val="a3"/>
        <w:spacing w:before="160" w:beforeAutospacing="0" w:after="0" w:afterAutospacing="0"/>
        <w:jc w:val="both"/>
        <w:rPr>
          <w:b/>
          <w:bCs/>
          <w:sz w:val="20"/>
          <w:szCs w:val="20"/>
        </w:rPr>
      </w:pPr>
      <w:r>
        <w:rPr>
          <w:b/>
          <w:bCs/>
          <w:sz w:val="20"/>
          <w:szCs w:val="20"/>
        </w:rPr>
        <w:t>Funds from Operations</w:t>
      </w:r>
    </w:p>
    <w:p w:rsidR="00000000" w:rsidRDefault="008206D2">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nt ventures calculated to reflect funds from operations on the same basis.  We believe FFO is an important supplemental measure of our operating performance and believe it is frequently used by securities analysts, investors and other interested parties in</w:t>
      </w:r>
      <w:r>
        <w:rPr>
          <w:sz w:val="20"/>
          <w:szCs w:val="20"/>
        </w:rPr>
        <w:t xml:space="preserve"> the evaluation of REITs and other real estate operating companies, many of which present FFO when reporting results. </w:t>
      </w:r>
    </w:p>
    <w:p w:rsidR="00000000" w:rsidRDefault="008206D2">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w:t>
      </w:r>
      <w:r>
        <w:rPr>
          <w:spacing w:val="-2"/>
          <w:sz w:val="20"/>
          <w:szCs w:val="20"/>
        </w:rPr>
        <w:t>e. We may make adjustments to FFO from time to time for certain other income and expenses that we consider non-recurring, infrequent or unusual, even though such items may require cash settlement, because such items do not reflect a necessary or ordinary c</w:t>
      </w:r>
      <w:r>
        <w:rPr>
          <w:spacing w:val="-2"/>
          <w:sz w:val="20"/>
          <w:szCs w:val="20"/>
        </w:rPr>
        <w:t>omponent of our ongoing operations.  Normalized FFO excludes the effects of such items.</w:t>
      </w:r>
    </w:p>
    <w:p w:rsidR="00000000" w:rsidRDefault="008206D2">
      <w:pPr>
        <w:pStyle w:val="a3"/>
        <w:spacing w:before="240" w:beforeAutospacing="0" w:after="0" w:afterAutospacing="0"/>
        <w:jc w:val="both"/>
        <w:rPr>
          <w:sz w:val="20"/>
          <w:szCs w:val="20"/>
        </w:rPr>
      </w:pPr>
      <w:r>
        <w:rPr>
          <w:sz w:val="20"/>
          <w:szCs w:val="20"/>
        </w:rPr>
        <w:t>FFO and Normalized FFO are supplemental non-GAAP financial measures of real estate companies' operating performance, which do not represent cash generated from operatin</w:t>
      </w:r>
      <w:r>
        <w:rPr>
          <w:sz w:val="20"/>
          <w:szCs w:val="20"/>
        </w:rPr>
        <w:t>g activities in accordance with GAAP and therefore should not be considered an alternative for net income or as a measure of liquidity. Our method of calculating FFO and Normalized FFO may be different from methods used by other REITs and real estate opera</w:t>
      </w:r>
      <w:r>
        <w:rPr>
          <w:sz w:val="20"/>
          <w:szCs w:val="20"/>
        </w:rPr>
        <w:t>ting companies and, accordingly, may not be comparable to such REITs and other real estate operating companies.</w:t>
      </w:r>
    </w:p>
    <w:p w:rsidR="00000000" w:rsidRDefault="008206D2">
      <w:pPr>
        <w:pStyle w:val="a3"/>
        <w:spacing w:before="240" w:beforeAutospacing="0" w:after="0" w:afterAutospacing="0"/>
        <w:jc w:val="both"/>
        <w:rPr>
          <w:sz w:val="20"/>
          <w:szCs w:val="20"/>
        </w:rPr>
      </w:pPr>
      <w:r>
        <w:rPr>
          <w:sz w:val="20"/>
          <w:szCs w:val="20"/>
        </w:rPr>
        <w:t>Our reconciliation of net income to FFO and Normalized FFO for the three months ended March 31, 2022 and 2021 is as follows (in thousands):</w:t>
      </w:r>
    </w:p>
    <w:p w:rsidR="00000000" w:rsidRDefault="008206D2">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360057510"/>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206D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360057510"/>
        </w:trPr>
        <w:tc>
          <w:tcPr>
            <w:tcW w:w="3354"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360057510"/>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19,003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360057510"/>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24,166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23,759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360057510"/>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360057510"/>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Gain on sale of real estate assets, net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(2,261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360057510"/>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Income tax expense (benefit) for special items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625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360057510"/>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41,533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(100,851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360057510"/>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1,598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360057510"/>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Income taxes associated with change in corporate</w:t>
            </w:r>
          </w:p>
          <w:p w:rsidR="00000000" w:rsidRDefault="008206D2">
            <w:pPr>
              <w:pStyle w:val="a3"/>
              <w:spacing w:before="0" w:beforeAutospacing="0" w:after="0" w:afterAutospacing="0"/>
              <w:rPr>
                <w:color w:val="000000"/>
                <w:sz w:val="20"/>
                <w:szCs w:val="20"/>
              </w:rPr>
            </w:pPr>
            <w:r>
              <w:rPr>
                <w:color w:val="000000"/>
                <w:sz w:val="20"/>
                <w:szCs w:val="20"/>
              </w:rPr>
              <w:t>    tax structure and other special tax items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114,249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360057510"/>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Shareholder litigation expense</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51,745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000000">
        <w:trPr>
          <w:divId w:val="360057510"/>
        </w:trPr>
        <w:tc>
          <w:tcPr>
            <w:tcW w:w="3354"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(13,710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r>
      <w:tr w:rsidR="00000000">
        <w:trPr>
          <w:divId w:val="360057510"/>
        </w:trPr>
        <w:tc>
          <w:tcPr>
            <w:tcW w:w="3354"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b/>
                <w:bCs/>
                <w:color w:val="000000"/>
                <w:sz w:val="20"/>
                <w:szCs w:val="20"/>
              </w:rPr>
            </w:pPr>
            <w:r>
              <w:rPr>
                <w:b/>
                <w:bCs/>
                <w:color w:val="000000"/>
                <w:sz w:val="20"/>
                <w:szCs w:val="20"/>
              </w:rPr>
              <w:t>41,533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53,031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240" w:beforeAutospacing="0" w:after="0" w:afterAutospacing="0"/>
        <w:jc w:val="center"/>
        <w:rPr>
          <w:sz w:val="20"/>
          <w:szCs w:val="20"/>
        </w:rPr>
      </w:pPr>
      <w:r>
        <w:rPr>
          <w:sz w:val="20"/>
          <w:szCs w:val="20"/>
        </w:rPr>
        <w:t>38</w:t>
      </w:r>
    </w:p>
    <w:p w:rsidR="00000000" w:rsidRDefault="008206D2">
      <w:pPr>
        <w:rPr>
          <w:rFonts w:eastAsia="Times New Roman"/>
        </w:rPr>
      </w:pPr>
      <w:r>
        <w:rPr>
          <w:rFonts w:eastAsia="Times New Roman"/>
        </w:rPr>
        <w:pict>
          <v:rect id="_x0000_i1064"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 </w:t>
      </w:r>
    </w:p>
    <w:p w:rsidR="00000000" w:rsidRDefault="008206D2">
      <w:pPr>
        <w:pStyle w:val="a3"/>
        <w:spacing w:before="0" w:beforeAutospacing="0" w:after="0" w:afterAutospacing="0"/>
        <w:jc w:val="both"/>
        <w:rPr>
          <w:b/>
          <w:bCs/>
          <w:sz w:val="20"/>
          <w:szCs w:val="20"/>
        </w:rPr>
      </w:pPr>
      <w:r>
        <w:rPr>
          <w:b/>
          <w:bCs/>
          <w:sz w:val="20"/>
          <w:szCs w:val="20"/>
        </w:rPr>
        <w:t> </w:t>
      </w:r>
    </w:p>
    <w:p w:rsidR="00000000" w:rsidRDefault="008206D2">
      <w:pPr>
        <w:pStyle w:val="a3"/>
        <w:spacing w:before="160" w:beforeAutospacing="0" w:after="0" w:afterAutospacing="0"/>
        <w:jc w:val="both"/>
        <w:rPr>
          <w:b/>
          <w:bCs/>
          <w:sz w:val="20"/>
          <w:szCs w:val="20"/>
        </w:rPr>
      </w:pPr>
      <w:r>
        <w:rPr>
          <w:b/>
          <w:bCs/>
          <w:sz w:val="20"/>
          <w:szCs w:val="20"/>
        </w:rPr>
        <w:t>Material Cash Requirements</w:t>
      </w:r>
    </w:p>
    <w:p w:rsidR="00000000" w:rsidRDefault="008206D2">
      <w:pPr>
        <w:pStyle w:val="a3"/>
        <w:spacing w:before="120" w:beforeAutospacing="0" w:after="0" w:afterAutospacing="0"/>
        <w:jc w:val="both"/>
        <w:rPr>
          <w:sz w:val="20"/>
          <w:szCs w:val="20"/>
        </w:rPr>
      </w:pPr>
      <w:r>
        <w:rPr>
          <w:sz w:val="20"/>
          <w:szCs w:val="20"/>
        </w:rPr>
        <w:t>The following schedule summarizes our contractual cash obligations by the indicated period as of March 31, 2022 (in thousands):</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24"/>
        <w:gridCol w:w="65"/>
        <w:gridCol w:w="118"/>
        <w:gridCol w:w="724"/>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815"/>
        <w:gridCol w:w="65"/>
      </w:tblGrid>
      <w:tr w:rsidR="00000000">
        <w:trPr>
          <w:divId w:val="809324319"/>
        </w:trPr>
        <w:tc>
          <w:tcPr>
            <w:tcW w:w="184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sz w:val="20"/>
                <w:szCs w:val="20"/>
              </w:rPr>
            </w:pPr>
            <w:r>
              <w:rPr>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066"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000000">
        <w:trPr>
          <w:divId w:val="809324319"/>
        </w:trPr>
        <w:tc>
          <w:tcPr>
            <w:tcW w:w="1840"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2022</w:t>
            </w:r>
          </w:p>
          <w:p w:rsidR="00000000" w:rsidRDefault="008206D2">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2026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Thereafter</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b/>
                <w:bCs/>
                <w:color w:val="000000"/>
                <w:sz w:val="16"/>
                <w:szCs w:val="16"/>
              </w:rPr>
            </w:pPr>
            <w:r>
              <w:rPr>
                <w:b/>
                <w:bCs/>
                <w:color w:val="000000"/>
                <w:sz w:val="16"/>
                <w:szCs w:val="16"/>
              </w:rPr>
              <w:t> </w:t>
            </w:r>
          </w:p>
        </w:tc>
      </w:tr>
      <w:tr w:rsidR="008206D2">
        <w:trPr>
          <w:divId w:val="809324319"/>
        </w:trPr>
        <w:tc>
          <w:tcPr>
            <w:tcW w:w="184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Long-term debt</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27,473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354,796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96,597</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5,823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681,326</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378,014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1,544,029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809324319"/>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Interest on senior and mortgage notes</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80,667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78,161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73,922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73,677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45,567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54,852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406,846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809324319"/>
        </w:trPr>
        <w:tc>
          <w:tcPr>
            <w:tcW w:w="184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Contractual facility developments and</w:t>
            </w:r>
          </w:p>
          <w:p w:rsidR="00000000" w:rsidRDefault="008206D2">
            <w:pPr>
              <w:pStyle w:val="a3"/>
              <w:spacing w:before="0" w:beforeAutospacing="0" w:after="0" w:afterAutospacing="0"/>
              <w:rPr>
                <w:color w:val="000000"/>
                <w:sz w:val="20"/>
                <w:szCs w:val="20"/>
              </w:rPr>
            </w:pPr>
            <w:r>
              <w:rPr>
                <w:color w:val="000000"/>
                <w:sz w:val="20"/>
                <w:szCs w:val="20"/>
              </w:rPr>
              <w:t>   other commitments</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3,241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3,241</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809324319"/>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South Texas Family Residential Center</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38,742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38,460</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231,606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809324319"/>
        </w:trPr>
        <w:tc>
          <w:tcPr>
            <w:tcW w:w="1840" w:type="pct"/>
            <w:shd w:val="clear" w:color="auto" w:fill="CFF0FC"/>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Leases</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3,478</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4,334</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4,295</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4,233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18,483</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39,142</w:t>
            </w:r>
          </w:p>
        </w:tc>
        <w:tc>
          <w:tcPr>
            <w:tcW w:w="50" w:type="pct"/>
            <w:shd w:val="clear" w:color="auto" w:fill="CFF0FC"/>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r>
      <w:tr w:rsidR="008206D2">
        <w:trPr>
          <w:divId w:val="809324319"/>
        </w:trPr>
        <w:tc>
          <w:tcPr>
            <w:tcW w:w="1840" w:type="pct"/>
            <w:shd w:val="clear" w:color="auto" w:fill="FFFFFF"/>
            <w:tcMar>
              <w:top w:w="15" w:type="dxa"/>
              <w:left w:w="0" w:type="dxa"/>
              <w:bottom w:w="0" w:type="dxa"/>
              <w:right w:w="15" w:type="dxa"/>
            </w:tcMar>
            <w:hideMark/>
          </w:tcPr>
          <w:p w:rsidR="00000000" w:rsidRDefault="008206D2">
            <w:pPr>
              <w:pStyle w:val="a3"/>
              <w:spacing w:before="0" w:beforeAutospacing="0" w:after="0" w:afterAutospacing="0"/>
              <w:rPr>
                <w:color w:val="000000"/>
                <w:sz w:val="20"/>
                <w:szCs w:val="20"/>
              </w:rPr>
            </w:pPr>
            <w:r>
              <w:rPr>
                <w:color w:val="000000"/>
                <w:sz w:val="20"/>
                <w:szCs w:val="20"/>
              </w:rPr>
              <w:t>Total contractual cash obligations</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153,601</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488,697</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226,415</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135,216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769,586</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451,349</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jc w:val="right"/>
              <w:rPr>
                <w:color w:val="000000"/>
                <w:sz w:val="20"/>
                <w:szCs w:val="20"/>
              </w:rPr>
            </w:pPr>
            <w:r>
              <w:rPr>
                <w:color w:val="000000"/>
                <w:sz w:val="20"/>
                <w:szCs w:val="20"/>
              </w:rPr>
              <w:t>2,224,864</w:t>
            </w:r>
          </w:p>
        </w:tc>
        <w:tc>
          <w:tcPr>
            <w:tcW w:w="50" w:type="pct"/>
            <w:shd w:val="clear" w:color="auto" w:fill="FFFFFF"/>
            <w:noWrap/>
            <w:tcMar>
              <w:top w:w="15" w:type="dxa"/>
              <w:left w:w="0" w:type="dxa"/>
              <w:bottom w:w="0" w:type="dxa"/>
              <w:right w:w="15" w:type="dxa"/>
            </w:tcMar>
            <w:vAlign w:val="bottom"/>
            <w:hideMark/>
          </w:tcPr>
          <w:p w:rsidR="00000000" w:rsidRDefault="008206D2">
            <w:pPr>
              <w:pStyle w:val="a3"/>
              <w:spacing w:before="0" w:beforeAutospacing="0" w:after="0" w:afterAutospacing="0"/>
              <w:rPr>
                <w:color w:val="000000"/>
                <w:sz w:val="2"/>
                <w:szCs w:val="2"/>
              </w:rPr>
            </w:pPr>
            <w:r>
              <w:rPr>
                <w:color w:val="000000"/>
                <w:sz w:val="2"/>
                <w:szCs w:val="2"/>
              </w:rPr>
              <w:t> </w:t>
            </w:r>
          </w:p>
        </w:tc>
      </w:tr>
    </w:tbl>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both"/>
        <w:rPr>
          <w:sz w:val="20"/>
          <w:szCs w:val="20"/>
        </w:rPr>
      </w:pPr>
      <w:r>
        <w:rPr>
          <w:sz w:val="20"/>
          <w:szCs w:val="20"/>
        </w:rPr>
        <w:t xml:space="preserve">The cash obligations in the table above do not include future cash obligations for variable interest expense associated with our Term Loan A, Term Loan B or the balance on our outstanding Revolving Credit Facility, if any, as projections would be based on </w:t>
      </w:r>
      <w:r>
        <w:rPr>
          <w:sz w:val="20"/>
          <w:szCs w:val="20"/>
        </w:rPr>
        <w:t>future outstanding balances as well as future variable interest rates, and we are unable to make reliable estimates of either.  We have two renovation projects, totaling approximately $23.0 million, with $6.3 million remaining to be incurred as of March 31</w:t>
      </w:r>
      <w:r>
        <w:rPr>
          <w:sz w:val="20"/>
          <w:szCs w:val="20"/>
        </w:rPr>
        <w:t>, 2022, for which we have entered into a contract with a customer that obligates us to complete the projects.  However, the federal government reimbursed us over a twelve-month period for these two projects. Certain of our other ongoing construction projec</w:t>
      </w:r>
      <w:r>
        <w:rPr>
          <w:sz w:val="20"/>
          <w:szCs w:val="20"/>
        </w:rPr>
        <w:t>ts are not currently under contract and thus are not included as a contractual obligation above as we may generally suspend or terminate such projects without substantial penalty.  With respect to the South Texas Family Residential Center, the cash obligat</w:t>
      </w:r>
      <w:r>
        <w:rPr>
          <w:sz w:val="20"/>
          <w:szCs w:val="20"/>
        </w:rPr>
        <w:t xml:space="preserve">ions included in the table above reflect the full contractual obligations of the lease of the site, excluding contingent payments, even though the lease agreement provides us with the ability to terminate if ICE terminates the amended IGSA associated with </w:t>
      </w:r>
      <w:r>
        <w:rPr>
          <w:sz w:val="20"/>
          <w:szCs w:val="20"/>
        </w:rPr>
        <w:t>the facility.  </w:t>
      </w:r>
    </w:p>
    <w:p w:rsidR="00000000" w:rsidRDefault="008206D2">
      <w:pPr>
        <w:pStyle w:val="a3"/>
        <w:spacing w:before="240" w:beforeAutospacing="0" w:after="0" w:afterAutospacing="0"/>
        <w:jc w:val="both"/>
        <w:rPr>
          <w:sz w:val="20"/>
          <w:szCs w:val="20"/>
        </w:rPr>
      </w:pPr>
      <w:r>
        <w:rPr>
          <w:sz w:val="20"/>
          <w:szCs w:val="20"/>
        </w:rPr>
        <w:t xml:space="preserve">We had $14.7 million of letters of credit outstanding at March 31, 2022 primarily to support our requirement to repay fees and claims under our self-insured workers' compensation plan in the event we do not repay the fees and claims due in </w:t>
      </w:r>
      <w:r>
        <w:rPr>
          <w:sz w:val="20"/>
          <w:szCs w:val="20"/>
        </w:rPr>
        <w:t>accordance with the terms of the plan, and for a debt service reserve requirement under terms of the Kansas Notes.  The letters of credit are renewable annually.  We did not have any draws under these outstanding letters of credit during the three months e</w:t>
      </w:r>
      <w:r>
        <w:rPr>
          <w:sz w:val="20"/>
          <w:szCs w:val="20"/>
        </w:rPr>
        <w:t>nded March 31, 2022 or 2021.  </w:t>
      </w:r>
    </w:p>
    <w:p w:rsidR="00000000" w:rsidRDefault="008206D2">
      <w:pPr>
        <w:pStyle w:val="a3"/>
        <w:spacing w:before="360" w:beforeAutospacing="0" w:after="0" w:afterAutospacing="0"/>
        <w:jc w:val="both"/>
        <w:rPr>
          <w:b/>
          <w:bCs/>
          <w:sz w:val="20"/>
          <w:szCs w:val="20"/>
        </w:rPr>
      </w:pPr>
      <w:r>
        <w:rPr>
          <w:b/>
          <w:bCs/>
          <w:sz w:val="20"/>
          <w:szCs w:val="20"/>
        </w:rPr>
        <w:t>INFLATION</w:t>
      </w:r>
    </w:p>
    <w:p w:rsidR="00000000" w:rsidRDefault="008206D2">
      <w:pPr>
        <w:pStyle w:val="a3"/>
        <w:spacing w:before="120" w:beforeAutospacing="0" w:after="0" w:afterAutospacing="0"/>
        <w:jc w:val="both"/>
        <w:rPr>
          <w:sz w:val="20"/>
          <w:szCs w:val="20"/>
        </w:rPr>
      </w:pPr>
      <w:r>
        <w:rPr>
          <w:sz w:val="20"/>
          <w:szCs w:val="20"/>
        </w:rPr>
        <w:t>Many of our contracts include provisions for inflationary indexing, which may mitigate an adverse impact of inflation on net income.  However, a substantial increase in personnel costs, workers' compensation or food</w:t>
      </w:r>
      <w:r>
        <w:rPr>
          <w:sz w:val="20"/>
          <w:szCs w:val="20"/>
        </w:rPr>
        <w:t xml:space="preserve"> and medical expenses could have an adverse impact on our results of operations in the future to the extent that these expenses increase at a faster pace than the per diem or fixed rates we receive for our management services.  As previously described here</w:t>
      </w:r>
      <w:r>
        <w:rPr>
          <w:sz w:val="20"/>
          <w:szCs w:val="20"/>
        </w:rPr>
        <w:t>in, we have experienced increases in personnel costs and expect the labor market to remain challenging, which could have a material adverse effect on our operations.  We outsource our food service operations to a third party.  The contract with our outsour</w:t>
      </w:r>
      <w:r>
        <w:rPr>
          <w:sz w:val="20"/>
          <w:szCs w:val="20"/>
        </w:rPr>
        <w:t>ced food service vendor contains certain protections against increases in food costs.  </w:t>
      </w:r>
    </w:p>
    <w:p w:rsidR="00000000" w:rsidRDefault="008206D2">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8206D2">
      <w:pPr>
        <w:pStyle w:val="a3"/>
        <w:spacing w:before="120" w:beforeAutospacing="0" w:after="0" w:afterAutospacing="0"/>
        <w:jc w:val="both"/>
        <w:rPr>
          <w:sz w:val="20"/>
          <w:szCs w:val="20"/>
        </w:rPr>
      </w:pPr>
      <w:r>
        <w:rPr>
          <w:sz w:val="20"/>
          <w:szCs w:val="20"/>
        </w:rPr>
        <w:t>Certain aspects of our business are subject to seasonal fluctuations.  Because we are generally compensated for operating and managin</w:t>
      </w:r>
      <w:r>
        <w:rPr>
          <w:sz w:val="20"/>
          <w:szCs w:val="20"/>
        </w:rPr>
        <w:t>g correctional, detention, and reentry facilities at a per diem rate, our financial results are impacted by the number of calendar days in a fiscal quarter. Our fiscal year follows the calendar year and therefore, our daily profits for the third and fourth</w:t>
      </w:r>
      <w:r>
        <w:rPr>
          <w:sz w:val="20"/>
          <w:szCs w:val="20"/>
        </w:rPr>
        <w:t xml:space="preserve"> quarters include two more days than the first quarter (except in leap years) and one more day than the second quarter.  Further, salaries and benefits represent the most significant component of operating expenses.  Significant portions of our unemploymen</w:t>
      </w:r>
      <w:r>
        <w:rPr>
          <w:sz w:val="20"/>
          <w:szCs w:val="20"/>
        </w:rPr>
        <w:t>t taxes are recognized during the first quarter, when base wage rates reset for unemployment tax purposes.  Quarterly results are also affected by government funding initiatives, acquisitions, the timing of the opening of new facilities, or the commencemen</w:t>
      </w:r>
      <w:r>
        <w:rPr>
          <w:sz w:val="20"/>
          <w:szCs w:val="20"/>
        </w:rPr>
        <w:t>t of new management contracts and related start-up expenses which may mitigate or exacerbate the impact of other seasonal influences.  Because of seasonality factors, and other factors described herein, results for any quarter are not necessarily indicativ</w:t>
      </w:r>
      <w:r>
        <w:rPr>
          <w:sz w:val="20"/>
          <w:szCs w:val="20"/>
        </w:rPr>
        <w:t xml:space="preserve">e of the results that may be achieved for the full fiscal year. </w:t>
      </w:r>
    </w:p>
    <w:p w:rsidR="00000000" w:rsidRDefault="008206D2">
      <w:pPr>
        <w:pStyle w:val="a3"/>
        <w:spacing w:before="240" w:beforeAutospacing="0" w:after="0" w:afterAutospacing="0"/>
        <w:jc w:val="center"/>
        <w:rPr>
          <w:sz w:val="20"/>
          <w:szCs w:val="20"/>
        </w:rPr>
      </w:pPr>
      <w:r>
        <w:rPr>
          <w:sz w:val="20"/>
          <w:szCs w:val="20"/>
        </w:rPr>
        <w:t>39</w:t>
      </w:r>
    </w:p>
    <w:p w:rsidR="00000000" w:rsidRDefault="008206D2">
      <w:pPr>
        <w:rPr>
          <w:rFonts w:eastAsia="Times New Roman"/>
        </w:rPr>
      </w:pPr>
      <w:r>
        <w:rPr>
          <w:rFonts w:eastAsia="Times New Roman"/>
        </w:rPr>
        <w:pict>
          <v:rect id="_x0000_i1065"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120564796"/>
        </w:trPr>
        <w:tc>
          <w:tcPr>
            <w:tcW w:w="453" w:type="pct"/>
            <w:noWrap/>
            <w:hideMark/>
          </w:tcPr>
          <w:p w:rsidR="00000000" w:rsidRDefault="008206D2">
            <w:pPr>
              <w:pStyle w:val="a3"/>
              <w:spacing w:before="360" w:beforeAutospacing="0" w:after="0" w:afterAutospacing="0"/>
              <w:rPr>
                <w:b/>
                <w:bCs/>
                <w:sz w:val="20"/>
                <w:szCs w:val="20"/>
              </w:rPr>
            </w:pPr>
            <w:r>
              <w:rPr>
                <w:b/>
                <w:bCs/>
                <w:sz w:val="20"/>
                <w:szCs w:val="20"/>
              </w:rPr>
              <w:t>ITEM 3.</w:t>
            </w:r>
          </w:p>
        </w:tc>
        <w:tc>
          <w:tcPr>
            <w:tcW w:w="0" w:type="auto"/>
            <w:hideMark/>
          </w:tcPr>
          <w:p w:rsidR="00000000" w:rsidRDefault="008206D2">
            <w:pPr>
              <w:pStyle w:val="a3"/>
              <w:spacing w:before="360" w:beforeAutospacing="0" w:after="0" w:afterAutospacing="0"/>
              <w:rPr>
                <w:b/>
                <w:bCs/>
                <w:sz w:val="20"/>
                <w:szCs w:val="20"/>
              </w:rPr>
            </w:pPr>
            <w:r>
              <w:rPr>
                <w:b/>
                <w:bCs/>
                <w:sz w:val="20"/>
                <w:szCs w:val="20"/>
              </w:rPr>
              <w:t>QUANTITATIVE AND QUALITATIVE DISCLOSURES ABOUT MARKET RISK.</w:t>
            </w:r>
          </w:p>
        </w:tc>
      </w:tr>
    </w:tbl>
    <w:p w:rsidR="00000000" w:rsidRDefault="008206D2">
      <w:pPr>
        <w:pStyle w:val="a3"/>
        <w:spacing w:before="120" w:beforeAutospacing="0" w:after="0" w:afterAutospacing="0"/>
        <w:jc w:val="both"/>
        <w:rPr>
          <w:sz w:val="20"/>
          <w:szCs w:val="20"/>
        </w:rPr>
      </w:pPr>
      <w:r>
        <w:rPr>
          <w:sz w:val="20"/>
          <w:szCs w:val="20"/>
        </w:rPr>
        <w:t>Our primary market risk exposure is to changes in U.S. interest rates.  We are ex</w:t>
      </w:r>
      <w:r>
        <w:rPr>
          <w:sz w:val="20"/>
          <w:szCs w:val="20"/>
        </w:rPr>
        <w:t>posed to market risk related to our Revolving Credit Facility, Term Loan A and Term Loan B because the interest rates on these loans are subject to fluctuations in the market.  If the interest rate for our outstanding indebtedness under the Revolving Credi</w:t>
      </w:r>
      <w:r>
        <w:rPr>
          <w:sz w:val="20"/>
          <w:szCs w:val="20"/>
        </w:rPr>
        <w:t>t Facility, the Term Loan A, and the Term Loan B was 100 basis points higher or lower (but not less than 0%) during the three months ended March 31, 2022, our interest expense, net of amounts capitalized, would have been increased by $0.5 million and would</w:t>
      </w:r>
      <w:r>
        <w:rPr>
          <w:sz w:val="20"/>
          <w:szCs w:val="20"/>
        </w:rPr>
        <w:t xml:space="preserve"> have been decreased by $0.1 million. </w:t>
      </w:r>
    </w:p>
    <w:p w:rsidR="00000000" w:rsidRDefault="008206D2">
      <w:pPr>
        <w:pStyle w:val="a3"/>
        <w:spacing w:before="240" w:beforeAutospacing="0" w:after="0" w:afterAutospacing="0"/>
        <w:jc w:val="both"/>
        <w:rPr>
          <w:sz w:val="20"/>
          <w:szCs w:val="20"/>
        </w:rPr>
      </w:pPr>
      <w:r>
        <w:rPr>
          <w:sz w:val="20"/>
          <w:szCs w:val="20"/>
        </w:rPr>
        <w:t>As of March </w:t>
      </w:r>
      <w:r>
        <w:rPr>
          <w:sz w:val="20"/>
          <w:szCs w:val="20"/>
        </w:rPr>
        <w:t>31, 2022, we had outstanding $173.7 million of senior notes due 2023 with a fixed interest rate of 4.625%, $675.0 million of senior notes due 2026 with a fixed interest rate of 8.25%, and $250.0 million of senior notes due 2027 with a fixed interest rate o</w:t>
      </w:r>
      <w:r>
        <w:rPr>
          <w:sz w:val="20"/>
          <w:szCs w:val="20"/>
        </w:rPr>
        <w:t>f 4.75%. We also had $153.8 million outstanding under the Kansas Notes with a fixed interest rate of 4.43%. Because the interest rates with respect to these instruments are fixed, a hypothetical 100 basis point increase or decrease in market interest rates</w:t>
      </w:r>
      <w:r>
        <w:rPr>
          <w:sz w:val="20"/>
          <w:szCs w:val="20"/>
        </w:rPr>
        <w:t xml:space="preserve"> would not have a material impact on our financial statements.</w:t>
      </w:r>
    </w:p>
    <w:p w:rsidR="00000000" w:rsidRDefault="008206D2">
      <w:pPr>
        <w:pStyle w:val="a3"/>
        <w:spacing w:before="240" w:beforeAutospacing="0" w:after="0" w:afterAutospacing="0"/>
        <w:jc w:val="both"/>
        <w:rPr>
          <w:sz w:val="20"/>
          <w:szCs w:val="20"/>
        </w:rPr>
      </w:pPr>
      <w:r>
        <w:rPr>
          <w:sz w:val="20"/>
          <w:szCs w:val="20"/>
        </w:rPr>
        <w:t>We may, from time to time, invest our cash in a variety of short-term financial instruments.  These instruments generally consist of highly liquid investments with original maturities at the da</w:t>
      </w:r>
      <w:r>
        <w:rPr>
          <w:sz w:val="20"/>
          <w:szCs w:val="20"/>
        </w:rPr>
        <w:t>te of purchase of three months or less.  While these investments are subject to interest rate risk and will decline in value if market interest rates increase, a hypothetical 100 basis point increase or decrease in market interest rates would not materiall</w:t>
      </w:r>
      <w:r>
        <w:rPr>
          <w:sz w:val="20"/>
          <w:szCs w:val="20"/>
        </w:rPr>
        <w:t>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63721982"/>
        </w:trPr>
        <w:tc>
          <w:tcPr>
            <w:tcW w:w="453" w:type="pct"/>
            <w:noWrap/>
            <w:hideMark/>
          </w:tcPr>
          <w:p w:rsidR="00000000" w:rsidRDefault="008206D2">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8206D2">
            <w:pPr>
              <w:pStyle w:val="a3"/>
              <w:spacing w:before="360" w:beforeAutospacing="0" w:after="0" w:afterAutospacing="0"/>
              <w:jc w:val="both"/>
              <w:rPr>
                <w:b/>
                <w:bCs/>
                <w:sz w:val="20"/>
                <w:szCs w:val="20"/>
              </w:rPr>
            </w:pPr>
            <w:r>
              <w:rPr>
                <w:b/>
                <w:bCs/>
                <w:sz w:val="20"/>
                <w:szCs w:val="20"/>
              </w:rPr>
              <w:t>CONTROLS AND PROCEDURES.</w:t>
            </w:r>
          </w:p>
        </w:tc>
      </w:tr>
    </w:tbl>
    <w:p w:rsidR="00000000" w:rsidRDefault="008206D2">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w:t>
      </w:r>
      <w:r>
        <w:rPr>
          <w:sz w:val="20"/>
          <w:szCs w:val="20"/>
        </w:rPr>
        <w:t>fectiveness of our disclosure controls and procedures, as defined in Rules 13a-15(e) and 15d-15(e) of the Exchange Act as of the end of the period covered by this Quarterly Report.  Based on that evaluation, our officers, including our Chief Executive Offi</w:t>
      </w:r>
      <w:r>
        <w:rPr>
          <w:sz w:val="20"/>
          <w:szCs w:val="20"/>
        </w:rPr>
        <w:t>cer and Chief Financial Officer, concluded that as of the end of the period covered by this Quarterly Report our disclosure controls and procedures are effective to ensure that information required to be disclosed in the reports that we file or submit unde</w:t>
      </w:r>
      <w:r>
        <w:rPr>
          <w:sz w:val="20"/>
          <w:szCs w:val="20"/>
        </w:rPr>
        <w:t>r the Exchange Act is recorded, processed, summarized, and reported within the time periods specified in the SEC's rules and forms and information required to be disclosed in the reports we file or submit under the Exchange Act is accumulated and communica</w:t>
      </w:r>
      <w:r>
        <w:rPr>
          <w:sz w:val="20"/>
          <w:szCs w:val="20"/>
        </w:rPr>
        <w:t xml:space="preserve">ted to our management, including our Chief Executive Officer and Chief Financial Officer, to allow timely decisions regarding required disclosure.  There have been no changes in our internal control over financial reporting that occurred during the period </w:t>
      </w:r>
      <w:r>
        <w:rPr>
          <w:sz w:val="20"/>
          <w:szCs w:val="20"/>
        </w:rPr>
        <w:t xml:space="preserve">covered by this report that have materially affected, or are reasonably likely to materially affect, our internal control over financial reporting. </w:t>
      </w:r>
    </w:p>
    <w:p w:rsidR="00000000" w:rsidRDefault="008206D2">
      <w:pPr>
        <w:pStyle w:val="a3"/>
        <w:spacing w:before="240" w:beforeAutospacing="0" w:after="0" w:afterAutospacing="0"/>
        <w:jc w:val="center"/>
        <w:rPr>
          <w:sz w:val="20"/>
          <w:szCs w:val="20"/>
        </w:rPr>
      </w:pPr>
      <w:r>
        <w:rPr>
          <w:sz w:val="20"/>
          <w:szCs w:val="20"/>
        </w:rPr>
        <w:t>40</w:t>
      </w:r>
    </w:p>
    <w:p w:rsidR="00000000" w:rsidRDefault="008206D2">
      <w:pPr>
        <w:rPr>
          <w:rFonts w:eastAsia="Times New Roman"/>
        </w:rPr>
      </w:pPr>
      <w:r>
        <w:rPr>
          <w:rFonts w:eastAsia="Times New Roman"/>
        </w:rPr>
        <w:pict>
          <v:rect id="_x0000_i1066"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16468094"/>
        </w:trPr>
        <w:tc>
          <w:tcPr>
            <w:tcW w:w="453" w:type="pct"/>
            <w:noWrap/>
            <w:hideMark/>
          </w:tcPr>
          <w:p w:rsidR="00000000" w:rsidRDefault="008206D2">
            <w:pPr>
              <w:pStyle w:val="a3"/>
              <w:spacing w:before="240" w:beforeAutospacing="0" w:after="0" w:afterAutospacing="0"/>
              <w:jc w:val="both"/>
              <w:rPr>
                <w:b/>
                <w:bCs/>
                <w:sz w:val="20"/>
                <w:szCs w:val="20"/>
              </w:rPr>
            </w:pPr>
            <w:r>
              <w:rPr>
                <w:b/>
                <w:bCs/>
                <w:sz w:val="20"/>
                <w:szCs w:val="20"/>
              </w:rPr>
              <w:t>ITEM 1.</w:t>
            </w:r>
          </w:p>
        </w:tc>
        <w:tc>
          <w:tcPr>
            <w:tcW w:w="0" w:type="auto"/>
            <w:hideMark/>
          </w:tcPr>
          <w:p w:rsidR="00000000" w:rsidRDefault="008206D2">
            <w:pPr>
              <w:pStyle w:val="a3"/>
              <w:spacing w:before="240" w:beforeAutospacing="0" w:after="0" w:afterAutospacing="0"/>
              <w:jc w:val="both"/>
              <w:rPr>
                <w:b/>
                <w:bCs/>
                <w:sz w:val="20"/>
                <w:szCs w:val="20"/>
              </w:rPr>
            </w:pPr>
            <w:r>
              <w:rPr>
                <w:b/>
                <w:bCs/>
                <w:sz w:val="20"/>
                <w:szCs w:val="20"/>
              </w:rPr>
              <w:t>LEGAL PROCEEDINGS.</w:t>
            </w:r>
          </w:p>
        </w:tc>
      </w:tr>
    </w:tbl>
    <w:p w:rsidR="00000000" w:rsidRDefault="008206D2">
      <w:pPr>
        <w:pStyle w:val="a3"/>
        <w:spacing w:before="0" w:beforeAutospacing="0" w:after="0" w:afterAutospacing="0"/>
        <w:jc w:val="both"/>
        <w:rPr>
          <w:b/>
          <w:bCs/>
          <w:sz w:val="12"/>
          <w:szCs w:val="12"/>
        </w:rPr>
      </w:pPr>
      <w:r>
        <w:rPr>
          <w:b/>
          <w:bCs/>
          <w:sz w:val="12"/>
          <w:szCs w:val="12"/>
        </w:rPr>
        <w:t> </w:t>
      </w:r>
    </w:p>
    <w:p w:rsidR="00000000" w:rsidRDefault="008206D2">
      <w:pPr>
        <w:pStyle w:val="a3"/>
        <w:spacing w:before="0" w:beforeAutospacing="0" w:after="0" w:afterAutospacing="0"/>
        <w:jc w:val="both"/>
        <w:rPr>
          <w:sz w:val="20"/>
          <w:szCs w:val="20"/>
        </w:rPr>
      </w:pPr>
      <w:r>
        <w:rPr>
          <w:sz w:val="20"/>
          <w:szCs w:val="20"/>
        </w:rPr>
        <w:t xml:space="preserve">See the </w:t>
      </w:r>
      <w:r>
        <w:rPr>
          <w:sz w:val="20"/>
          <w:szCs w:val="20"/>
        </w:rPr>
        <w:t>information reported in Note 8 to the financial statements included in Part I, which information is incorporated hereunder by this reference.</w:t>
      </w:r>
    </w:p>
    <w:p w:rsidR="00000000" w:rsidRDefault="008206D2">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44511781"/>
        </w:trPr>
        <w:tc>
          <w:tcPr>
            <w:tcW w:w="453" w:type="pct"/>
            <w:noWrap/>
            <w:hideMark/>
          </w:tcPr>
          <w:p w:rsidR="00000000" w:rsidRDefault="008206D2">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RISK FACTORS.</w:t>
            </w:r>
          </w:p>
        </w:tc>
      </w:tr>
    </w:tbl>
    <w:p w:rsidR="00000000" w:rsidRDefault="008206D2">
      <w:pPr>
        <w:pStyle w:val="a3"/>
        <w:spacing w:before="120" w:beforeAutospacing="0" w:after="0" w:afterAutospacing="0"/>
        <w:jc w:val="both"/>
        <w:rPr>
          <w:sz w:val="20"/>
          <w:szCs w:val="20"/>
        </w:rPr>
      </w:pPr>
      <w:r>
        <w:rPr>
          <w:sz w:val="20"/>
          <w:szCs w:val="20"/>
        </w:rPr>
        <w:t xml:space="preserve">Item 1A of Part 1 of our 2021 Form 10-K includes a detailed discussion of the risk factors that could materially affect our business, financial condition or future prospects.  There have been no material changes in our risk factors previously disclosed in </w:t>
      </w:r>
      <w:r>
        <w:rPr>
          <w:sz w:val="20"/>
          <w:szCs w:val="20"/>
        </w:rPr>
        <w:t>the 2021 Form 10-K.</w:t>
      </w:r>
    </w:p>
    <w:p w:rsidR="00000000" w:rsidRDefault="008206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080974996"/>
        </w:trPr>
        <w:tc>
          <w:tcPr>
            <w:tcW w:w="453" w:type="pct"/>
            <w:noWrap/>
            <w:hideMark/>
          </w:tcPr>
          <w:p w:rsidR="00000000" w:rsidRDefault="008206D2">
            <w:pPr>
              <w:pStyle w:val="a3"/>
              <w:spacing w:before="160" w:beforeAutospacing="0" w:after="0" w:afterAutospacing="0"/>
              <w:jc w:val="both"/>
              <w:rPr>
                <w:b/>
                <w:bCs/>
                <w:sz w:val="20"/>
                <w:szCs w:val="20"/>
              </w:rPr>
            </w:pPr>
            <w:r>
              <w:rPr>
                <w:b/>
                <w:bCs/>
                <w:sz w:val="20"/>
                <w:szCs w:val="20"/>
              </w:rPr>
              <w:t>ITEM 2.</w:t>
            </w:r>
          </w:p>
        </w:tc>
        <w:tc>
          <w:tcPr>
            <w:tcW w:w="0" w:type="auto"/>
            <w:hideMark/>
          </w:tcPr>
          <w:p w:rsidR="00000000" w:rsidRDefault="008206D2">
            <w:pPr>
              <w:pStyle w:val="a3"/>
              <w:spacing w:before="160" w:beforeAutospacing="0" w:after="0" w:afterAutospacing="0"/>
              <w:jc w:val="both"/>
              <w:rPr>
                <w:b/>
                <w:bCs/>
                <w:sz w:val="20"/>
                <w:szCs w:val="20"/>
              </w:rPr>
            </w:pPr>
            <w:r>
              <w:rPr>
                <w:b/>
                <w:bCs/>
                <w:sz w:val="20"/>
                <w:szCs w:val="20"/>
              </w:rPr>
              <w:t>UNREGISTERED SALES OF EQUITY SECURITIES AND USE OF PROCEEDS.</w:t>
            </w:r>
          </w:p>
        </w:tc>
      </w:tr>
    </w:tbl>
    <w:p w:rsidR="00000000" w:rsidRDefault="008206D2">
      <w:pPr>
        <w:pStyle w:val="a3"/>
        <w:spacing w:before="0" w:beforeAutospacing="0" w:after="0" w:afterAutospacing="0"/>
        <w:jc w:val="both"/>
        <w:rPr>
          <w:sz w:val="12"/>
          <w:szCs w:val="12"/>
        </w:rPr>
      </w:pPr>
      <w:r>
        <w:rPr>
          <w:sz w:val="12"/>
          <w:szCs w:val="12"/>
        </w:rPr>
        <w:t> </w:t>
      </w:r>
    </w:p>
    <w:p w:rsidR="00000000" w:rsidRDefault="008206D2">
      <w:pPr>
        <w:pStyle w:val="a3"/>
        <w:spacing w:before="0" w:beforeAutospacing="0" w:after="0" w:afterAutospacing="0"/>
        <w:jc w:val="both"/>
        <w:rPr>
          <w:sz w:val="20"/>
          <w:szCs w:val="20"/>
        </w:rPr>
      </w:pPr>
      <w:r>
        <w:rPr>
          <w:sz w:val="20"/>
          <w:szCs w:val="20"/>
        </w:rPr>
        <w:t>None.</w:t>
      </w:r>
    </w:p>
    <w:p w:rsidR="00000000" w:rsidRDefault="008206D2">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390953984"/>
        </w:trPr>
        <w:tc>
          <w:tcPr>
            <w:tcW w:w="453" w:type="pct"/>
            <w:noWrap/>
            <w:hideMark/>
          </w:tcPr>
          <w:p w:rsidR="00000000" w:rsidRDefault="008206D2">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DEFAULTS UPON SENIOR SECURITIES.</w:t>
            </w:r>
          </w:p>
        </w:tc>
      </w:tr>
    </w:tbl>
    <w:p w:rsidR="00000000" w:rsidRDefault="008206D2">
      <w:pPr>
        <w:pStyle w:val="a3"/>
        <w:spacing w:before="0" w:beforeAutospacing="0" w:after="0" w:afterAutospacing="0"/>
        <w:jc w:val="both"/>
        <w:rPr>
          <w:sz w:val="12"/>
          <w:szCs w:val="12"/>
        </w:rPr>
      </w:pPr>
      <w:r>
        <w:rPr>
          <w:sz w:val="12"/>
          <w:szCs w:val="12"/>
        </w:rPr>
        <w:t> </w:t>
      </w:r>
    </w:p>
    <w:p w:rsidR="00000000" w:rsidRDefault="008206D2">
      <w:pPr>
        <w:pStyle w:val="a3"/>
        <w:spacing w:before="0" w:beforeAutospacing="0" w:after="0" w:afterAutospacing="0"/>
        <w:jc w:val="both"/>
        <w:rPr>
          <w:sz w:val="20"/>
          <w:szCs w:val="20"/>
        </w:rPr>
      </w:pPr>
      <w:r>
        <w:rPr>
          <w:sz w:val="20"/>
          <w:szCs w:val="20"/>
        </w:rPr>
        <w:t>None.</w:t>
      </w:r>
    </w:p>
    <w:p w:rsidR="00000000" w:rsidRDefault="008206D2">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377097737"/>
        </w:trPr>
        <w:tc>
          <w:tcPr>
            <w:tcW w:w="453" w:type="pct"/>
            <w:noWrap/>
            <w:hideMark/>
          </w:tcPr>
          <w:p w:rsidR="00000000" w:rsidRDefault="008206D2">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MINE SAFETY DISCLOSURES.</w:t>
            </w:r>
          </w:p>
        </w:tc>
      </w:tr>
    </w:tbl>
    <w:p w:rsidR="00000000" w:rsidRDefault="008206D2">
      <w:pPr>
        <w:pStyle w:val="a3"/>
        <w:spacing w:before="0" w:beforeAutospacing="0" w:after="0" w:afterAutospacing="0"/>
        <w:ind w:left="1547" w:hanging="1632"/>
        <w:rPr>
          <w:b/>
          <w:bCs/>
          <w:sz w:val="12"/>
          <w:szCs w:val="12"/>
        </w:rPr>
      </w:pPr>
      <w:r>
        <w:rPr>
          <w:b/>
          <w:bCs/>
          <w:sz w:val="12"/>
          <w:szCs w:val="12"/>
        </w:rPr>
        <w:t> </w:t>
      </w:r>
    </w:p>
    <w:p w:rsidR="00000000" w:rsidRDefault="008206D2">
      <w:pPr>
        <w:pStyle w:val="a3"/>
        <w:spacing w:before="0" w:beforeAutospacing="0" w:after="0" w:afterAutospacing="0"/>
        <w:ind w:left="1547" w:hanging="1632"/>
        <w:rPr>
          <w:sz w:val="20"/>
          <w:szCs w:val="20"/>
        </w:rPr>
      </w:pPr>
      <w:r>
        <w:rPr>
          <w:sz w:val="20"/>
          <w:szCs w:val="20"/>
        </w:rPr>
        <w:t>None.</w:t>
      </w:r>
    </w:p>
    <w:p w:rsidR="00000000" w:rsidRDefault="008206D2">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896235921"/>
        </w:trPr>
        <w:tc>
          <w:tcPr>
            <w:tcW w:w="453" w:type="pct"/>
            <w:noWrap/>
            <w:hideMark/>
          </w:tcPr>
          <w:p w:rsidR="00000000" w:rsidRDefault="008206D2">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OTHER INFORMATION.</w:t>
            </w:r>
          </w:p>
        </w:tc>
      </w:tr>
    </w:tbl>
    <w:p w:rsidR="00000000" w:rsidRDefault="008206D2">
      <w:pPr>
        <w:pStyle w:val="a3"/>
        <w:spacing w:before="0" w:beforeAutospacing="0" w:after="0" w:afterAutospacing="0"/>
        <w:ind w:left="1547" w:hanging="1632"/>
        <w:jc w:val="both"/>
        <w:rPr>
          <w:sz w:val="12"/>
          <w:szCs w:val="12"/>
        </w:rPr>
      </w:pPr>
      <w:r>
        <w:rPr>
          <w:sz w:val="12"/>
          <w:szCs w:val="12"/>
        </w:rPr>
        <w:t> </w:t>
      </w:r>
    </w:p>
    <w:p w:rsidR="00000000" w:rsidRDefault="008206D2">
      <w:pPr>
        <w:pStyle w:val="a3"/>
        <w:spacing w:before="0" w:beforeAutospacing="0" w:after="0" w:afterAutospacing="0"/>
        <w:ind w:left="1547" w:hanging="1632"/>
        <w:jc w:val="both"/>
        <w:rPr>
          <w:sz w:val="20"/>
          <w:szCs w:val="20"/>
        </w:rPr>
      </w:pPr>
      <w:r>
        <w:rPr>
          <w:sz w:val="20"/>
          <w:szCs w:val="20"/>
        </w:rPr>
        <w:t>None.</w:t>
      </w:r>
    </w:p>
    <w:p w:rsidR="00000000" w:rsidRDefault="008206D2">
      <w:pPr>
        <w:pStyle w:val="a3"/>
        <w:spacing w:before="160" w:beforeAutospacing="0" w:after="0" w:afterAutospacing="0"/>
        <w:jc w:val="both"/>
        <w:rPr>
          <w:b/>
          <w:bCs/>
          <w:sz w:val="20"/>
          <w:szCs w:val="20"/>
        </w:rPr>
      </w:pPr>
      <w:r>
        <w:rPr>
          <w:b/>
          <w:bCs/>
          <w:sz w:val="20"/>
          <w:szCs w:val="20"/>
        </w:rPr>
        <w:t> </w:t>
      </w:r>
    </w:p>
    <w:p w:rsidR="00000000" w:rsidRDefault="008206D2">
      <w:pPr>
        <w:pStyle w:val="a3"/>
        <w:spacing w:before="240" w:beforeAutospacing="0" w:after="0" w:afterAutospacing="0"/>
        <w:jc w:val="center"/>
        <w:rPr>
          <w:sz w:val="20"/>
          <w:szCs w:val="20"/>
        </w:rPr>
      </w:pPr>
      <w:r>
        <w:rPr>
          <w:sz w:val="20"/>
          <w:szCs w:val="20"/>
        </w:rPr>
        <w:t>41</w:t>
      </w:r>
    </w:p>
    <w:p w:rsidR="00000000" w:rsidRDefault="008206D2">
      <w:pPr>
        <w:rPr>
          <w:rFonts w:eastAsia="Times New Roman"/>
        </w:rPr>
      </w:pPr>
      <w:r>
        <w:rPr>
          <w:rFonts w:eastAsia="Times New Roman"/>
        </w:rPr>
        <w:pict>
          <v:rect id="_x0000_i1067"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02437151"/>
        </w:trPr>
        <w:tc>
          <w:tcPr>
            <w:tcW w:w="453" w:type="pct"/>
            <w:noWrap/>
            <w:hideMark/>
          </w:tcPr>
          <w:p w:rsidR="00000000" w:rsidRDefault="008206D2">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8206D2">
            <w:pPr>
              <w:pStyle w:val="a3"/>
              <w:spacing w:before="0" w:beforeAutospacing="0" w:after="0" w:afterAutospacing="0"/>
              <w:jc w:val="both"/>
              <w:rPr>
                <w:b/>
                <w:bCs/>
                <w:sz w:val="20"/>
                <w:szCs w:val="20"/>
              </w:rPr>
            </w:pPr>
            <w:r>
              <w:rPr>
                <w:b/>
                <w:bCs/>
                <w:sz w:val="20"/>
                <w:szCs w:val="20"/>
              </w:rPr>
              <w:t>EXHIBITS.</w:t>
            </w:r>
          </w:p>
        </w:tc>
      </w:tr>
    </w:tbl>
    <w:p w:rsidR="00000000" w:rsidRDefault="008206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102844635"/>
        </w:trPr>
        <w:tc>
          <w:tcPr>
            <w:tcW w:w="492" w:type="pct"/>
            <w:vAlign w:val="center"/>
            <w:hideMark/>
          </w:tcPr>
          <w:p w:rsidR="00000000" w:rsidRDefault="008206D2">
            <w:pPr>
              <w:rPr>
                <w:sz w:val="20"/>
                <w:szCs w:val="20"/>
              </w:rPr>
            </w:pPr>
          </w:p>
        </w:tc>
        <w:tc>
          <w:tcPr>
            <w:tcW w:w="108" w:type="pct"/>
            <w:vAlign w:val="center"/>
            <w:hideMark/>
          </w:tcPr>
          <w:p w:rsidR="00000000" w:rsidRDefault="008206D2">
            <w:pPr>
              <w:spacing w:before="100" w:beforeAutospacing="1" w:after="100" w:afterAutospacing="1"/>
              <w:rPr>
                <w:rFonts w:eastAsia="Times New Roman"/>
                <w:sz w:val="20"/>
                <w:szCs w:val="20"/>
              </w:rPr>
            </w:pPr>
          </w:p>
        </w:tc>
        <w:tc>
          <w:tcPr>
            <w:tcW w:w="4399" w:type="pct"/>
            <w:vAlign w:val="center"/>
            <w:hideMark/>
          </w:tcPr>
          <w:p w:rsidR="00000000" w:rsidRDefault="008206D2">
            <w:pPr>
              <w:spacing w:before="100" w:beforeAutospacing="1" w:after="100" w:afterAutospacing="1"/>
              <w:rPr>
                <w:rFonts w:eastAsia="Times New Roman"/>
                <w:sz w:val="20"/>
                <w:szCs w:val="20"/>
              </w:rPr>
            </w:pPr>
          </w:p>
        </w:tc>
      </w:tr>
      <w:tr w:rsidR="00000000">
        <w:trPr>
          <w:divId w:val="102844635"/>
        </w:trPr>
        <w:tc>
          <w:tcPr>
            <w:tcW w:w="0" w:type="auto"/>
            <w:vAlign w:val="bottom"/>
            <w:hideMark/>
          </w:tcPr>
          <w:p w:rsidR="00000000" w:rsidRDefault="008206D2">
            <w:pPr>
              <w:pStyle w:val="a3"/>
              <w:spacing w:before="0" w:beforeAutospacing="0" w:after="0" w:afterAutospacing="0"/>
              <w:jc w:val="center"/>
              <w:rPr>
                <w:sz w:val="20"/>
                <w:szCs w:val="20"/>
              </w:rPr>
            </w:pPr>
            <w:r>
              <w:rPr>
                <w:sz w:val="20"/>
                <w:szCs w:val="20"/>
              </w:rPr>
              <w:t>Exhibit</w:t>
            </w:r>
          </w:p>
          <w:p w:rsidR="00000000" w:rsidRDefault="008206D2">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8206D2">
            <w:pPr>
              <w:pStyle w:val="a3"/>
              <w:spacing w:before="0" w:beforeAutospacing="0" w:after="0" w:afterAutospacing="0"/>
              <w:jc w:val="center"/>
              <w:rPr>
                <w:sz w:val="20"/>
                <w:szCs w:val="20"/>
              </w:rPr>
            </w:pPr>
            <w:r>
              <w:rPr>
                <w:sz w:val="20"/>
                <w:szCs w:val="20"/>
                <w:u w:val="single"/>
              </w:rPr>
              <w:t>Description of Exhibits</w:t>
            </w:r>
          </w:p>
        </w:tc>
      </w:tr>
      <w:tr w:rsidR="00000000">
        <w:trPr>
          <w:divId w:val="102844635"/>
        </w:trPr>
        <w:tc>
          <w:tcPr>
            <w:tcW w:w="0" w:type="auto"/>
            <w:hideMark/>
          </w:tcPr>
          <w:p w:rsidR="00000000" w:rsidRDefault="008206D2">
            <w:pPr>
              <w:pStyle w:val="a3"/>
              <w:spacing w:before="0" w:beforeAutospacing="0" w:after="0" w:afterAutospacing="0"/>
              <w:jc w:val="both"/>
              <w:rPr>
                <w:sz w:val="12"/>
                <w:szCs w:val="12"/>
              </w:rPr>
            </w:pPr>
            <w:r>
              <w:rPr>
                <w:sz w:val="12"/>
                <w:szCs w:val="12"/>
              </w:rPr>
              <w:t> </w:t>
            </w:r>
          </w:p>
        </w:tc>
        <w:tc>
          <w:tcPr>
            <w:tcW w:w="0" w:type="auto"/>
            <w:hideMark/>
          </w:tcPr>
          <w:p w:rsidR="00000000" w:rsidRDefault="008206D2">
            <w:pPr>
              <w:pStyle w:val="a3"/>
              <w:spacing w:before="0" w:beforeAutospacing="0" w:after="0" w:afterAutospacing="0"/>
              <w:jc w:val="both"/>
              <w:rPr>
                <w:sz w:val="12"/>
                <w:szCs w:val="12"/>
              </w:rPr>
            </w:pPr>
            <w:r>
              <w:rPr>
                <w:sz w:val="12"/>
                <w:szCs w:val="12"/>
              </w:rPr>
              <w:t> </w:t>
            </w:r>
          </w:p>
        </w:tc>
        <w:tc>
          <w:tcPr>
            <w:tcW w:w="0" w:type="auto"/>
            <w:hideMark/>
          </w:tcPr>
          <w:p w:rsidR="00000000" w:rsidRDefault="008206D2">
            <w:pPr>
              <w:pStyle w:val="a3"/>
              <w:spacing w:before="0" w:beforeAutospacing="0" w:after="0" w:afterAutospacing="0"/>
              <w:jc w:val="both"/>
              <w:rPr>
                <w:sz w:val="12"/>
                <w:szCs w:val="12"/>
              </w:rPr>
            </w:pPr>
            <w:r>
              <w:rPr>
                <w:sz w:val="12"/>
                <w:szCs w:val="12"/>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22.1*</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hyperlink r:id="rId4" w:history="1">
              <w:r>
                <w:rPr>
                  <w:rStyle w:val="a4"/>
                  <w:sz w:val="20"/>
                  <w:szCs w:val="20"/>
                </w:rPr>
                <w:t>List of Guarantor Subsidiaries.</w:t>
              </w:r>
            </w:hyperlink>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r>
              <w:rPr>
                <w:sz w:val="20"/>
                <w:szCs w:val="20"/>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31.1*</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hyperlink r:id="rId5"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r>
              <w:rPr>
                <w:sz w:val="20"/>
                <w:szCs w:val="20"/>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31.2*</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hyperlink r:id="rId6"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r>
              <w:rPr>
                <w:sz w:val="20"/>
                <w:szCs w:val="20"/>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32.1**</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hyperlink r:id="rId7" w:history="1">
              <w:r>
                <w:rPr>
                  <w:rStyle w:val="a4"/>
                  <w:sz w:val="20"/>
                  <w:szCs w:val="20"/>
                </w:rPr>
                <w:t>Certification of the Company's Chief Executive Officer pursuant to 18 U.S.C. Section 1350, as adopted pursuant to Section 906 of the Sarbanes-Oxley Act of 2002.</w:t>
              </w:r>
            </w:hyperlink>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r>
              <w:rPr>
                <w:sz w:val="20"/>
                <w:szCs w:val="20"/>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32.2**</w:t>
            </w:r>
          </w:p>
        </w:tc>
        <w:tc>
          <w:tcPr>
            <w:tcW w:w="0" w:type="auto"/>
            <w:hideMark/>
          </w:tcPr>
          <w:p w:rsidR="00000000" w:rsidRDefault="008206D2">
            <w:pPr>
              <w:pStyle w:val="a3"/>
              <w:spacing w:before="0" w:beforeAutospacing="0" w:after="0" w:afterAutospacing="0"/>
              <w:jc w:val="both"/>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hyperlink r:id="rId8" w:history="1">
              <w:r>
                <w:rPr>
                  <w:rStyle w:val="a4"/>
                  <w:sz w:val="20"/>
                  <w:szCs w:val="20"/>
                </w:rPr>
                <w:t xml:space="preserve">Certification </w:t>
              </w:r>
              <w:r>
                <w:rPr>
                  <w:rStyle w:val="a4"/>
                  <w:sz w:val="20"/>
                  <w:szCs w:val="20"/>
                </w:rPr>
                <w:t>of the Company's Chief Financial Officer pursuant to 18 U.S.C. Section 1350, as adopted pursuant to Section 906 of the Sarbanes-Oxley Act of 2002.</w:t>
              </w:r>
            </w:hyperlink>
          </w:p>
        </w:tc>
      </w:tr>
      <w:tr w:rsidR="00000000">
        <w:trPr>
          <w:divId w:val="102844635"/>
        </w:trPr>
        <w:tc>
          <w:tcPr>
            <w:tcW w:w="0" w:type="auto"/>
            <w:hideMark/>
          </w:tcPr>
          <w:p w:rsidR="00000000" w:rsidRDefault="008206D2">
            <w:pPr>
              <w:pStyle w:val="a3"/>
              <w:spacing w:before="0" w:beforeAutospacing="0" w:after="0" w:afterAutospacing="0"/>
              <w:jc w:val="both"/>
              <w:rPr>
                <w:sz w:val="12"/>
                <w:szCs w:val="12"/>
              </w:rPr>
            </w:pPr>
            <w:r>
              <w:rPr>
                <w:sz w:val="12"/>
                <w:szCs w:val="12"/>
              </w:rPr>
              <w:t> </w:t>
            </w:r>
          </w:p>
        </w:tc>
        <w:tc>
          <w:tcPr>
            <w:tcW w:w="0" w:type="auto"/>
            <w:hideMark/>
          </w:tcPr>
          <w:p w:rsidR="00000000" w:rsidRDefault="008206D2">
            <w:pPr>
              <w:pStyle w:val="a3"/>
              <w:spacing w:before="0" w:beforeAutospacing="0" w:after="0" w:afterAutospacing="0"/>
              <w:jc w:val="both"/>
              <w:rPr>
                <w:sz w:val="12"/>
                <w:szCs w:val="12"/>
              </w:rPr>
            </w:pPr>
            <w:r>
              <w:rPr>
                <w:sz w:val="12"/>
                <w:szCs w:val="12"/>
              </w:rPr>
              <w:t> </w:t>
            </w:r>
          </w:p>
        </w:tc>
        <w:tc>
          <w:tcPr>
            <w:tcW w:w="0" w:type="auto"/>
            <w:hideMark/>
          </w:tcPr>
          <w:p w:rsidR="00000000" w:rsidRDefault="008206D2">
            <w:pPr>
              <w:pStyle w:val="a3"/>
              <w:spacing w:before="0" w:beforeAutospacing="0" w:after="0" w:afterAutospacing="0"/>
              <w:jc w:val="both"/>
              <w:rPr>
                <w:sz w:val="12"/>
                <w:szCs w:val="12"/>
              </w:rPr>
            </w:pPr>
            <w:r>
              <w:rPr>
                <w:sz w:val="12"/>
                <w:szCs w:val="12"/>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101*</w:t>
            </w:r>
          </w:p>
        </w:tc>
        <w:tc>
          <w:tcPr>
            <w:tcW w:w="0" w:type="auto"/>
            <w:hideMark/>
          </w:tcPr>
          <w:p w:rsidR="00000000" w:rsidRDefault="008206D2">
            <w:pPr>
              <w:pStyle w:val="a3"/>
              <w:spacing w:before="0" w:beforeAutospacing="0" w:after="0" w:afterAutospacing="0"/>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r>
              <w:rPr>
                <w:sz w:val="20"/>
                <w:szCs w:val="20"/>
              </w:rPr>
              <w:t>The following financial informati</w:t>
            </w:r>
            <w:r>
              <w:rPr>
                <w:sz w:val="20"/>
                <w:szCs w:val="20"/>
              </w:rPr>
              <w:t>on from the Company's Quarterly Report on Form 10-Q for the quarter ended March 31, 2022, formatted in Inline XBRL (Extensible Business Reporting Language) includes: (i) the Consolidated Balance Sheets, (ii) the Consolidated Statements of Operations, (iii)</w:t>
            </w:r>
            <w:r>
              <w:rPr>
                <w:sz w:val="20"/>
                <w:szCs w:val="20"/>
              </w:rPr>
              <w:t xml:space="preserve"> the Consolidated Statements of Cash Flows, (iv) the Consolidated Statements of Stockholders' Equity, and (v) the Notes to Consolidated Financial Statements. The instance document does not appear in the interactive data file because its XBRL tags are embed</w:t>
            </w:r>
            <w:r>
              <w:rPr>
                <w:sz w:val="20"/>
                <w:szCs w:val="20"/>
              </w:rPr>
              <w:t>ded within the Inline XBRL document.</w:t>
            </w:r>
          </w:p>
        </w:tc>
      </w:tr>
      <w:tr w:rsidR="00000000">
        <w:trPr>
          <w:divId w:val="102844635"/>
          <w:trHeight w:val="180"/>
        </w:trPr>
        <w:tc>
          <w:tcPr>
            <w:tcW w:w="0" w:type="auto"/>
            <w:hideMark/>
          </w:tcPr>
          <w:p w:rsidR="00000000" w:rsidRDefault="008206D2">
            <w:pPr>
              <w:pStyle w:val="a3"/>
              <w:spacing w:before="0" w:beforeAutospacing="0" w:after="0" w:afterAutospacing="0"/>
              <w:jc w:val="both"/>
              <w:rPr>
                <w:sz w:val="12"/>
                <w:szCs w:val="12"/>
              </w:rPr>
            </w:pPr>
            <w:r>
              <w:rPr>
                <w:sz w:val="12"/>
                <w:szCs w:val="12"/>
              </w:rPr>
              <w:t> </w:t>
            </w:r>
          </w:p>
        </w:tc>
        <w:tc>
          <w:tcPr>
            <w:tcW w:w="0" w:type="auto"/>
            <w:hideMark/>
          </w:tcPr>
          <w:p w:rsidR="00000000" w:rsidRDefault="008206D2">
            <w:pPr>
              <w:pStyle w:val="a3"/>
              <w:spacing w:before="0" w:beforeAutospacing="0" w:after="0" w:afterAutospacing="0"/>
              <w:jc w:val="both"/>
              <w:rPr>
                <w:sz w:val="12"/>
                <w:szCs w:val="12"/>
              </w:rPr>
            </w:pPr>
            <w:r>
              <w:rPr>
                <w:sz w:val="12"/>
                <w:szCs w:val="12"/>
              </w:rPr>
              <w:t> </w:t>
            </w:r>
          </w:p>
        </w:tc>
        <w:tc>
          <w:tcPr>
            <w:tcW w:w="0" w:type="auto"/>
            <w:hideMark/>
          </w:tcPr>
          <w:p w:rsidR="00000000" w:rsidRDefault="008206D2">
            <w:pPr>
              <w:pStyle w:val="a3"/>
              <w:spacing w:before="0" w:beforeAutospacing="0" w:after="0" w:afterAutospacing="0"/>
              <w:jc w:val="both"/>
              <w:rPr>
                <w:sz w:val="12"/>
                <w:szCs w:val="12"/>
              </w:rPr>
            </w:pPr>
            <w:r>
              <w:rPr>
                <w:sz w:val="12"/>
                <w:szCs w:val="12"/>
              </w:rPr>
              <w:t> </w:t>
            </w:r>
          </w:p>
        </w:tc>
      </w:tr>
      <w:tr w:rsidR="00000000">
        <w:trPr>
          <w:divId w:val="102844635"/>
        </w:trPr>
        <w:tc>
          <w:tcPr>
            <w:tcW w:w="0" w:type="auto"/>
            <w:hideMark/>
          </w:tcPr>
          <w:p w:rsidR="00000000" w:rsidRDefault="008206D2">
            <w:pPr>
              <w:pStyle w:val="a3"/>
              <w:spacing w:before="0" w:beforeAutospacing="0" w:after="0" w:afterAutospacing="0"/>
              <w:jc w:val="both"/>
              <w:rPr>
                <w:sz w:val="20"/>
                <w:szCs w:val="20"/>
              </w:rPr>
            </w:pPr>
            <w:r>
              <w:rPr>
                <w:sz w:val="20"/>
                <w:szCs w:val="20"/>
              </w:rPr>
              <w:t>104*</w:t>
            </w:r>
          </w:p>
        </w:tc>
        <w:tc>
          <w:tcPr>
            <w:tcW w:w="0" w:type="auto"/>
            <w:hideMark/>
          </w:tcPr>
          <w:p w:rsidR="00000000" w:rsidRDefault="008206D2">
            <w:pPr>
              <w:pStyle w:val="a3"/>
              <w:spacing w:before="0" w:beforeAutospacing="0" w:after="0" w:afterAutospacing="0"/>
              <w:rPr>
                <w:sz w:val="20"/>
                <w:szCs w:val="20"/>
              </w:rPr>
            </w:pPr>
            <w:r>
              <w:rPr>
                <w:sz w:val="20"/>
                <w:szCs w:val="20"/>
              </w:rPr>
              <w:t> </w:t>
            </w:r>
          </w:p>
        </w:tc>
        <w:tc>
          <w:tcPr>
            <w:tcW w:w="0" w:type="auto"/>
            <w:hideMark/>
          </w:tcPr>
          <w:p w:rsidR="00000000" w:rsidRDefault="008206D2">
            <w:pPr>
              <w:pStyle w:val="a3"/>
              <w:spacing w:before="0" w:beforeAutospacing="0" w:after="0" w:afterAutospacing="0"/>
              <w:rPr>
                <w:sz w:val="20"/>
                <w:szCs w:val="20"/>
              </w:rPr>
            </w:pPr>
            <w:r>
              <w:rPr>
                <w:sz w:val="20"/>
                <w:szCs w:val="20"/>
              </w:rPr>
              <w:t>The cover page from the Company's Quarterly Report on Form 10-Q for the quarter ended March 31, 2022, formatted in Inline XBRL (included in Exhibit 101).</w:t>
            </w:r>
          </w:p>
        </w:tc>
      </w:tr>
    </w:tbl>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30000314"/>
        </w:trPr>
        <w:tc>
          <w:tcPr>
            <w:tcW w:w="227" w:type="pct"/>
            <w:noWrap/>
            <w:hideMark/>
          </w:tcPr>
          <w:p w:rsidR="00000000" w:rsidRDefault="008206D2">
            <w:pPr>
              <w:pStyle w:val="a3"/>
              <w:spacing w:before="0" w:beforeAutospacing="0" w:after="0" w:afterAutospacing="0"/>
              <w:rPr>
                <w:sz w:val="20"/>
                <w:szCs w:val="20"/>
              </w:rPr>
            </w:pPr>
            <w:r>
              <w:rPr>
                <w:sz w:val="20"/>
                <w:szCs w:val="20"/>
              </w:rPr>
              <w:t>*</w:t>
            </w:r>
          </w:p>
        </w:tc>
        <w:tc>
          <w:tcPr>
            <w:tcW w:w="0" w:type="auto"/>
            <w:hideMark/>
          </w:tcPr>
          <w:p w:rsidR="00000000" w:rsidRDefault="008206D2">
            <w:pPr>
              <w:pStyle w:val="a3"/>
              <w:spacing w:before="0" w:beforeAutospacing="0" w:after="0" w:afterAutospacing="0"/>
              <w:rPr>
                <w:sz w:val="20"/>
                <w:szCs w:val="20"/>
              </w:rPr>
            </w:pPr>
            <w:r>
              <w:rPr>
                <w:sz w:val="20"/>
                <w:szCs w:val="20"/>
              </w:rPr>
              <w:t>Filed herewith.</w:t>
            </w:r>
          </w:p>
        </w:tc>
      </w:tr>
    </w:tbl>
    <w:p w:rsidR="00000000" w:rsidRDefault="008206D2">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95087684"/>
        </w:trPr>
        <w:tc>
          <w:tcPr>
            <w:tcW w:w="227" w:type="pct"/>
            <w:noWrap/>
            <w:hideMark/>
          </w:tcPr>
          <w:p w:rsidR="00000000" w:rsidRDefault="008206D2">
            <w:pPr>
              <w:pStyle w:val="a3"/>
              <w:spacing w:before="0" w:beforeAutospacing="0" w:after="0" w:afterAutospacing="0"/>
              <w:jc w:val="both"/>
              <w:rPr>
                <w:sz w:val="20"/>
                <w:szCs w:val="20"/>
              </w:rPr>
            </w:pPr>
            <w:r>
              <w:rPr>
                <w:sz w:val="20"/>
                <w:szCs w:val="20"/>
              </w:rPr>
              <w:t>**</w:t>
            </w:r>
          </w:p>
        </w:tc>
        <w:tc>
          <w:tcPr>
            <w:tcW w:w="0" w:type="auto"/>
            <w:hideMark/>
          </w:tcPr>
          <w:p w:rsidR="00000000" w:rsidRDefault="008206D2">
            <w:pPr>
              <w:pStyle w:val="a3"/>
              <w:spacing w:before="0" w:beforeAutospacing="0" w:after="0" w:afterAutospacing="0"/>
              <w:jc w:val="both"/>
              <w:rPr>
                <w:sz w:val="20"/>
                <w:szCs w:val="20"/>
              </w:rPr>
            </w:pPr>
            <w:r>
              <w:rPr>
                <w:sz w:val="20"/>
                <w:szCs w:val="20"/>
              </w:rPr>
              <w:t xml:space="preserve">Furnished herewith. </w:t>
            </w:r>
          </w:p>
        </w:tc>
      </w:tr>
    </w:tbl>
    <w:p w:rsidR="00000000" w:rsidRDefault="008206D2">
      <w:pPr>
        <w:pStyle w:val="a3"/>
        <w:spacing w:before="240" w:beforeAutospacing="0" w:after="0" w:afterAutospacing="0"/>
        <w:jc w:val="center"/>
        <w:rPr>
          <w:sz w:val="20"/>
          <w:szCs w:val="20"/>
        </w:rPr>
      </w:pPr>
      <w:r>
        <w:rPr>
          <w:sz w:val="20"/>
          <w:szCs w:val="20"/>
        </w:rPr>
        <w:t>42</w:t>
      </w:r>
    </w:p>
    <w:p w:rsidR="00000000" w:rsidRDefault="008206D2">
      <w:pPr>
        <w:rPr>
          <w:rFonts w:eastAsia="Times New Roman"/>
        </w:rPr>
      </w:pPr>
      <w:r>
        <w:rPr>
          <w:rFonts w:eastAsia="Times New Roman"/>
        </w:rPr>
        <w:pict>
          <v:rect id="_x0000_i1068" style="width:0;height:1.5pt" o:hralign="center" o:hrstd="t" o:hr="t" fillcolor="#a0a0a0" stroked="f"/>
        </w:pic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rPr>
          <w:sz w:val="20"/>
          <w:szCs w:val="20"/>
        </w:rPr>
      </w:pPr>
      <w:r>
        <w:rPr>
          <w:sz w:val="20"/>
          <w:szCs w:val="20"/>
        </w:rPr>
        <w:t> </w:t>
      </w:r>
    </w:p>
    <w:p w:rsidR="00000000" w:rsidRDefault="008206D2">
      <w:pPr>
        <w:pStyle w:val="a3"/>
        <w:spacing w:before="0" w:beforeAutospacing="0" w:after="0" w:afterAutospacing="0"/>
        <w:jc w:val="center"/>
        <w:rPr>
          <w:b/>
          <w:bCs/>
          <w:sz w:val="20"/>
          <w:szCs w:val="20"/>
        </w:rPr>
      </w:pPr>
      <w:r>
        <w:rPr>
          <w:b/>
          <w:bCs/>
          <w:sz w:val="20"/>
          <w:szCs w:val="20"/>
        </w:rPr>
        <w:t>SIGNATURES</w:t>
      </w:r>
    </w:p>
    <w:p w:rsidR="00000000" w:rsidRDefault="008206D2">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w:t>
      </w:r>
      <w:r>
        <w:rPr>
          <w:sz w:val="20"/>
          <w:szCs w:val="20"/>
        </w:rPr>
        <w:t>rized.</w:t>
      </w:r>
    </w:p>
    <w:p w:rsidR="00000000" w:rsidRDefault="008206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gridSpan w:val="2"/>
            <w:hideMark/>
          </w:tcPr>
          <w:p w:rsidR="00000000" w:rsidRDefault="008206D2">
            <w:pPr>
              <w:pStyle w:val="a3"/>
              <w:spacing w:before="0" w:beforeAutospacing="0" w:after="0" w:afterAutospacing="0"/>
              <w:rPr>
                <w:b/>
                <w:bCs/>
                <w:sz w:val="20"/>
                <w:szCs w:val="20"/>
              </w:rPr>
            </w:pPr>
            <w:r>
              <w:rPr>
                <w:b/>
                <w:bCs/>
                <w:sz w:val="20"/>
                <w:szCs w:val="20"/>
              </w:rPr>
              <w:t>CORECIVIC, INC.</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hideMark/>
          </w:tcPr>
          <w:p w:rsidR="00000000" w:rsidRDefault="008206D2">
            <w:pPr>
              <w:pStyle w:val="a3"/>
              <w:spacing w:before="0" w:beforeAutospacing="0" w:after="0" w:afterAutospacing="0"/>
              <w:rPr>
                <w:sz w:val="20"/>
                <w:szCs w:val="20"/>
              </w:rPr>
            </w:pPr>
            <w:r>
              <w:rPr>
                <w:sz w:val="20"/>
                <w:szCs w:val="20"/>
              </w:rPr>
              <w:t> </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Date:  May 5, 2022</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hideMark/>
          </w:tcPr>
          <w:p w:rsidR="00000000" w:rsidRDefault="008206D2">
            <w:pPr>
              <w:pStyle w:val="a3"/>
              <w:spacing w:before="0" w:beforeAutospacing="0" w:after="0" w:afterAutospacing="0"/>
              <w:rPr>
                <w:sz w:val="20"/>
                <w:szCs w:val="20"/>
              </w:rPr>
            </w:pPr>
            <w:r>
              <w:rPr>
                <w:sz w:val="20"/>
                <w:szCs w:val="20"/>
              </w:rPr>
              <w:t> </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8206D2">
            <w:pPr>
              <w:pStyle w:val="a3"/>
              <w:spacing w:before="0" w:beforeAutospacing="0" w:after="0" w:afterAutospacing="0"/>
              <w:rPr>
                <w:sz w:val="20"/>
                <w:szCs w:val="20"/>
              </w:rPr>
            </w:pPr>
            <w:r>
              <w:rPr>
                <w:sz w:val="20"/>
                <w:szCs w:val="20"/>
              </w:rPr>
              <w:t>/s/ Damon T. Hininger</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8206D2">
            <w:pPr>
              <w:pStyle w:val="a3"/>
              <w:spacing w:before="0" w:beforeAutospacing="0" w:after="0" w:afterAutospacing="0"/>
              <w:rPr>
                <w:sz w:val="20"/>
                <w:szCs w:val="20"/>
              </w:rPr>
            </w:pPr>
            <w:r>
              <w:rPr>
                <w:sz w:val="20"/>
                <w:szCs w:val="20"/>
              </w:rPr>
              <w:t>Damon T. Hininger</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hideMark/>
          </w:tcPr>
          <w:p w:rsidR="00000000" w:rsidRDefault="008206D2">
            <w:pPr>
              <w:pStyle w:val="a3"/>
              <w:spacing w:before="0" w:beforeAutospacing="0" w:after="0" w:afterAutospacing="0"/>
              <w:rPr>
                <w:sz w:val="20"/>
                <w:szCs w:val="20"/>
              </w:rPr>
            </w:pPr>
            <w:r>
              <w:rPr>
                <w:sz w:val="20"/>
                <w:szCs w:val="20"/>
              </w:rPr>
              <w:t>President and Chief Executive Officer</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hideMark/>
          </w:tcPr>
          <w:p w:rsidR="00000000" w:rsidRDefault="008206D2">
            <w:pPr>
              <w:pStyle w:val="a3"/>
              <w:spacing w:before="0" w:beforeAutospacing="0" w:after="0" w:afterAutospacing="0"/>
              <w:rPr>
                <w:sz w:val="20"/>
                <w:szCs w:val="20"/>
              </w:rPr>
            </w:pPr>
            <w:r>
              <w:rPr>
                <w:sz w:val="20"/>
                <w:szCs w:val="20"/>
              </w:rPr>
              <w:t> </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8206D2">
            <w:pPr>
              <w:pStyle w:val="a3"/>
              <w:spacing w:before="0" w:beforeAutospacing="0" w:after="0" w:afterAutospacing="0"/>
              <w:rPr>
                <w:sz w:val="20"/>
                <w:szCs w:val="20"/>
              </w:rPr>
            </w:pPr>
            <w:r>
              <w:rPr>
                <w:sz w:val="20"/>
                <w:szCs w:val="20"/>
              </w:rPr>
              <w:t>/s/ David M. Garfinkle</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8206D2">
            <w:pPr>
              <w:pStyle w:val="a3"/>
              <w:spacing w:before="0" w:beforeAutospacing="0" w:after="0" w:afterAutospacing="0"/>
              <w:rPr>
                <w:sz w:val="20"/>
                <w:szCs w:val="20"/>
              </w:rPr>
            </w:pPr>
            <w:r>
              <w:rPr>
                <w:sz w:val="20"/>
                <w:szCs w:val="20"/>
              </w:rPr>
              <w:t>David M. Garfinkle</w:t>
            </w:r>
          </w:p>
        </w:tc>
      </w:tr>
      <w:tr w:rsidR="00000000">
        <w:trPr>
          <w:divId w:val="271089542"/>
        </w:trPr>
        <w:tc>
          <w:tcPr>
            <w:tcW w:w="2500" w:type="pct"/>
            <w:hideMark/>
          </w:tcPr>
          <w:p w:rsidR="00000000" w:rsidRDefault="008206D2">
            <w:pPr>
              <w:pStyle w:val="a3"/>
              <w:spacing w:before="0" w:beforeAutospacing="0" w:after="0" w:afterAutospacing="0"/>
              <w:rPr>
                <w:sz w:val="20"/>
                <w:szCs w:val="20"/>
              </w:rPr>
            </w:pPr>
            <w:r>
              <w:rPr>
                <w:sz w:val="20"/>
                <w:szCs w:val="20"/>
              </w:rPr>
              <w:t> </w:t>
            </w:r>
          </w:p>
        </w:tc>
        <w:tc>
          <w:tcPr>
            <w:tcW w:w="250" w:type="pct"/>
            <w:hideMark/>
          </w:tcPr>
          <w:p w:rsidR="00000000" w:rsidRDefault="008206D2">
            <w:pPr>
              <w:pStyle w:val="a3"/>
              <w:spacing w:before="0" w:beforeAutospacing="0" w:after="0" w:afterAutospacing="0"/>
              <w:rPr>
                <w:sz w:val="20"/>
                <w:szCs w:val="20"/>
              </w:rPr>
            </w:pPr>
            <w:r>
              <w:rPr>
                <w:sz w:val="20"/>
                <w:szCs w:val="20"/>
              </w:rPr>
              <w:t> </w:t>
            </w:r>
          </w:p>
        </w:tc>
        <w:tc>
          <w:tcPr>
            <w:tcW w:w="2250" w:type="pct"/>
            <w:hideMark/>
          </w:tcPr>
          <w:p w:rsidR="00000000" w:rsidRDefault="008206D2">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8206D2">
      <w:pPr>
        <w:pStyle w:val="a3"/>
        <w:spacing w:before="0" w:beforeAutospacing="0" w:after="0" w:afterAutospacing="0"/>
        <w:rPr>
          <w:sz w:val="23"/>
          <w:szCs w:val="23"/>
        </w:rPr>
      </w:pPr>
      <w:r>
        <w:rPr>
          <w:sz w:val="23"/>
          <w:szCs w:val="23"/>
        </w:rPr>
        <w:t> </w:t>
      </w:r>
    </w:p>
    <w:p w:rsidR="008206D2" w:rsidRDefault="008206D2">
      <w:pPr>
        <w:pStyle w:val="a3"/>
        <w:spacing w:before="240" w:beforeAutospacing="0" w:after="0" w:afterAutospacing="0"/>
        <w:jc w:val="center"/>
        <w:rPr>
          <w:sz w:val="20"/>
          <w:szCs w:val="20"/>
        </w:rPr>
      </w:pPr>
      <w:r>
        <w:rPr>
          <w:sz w:val="20"/>
          <w:szCs w:val="20"/>
        </w:rPr>
        <w:t>43</w:t>
      </w:r>
    </w:p>
    <w:sectPr w:rsidR="008206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06D2"/>
    <w:rsid w:val="008206D2"/>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20331"/>
  <w:attachedSchema w:val="http://fasb.org/us-types/2021-01-31"/>
  <w:attachedSchema w:val="http://fasb.org/us-gaap/2021-01-31"/>
  <w:attachedSchema w:val="http://xbrl.sec.gov/stpr/2021"/>
  <w:attachedSchema w:val="http://fasb.org/srt-types/2021-01-31"/>
  <w:attachedSchema w:val="http://fasb.org/srt/2021-01-31"/>
  <w:attachedSchema w:val="http://xbrl.sec.gov/sic/2021"/>
  <w:attachedSchema w:val="http://xbrl.sec.gov/naics/2021"/>
  <w:attachedSchema w:val="http://xbrl.sec.gov/exch/2021"/>
  <w:attachedSchema w:val="http://www.xbrl.org/dtr/type/2020-01-21"/>
  <w:attachedSchema w:val="http://xbrl.sec.gov/dei/2021q4"/>
  <w:attachedSchema w:val="http://xbrl.sec.gov/currency/2021"/>
  <w:attachedSchema w:val="http://xbrl.sec.gov/country/2021"/>
  <w:attachedSchema w:val="http://xbrl.org/2020/extensible-enumerations-2.0"/>
  <w:attachedSchema w:val="http://www.w3.org/1999/xlink"/>
  <w:attachedSchema w:val="http://www.xbrl.org/2009/utr"/>
  <w:attachedSchema w:val="http://www.xbrl.org/2003/linkbase"/>
  <w:attachedSchema w:val="http://www.xbrl.org/2003/iso4217"/>
  <w:attachedSchema w:val="http://www.xbrl.org/2013/inlineXBRL"/>
  <w:attachedSchema w:val="http://www.xbrl.org/dtr/type/non-numeric"/>
  <w:attachedSchema w:val="http://www.xbrl.org/dtr/type/numeric"/>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295">
      <w:marLeft w:val="0"/>
      <w:marRight w:val="0"/>
      <w:marTop w:val="0"/>
      <w:marBottom w:val="0"/>
      <w:divBdr>
        <w:top w:val="none" w:sz="0" w:space="0" w:color="auto"/>
        <w:left w:val="none" w:sz="0" w:space="0" w:color="auto"/>
        <w:bottom w:val="none" w:sz="0" w:space="0" w:color="auto"/>
        <w:right w:val="none" w:sz="0" w:space="0" w:color="auto"/>
      </w:divBdr>
    </w:div>
    <w:div w:id="26374742">
      <w:marLeft w:val="0"/>
      <w:marRight w:val="0"/>
      <w:marTop w:val="0"/>
      <w:marBottom w:val="0"/>
      <w:divBdr>
        <w:top w:val="none" w:sz="0" w:space="0" w:color="auto"/>
        <w:left w:val="none" w:sz="0" w:space="0" w:color="auto"/>
        <w:bottom w:val="none" w:sz="0" w:space="0" w:color="auto"/>
        <w:right w:val="none" w:sz="0" w:space="0" w:color="auto"/>
      </w:divBdr>
    </w:div>
    <w:div w:id="32270939">
      <w:marLeft w:val="0"/>
      <w:marRight w:val="0"/>
      <w:marTop w:val="0"/>
      <w:marBottom w:val="0"/>
      <w:divBdr>
        <w:top w:val="none" w:sz="0" w:space="0" w:color="auto"/>
        <w:left w:val="none" w:sz="0" w:space="0" w:color="auto"/>
        <w:bottom w:val="none" w:sz="0" w:space="0" w:color="auto"/>
        <w:right w:val="none" w:sz="0" w:space="0" w:color="auto"/>
      </w:divBdr>
    </w:div>
    <w:div w:id="91780543">
      <w:marLeft w:val="0"/>
      <w:marRight w:val="0"/>
      <w:marTop w:val="0"/>
      <w:marBottom w:val="0"/>
      <w:divBdr>
        <w:top w:val="none" w:sz="0" w:space="0" w:color="auto"/>
        <w:left w:val="none" w:sz="0" w:space="0" w:color="auto"/>
        <w:bottom w:val="none" w:sz="0" w:space="0" w:color="auto"/>
        <w:right w:val="none" w:sz="0" w:space="0" w:color="auto"/>
      </w:divBdr>
    </w:div>
    <w:div w:id="102844635">
      <w:marLeft w:val="0"/>
      <w:marRight w:val="0"/>
      <w:marTop w:val="0"/>
      <w:marBottom w:val="0"/>
      <w:divBdr>
        <w:top w:val="none" w:sz="0" w:space="0" w:color="auto"/>
        <w:left w:val="none" w:sz="0" w:space="0" w:color="auto"/>
        <w:bottom w:val="none" w:sz="0" w:space="0" w:color="auto"/>
        <w:right w:val="none" w:sz="0" w:space="0" w:color="auto"/>
      </w:divBdr>
    </w:div>
    <w:div w:id="144511781">
      <w:marLeft w:val="0"/>
      <w:marRight w:val="0"/>
      <w:marTop w:val="0"/>
      <w:marBottom w:val="0"/>
      <w:divBdr>
        <w:top w:val="none" w:sz="0" w:space="0" w:color="auto"/>
        <w:left w:val="none" w:sz="0" w:space="0" w:color="auto"/>
        <w:bottom w:val="none" w:sz="0" w:space="0" w:color="auto"/>
        <w:right w:val="none" w:sz="0" w:space="0" w:color="auto"/>
      </w:divBdr>
    </w:div>
    <w:div w:id="270819064">
      <w:marLeft w:val="0"/>
      <w:marRight w:val="0"/>
      <w:marTop w:val="0"/>
      <w:marBottom w:val="0"/>
      <w:divBdr>
        <w:top w:val="none" w:sz="0" w:space="0" w:color="auto"/>
        <w:left w:val="none" w:sz="0" w:space="0" w:color="auto"/>
        <w:bottom w:val="none" w:sz="0" w:space="0" w:color="auto"/>
        <w:right w:val="none" w:sz="0" w:space="0" w:color="auto"/>
      </w:divBdr>
    </w:div>
    <w:div w:id="271089542">
      <w:marLeft w:val="0"/>
      <w:marRight w:val="0"/>
      <w:marTop w:val="0"/>
      <w:marBottom w:val="0"/>
      <w:divBdr>
        <w:top w:val="none" w:sz="0" w:space="0" w:color="auto"/>
        <w:left w:val="none" w:sz="0" w:space="0" w:color="auto"/>
        <w:bottom w:val="none" w:sz="0" w:space="0" w:color="auto"/>
        <w:right w:val="none" w:sz="0" w:space="0" w:color="auto"/>
      </w:divBdr>
    </w:div>
    <w:div w:id="360057510">
      <w:marLeft w:val="0"/>
      <w:marRight w:val="0"/>
      <w:marTop w:val="0"/>
      <w:marBottom w:val="0"/>
      <w:divBdr>
        <w:top w:val="none" w:sz="0" w:space="0" w:color="auto"/>
        <w:left w:val="none" w:sz="0" w:space="0" w:color="auto"/>
        <w:bottom w:val="none" w:sz="0" w:space="0" w:color="auto"/>
        <w:right w:val="none" w:sz="0" w:space="0" w:color="auto"/>
      </w:divBdr>
    </w:div>
    <w:div w:id="377097737">
      <w:marLeft w:val="0"/>
      <w:marRight w:val="0"/>
      <w:marTop w:val="0"/>
      <w:marBottom w:val="0"/>
      <w:divBdr>
        <w:top w:val="none" w:sz="0" w:space="0" w:color="auto"/>
        <w:left w:val="none" w:sz="0" w:space="0" w:color="auto"/>
        <w:bottom w:val="none" w:sz="0" w:space="0" w:color="auto"/>
        <w:right w:val="none" w:sz="0" w:space="0" w:color="auto"/>
      </w:divBdr>
    </w:div>
    <w:div w:id="377358731">
      <w:marLeft w:val="0"/>
      <w:marRight w:val="0"/>
      <w:marTop w:val="0"/>
      <w:marBottom w:val="0"/>
      <w:divBdr>
        <w:top w:val="none" w:sz="0" w:space="0" w:color="auto"/>
        <w:left w:val="none" w:sz="0" w:space="0" w:color="auto"/>
        <w:bottom w:val="none" w:sz="0" w:space="0" w:color="auto"/>
        <w:right w:val="none" w:sz="0" w:space="0" w:color="auto"/>
      </w:divBdr>
    </w:div>
    <w:div w:id="442918575">
      <w:marLeft w:val="0"/>
      <w:marRight w:val="0"/>
      <w:marTop w:val="0"/>
      <w:marBottom w:val="0"/>
      <w:divBdr>
        <w:top w:val="none" w:sz="0" w:space="0" w:color="auto"/>
        <w:left w:val="none" w:sz="0" w:space="0" w:color="auto"/>
        <w:bottom w:val="none" w:sz="0" w:space="0" w:color="auto"/>
        <w:right w:val="none" w:sz="0" w:space="0" w:color="auto"/>
      </w:divBdr>
    </w:div>
    <w:div w:id="542014197">
      <w:marLeft w:val="0"/>
      <w:marRight w:val="0"/>
      <w:marTop w:val="0"/>
      <w:marBottom w:val="0"/>
      <w:divBdr>
        <w:top w:val="none" w:sz="0" w:space="0" w:color="auto"/>
        <w:left w:val="none" w:sz="0" w:space="0" w:color="auto"/>
        <w:bottom w:val="none" w:sz="0" w:space="0" w:color="auto"/>
        <w:right w:val="none" w:sz="0" w:space="0" w:color="auto"/>
      </w:divBdr>
    </w:div>
    <w:div w:id="599335221">
      <w:marLeft w:val="0"/>
      <w:marRight w:val="0"/>
      <w:marTop w:val="0"/>
      <w:marBottom w:val="0"/>
      <w:divBdr>
        <w:top w:val="none" w:sz="0" w:space="0" w:color="auto"/>
        <w:left w:val="none" w:sz="0" w:space="0" w:color="auto"/>
        <w:bottom w:val="none" w:sz="0" w:space="0" w:color="auto"/>
        <w:right w:val="none" w:sz="0" w:space="0" w:color="auto"/>
      </w:divBdr>
    </w:div>
    <w:div w:id="608200272">
      <w:marLeft w:val="0"/>
      <w:marRight w:val="0"/>
      <w:marTop w:val="0"/>
      <w:marBottom w:val="0"/>
      <w:divBdr>
        <w:top w:val="none" w:sz="0" w:space="0" w:color="auto"/>
        <w:left w:val="none" w:sz="0" w:space="0" w:color="auto"/>
        <w:bottom w:val="none" w:sz="0" w:space="0" w:color="auto"/>
        <w:right w:val="none" w:sz="0" w:space="0" w:color="auto"/>
      </w:divBdr>
    </w:div>
    <w:div w:id="702437151">
      <w:marLeft w:val="0"/>
      <w:marRight w:val="0"/>
      <w:marTop w:val="0"/>
      <w:marBottom w:val="0"/>
      <w:divBdr>
        <w:top w:val="none" w:sz="0" w:space="0" w:color="auto"/>
        <w:left w:val="none" w:sz="0" w:space="0" w:color="auto"/>
        <w:bottom w:val="none" w:sz="0" w:space="0" w:color="auto"/>
        <w:right w:val="none" w:sz="0" w:space="0" w:color="auto"/>
      </w:divBdr>
    </w:div>
    <w:div w:id="716468094">
      <w:marLeft w:val="0"/>
      <w:marRight w:val="0"/>
      <w:marTop w:val="0"/>
      <w:marBottom w:val="0"/>
      <w:divBdr>
        <w:top w:val="none" w:sz="0" w:space="0" w:color="auto"/>
        <w:left w:val="none" w:sz="0" w:space="0" w:color="auto"/>
        <w:bottom w:val="none" w:sz="0" w:space="0" w:color="auto"/>
        <w:right w:val="none" w:sz="0" w:space="0" w:color="auto"/>
      </w:divBdr>
    </w:div>
    <w:div w:id="763721982">
      <w:marLeft w:val="0"/>
      <w:marRight w:val="0"/>
      <w:marTop w:val="0"/>
      <w:marBottom w:val="0"/>
      <w:divBdr>
        <w:top w:val="none" w:sz="0" w:space="0" w:color="auto"/>
        <w:left w:val="none" w:sz="0" w:space="0" w:color="auto"/>
        <w:bottom w:val="none" w:sz="0" w:space="0" w:color="auto"/>
        <w:right w:val="none" w:sz="0" w:space="0" w:color="auto"/>
      </w:divBdr>
    </w:div>
    <w:div w:id="809324319">
      <w:marLeft w:val="0"/>
      <w:marRight w:val="0"/>
      <w:marTop w:val="0"/>
      <w:marBottom w:val="0"/>
      <w:divBdr>
        <w:top w:val="none" w:sz="0" w:space="0" w:color="auto"/>
        <w:left w:val="none" w:sz="0" w:space="0" w:color="auto"/>
        <w:bottom w:val="none" w:sz="0" w:space="0" w:color="auto"/>
        <w:right w:val="none" w:sz="0" w:space="0" w:color="auto"/>
      </w:divBdr>
    </w:div>
    <w:div w:id="896235921">
      <w:marLeft w:val="0"/>
      <w:marRight w:val="0"/>
      <w:marTop w:val="0"/>
      <w:marBottom w:val="0"/>
      <w:divBdr>
        <w:top w:val="none" w:sz="0" w:space="0" w:color="auto"/>
        <w:left w:val="none" w:sz="0" w:space="0" w:color="auto"/>
        <w:bottom w:val="none" w:sz="0" w:space="0" w:color="auto"/>
        <w:right w:val="none" w:sz="0" w:space="0" w:color="auto"/>
      </w:divBdr>
    </w:div>
    <w:div w:id="952899410">
      <w:marLeft w:val="0"/>
      <w:marRight w:val="0"/>
      <w:marTop w:val="0"/>
      <w:marBottom w:val="0"/>
      <w:divBdr>
        <w:top w:val="none" w:sz="0" w:space="0" w:color="auto"/>
        <w:left w:val="none" w:sz="0" w:space="0" w:color="auto"/>
        <w:bottom w:val="none" w:sz="0" w:space="0" w:color="auto"/>
        <w:right w:val="none" w:sz="0" w:space="0" w:color="auto"/>
      </w:divBdr>
    </w:div>
    <w:div w:id="974485548">
      <w:marLeft w:val="0"/>
      <w:marRight w:val="0"/>
      <w:marTop w:val="0"/>
      <w:marBottom w:val="0"/>
      <w:divBdr>
        <w:top w:val="none" w:sz="0" w:space="0" w:color="auto"/>
        <w:left w:val="none" w:sz="0" w:space="0" w:color="auto"/>
        <w:bottom w:val="none" w:sz="0" w:space="0" w:color="auto"/>
        <w:right w:val="none" w:sz="0" w:space="0" w:color="auto"/>
      </w:divBdr>
    </w:div>
    <w:div w:id="990789054">
      <w:marLeft w:val="0"/>
      <w:marRight w:val="0"/>
      <w:marTop w:val="0"/>
      <w:marBottom w:val="0"/>
      <w:divBdr>
        <w:top w:val="none" w:sz="0" w:space="0" w:color="auto"/>
        <w:left w:val="none" w:sz="0" w:space="0" w:color="auto"/>
        <w:bottom w:val="none" w:sz="0" w:space="0" w:color="auto"/>
        <w:right w:val="none" w:sz="0" w:space="0" w:color="auto"/>
      </w:divBdr>
    </w:div>
    <w:div w:id="1018775274">
      <w:marLeft w:val="0"/>
      <w:marRight w:val="0"/>
      <w:marTop w:val="0"/>
      <w:marBottom w:val="0"/>
      <w:divBdr>
        <w:top w:val="none" w:sz="0" w:space="0" w:color="auto"/>
        <w:left w:val="none" w:sz="0" w:space="0" w:color="auto"/>
        <w:bottom w:val="none" w:sz="0" w:space="0" w:color="auto"/>
        <w:right w:val="none" w:sz="0" w:space="0" w:color="auto"/>
      </w:divBdr>
    </w:div>
    <w:div w:id="1034187503">
      <w:marLeft w:val="0"/>
      <w:marRight w:val="0"/>
      <w:marTop w:val="0"/>
      <w:marBottom w:val="0"/>
      <w:divBdr>
        <w:top w:val="none" w:sz="0" w:space="0" w:color="auto"/>
        <w:left w:val="none" w:sz="0" w:space="0" w:color="auto"/>
        <w:bottom w:val="none" w:sz="0" w:space="0" w:color="auto"/>
        <w:right w:val="none" w:sz="0" w:space="0" w:color="auto"/>
      </w:divBdr>
    </w:div>
    <w:div w:id="1060447160">
      <w:marLeft w:val="0"/>
      <w:marRight w:val="0"/>
      <w:marTop w:val="0"/>
      <w:marBottom w:val="0"/>
      <w:divBdr>
        <w:top w:val="none" w:sz="0" w:space="0" w:color="auto"/>
        <w:left w:val="none" w:sz="0" w:space="0" w:color="auto"/>
        <w:bottom w:val="none" w:sz="0" w:space="0" w:color="auto"/>
        <w:right w:val="none" w:sz="0" w:space="0" w:color="auto"/>
      </w:divBdr>
    </w:div>
    <w:div w:id="1102383358">
      <w:marLeft w:val="0"/>
      <w:marRight w:val="0"/>
      <w:marTop w:val="0"/>
      <w:marBottom w:val="0"/>
      <w:divBdr>
        <w:top w:val="none" w:sz="0" w:space="0" w:color="auto"/>
        <w:left w:val="none" w:sz="0" w:space="0" w:color="auto"/>
        <w:bottom w:val="none" w:sz="0" w:space="0" w:color="auto"/>
        <w:right w:val="none" w:sz="0" w:space="0" w:color="auto"/>
      </w:divBdr>
    </w:div>
    <w:div w:id="1131366247">
      <w:marLeft w:val="0"/>
      <w:marRight w:val="0"/>
      <w:marTop w:val="0"/>
      <w:marBottom w:val="0"/>
      <w:divBdr>
        <w:top w:val="none" w:sz="0" w:space="0" w:color="auto"/>
        <w:left w:val="none" w:sz="0" w:space="0" w:color="auto"/>
        <w:bottom w:val="none" w:sz="0" w:space="0" w:color="auto"/>
        <w:right w:val="none" w:sz="0" w:space="0" w:color="auto"/>
      </w:divBdr>
    </w:div>
    <w:div w:id="1136920722">
      <w:marLeft w:val="0"/>
      <w:marRight w:val="0"/>
      <w:marTop w:val="0"/>
      <w:marBottom w:val="0"/>
      <w:divBdr>
        <w:top w:val="none" w:sz="0" w:space="0" w:color="auto"/>
        <w:left w:val="none" w:sz="0" w:space="0" w:color="auto"/>
        <w:bottom w:val="none" w:sz="0" w:space="0" w:color="auto"/>
        <w:right w:val="none" w:sz="0" w:space="0" w:color="auto"/>
      </w:divBdr>
    </w:div>
    <w:div w:id="1183982472">
      <w:marLeft w:val="0"/>
      <w:marRight w:val="0"/>
      <w:marTop w:val="0"/>
      <w:marBottom w:val="0"/>
      <w:divBdr>
        <w:top w:val="none" w:sz="0" w:space="0" w:color="auto"/>
        <w:left w:val="none" w:sz="0" w:space="0" w:color="auto"/>
        <w:bottom w:val="none" w:sz="0" w:space="0" w:color="auto"/>
        <w:right w:val="none" w:sz="0" w:space="0" w:color="auto"/>
      </w:divBdr>
    </w:div>
    <w:div w:id="1253705878">
      <w:marLeft w:val="0"/>
      <w:marRight w:val="0"/>
      <w:marTop w:val="0"/>
      <w:marBottom w:val="0"/>
      <w:divBdr>
        <w:top w:val="none" w:sz="0" w:space="0" w:color="auto"/>
        <w:left w:val="none" w:sz="0" w:space="0" w:color="auto"/>
        <w:bottom w:val="none" w:sz="0" w:space="0" w:color="auto"/>
        <w:right w:val="none" w:sz="0" w:space="0" w:color="auto"/>
      </w:divBdr>
    </w:div>
    <w:div w:id="1294336166">
      <w:marLeft w:val="0"/>
      <w:marRight w:val="0"/>
      <w:marTop w:val="0"/>
      <w:marBottom w:val="0"/>
      <w:divBdr>
        <w:top w:val="none" w:sz="0" w:space="0" w:color="auto"/>
        <w:left w:val="none" w:sz="0" w:space="0" w:color="auto"/>
        <w:bottom w:val="none" w:sz="0" w:space="0" w:color="auto"/>
        <w:right w:val="none" w:sz="0" w:space="0" w:color="auto"/>
      </w:divBdr>
    </w:div>
    <w:div w:id="1380663965">
      <w:marLeft w:val="0"/>
      <w:marRight w:val="0"/>
      <w:marTop w:val="0"/>
      <w:marBottom w:val="0"/>
      <w:divBdr>
        <w:top w:val="none" w:sz="0" w:space="0" w:color="auto"/>
        <w:left w:val="none" w:sz="0" w:space="0" w:color="auto"/>
        <w:bottom w:val="none" w:sz="0" w:space="0" w:color="auto"/>
        <w:right w:val="none" w:sz="0" w:space="0" w:color="auto"/>
      </w:divBdr>
    </w:div>
    <w:div w:id="1390418561">
      <w:marLeft w:val="0"/>
      <w:marRight w:val="0"/>
      <w:marTop w:val="0"/>
      <w:marBottom w:val="0"/>
      <w:divBdr>
        <w:top w:val="none" w:sz="0" w:space="0" w:color="auto"/>
        <w:left w:val="none" w:sz="0" w:space="0" w:color="auto"/>
        <w:bottom w:val="none" w:sz="0" w:space="0" w:color="auto"/>
        <w:right w:val="none" w:sz="0" w:space="0" w:color="auto"/>
      </w:divBdr>
    </w:div>
    <w:div w:id="1390953984">
      <w:marLeft w:val="0"/>
      <w:marRight w:val="0"/>
      <w:marTop w:val="0"/>
      <w:marBottom w:val="0"/>
      <w:divBdr>
        <w:top w:val="none" w:sz="0" w:space="0" w:color="auto"/>
        <w:left w:val="none" w:sz="0" w:space="0" w:color="auto"/>
        <w:bottom w:val="none" w:sz="0" w:space="0" w:color="auto"/>
        <w:right w:val="none" w:sz="0" w:space="0" w:color="auto"/>
      </w:divBdr>
    </w:div>
    <w:div w:id="1395087684">
      <w:marLeft w:val="0"/>
      <w:marRight w:val="0"/>
      <w:marTop w:val="0"/>
      <w:marBottom w:val="0"/>
      <w:divBdr>
        <w:top w:val="none" w:sz="0" w:space="0" w:color="auto"/>
        <w:left w:val="none" w:sz="0" w:space="0" w:color="auto"/>
        <w:bottom w:val="none" w:sz="0" w:space="0" w:color="auto"/>
        <w:right w:val="none" w:sz="0" w:space="0" w:color="auto"/>
      </w:divBdr>
    </w:div>
    <w:div w:id="1489319752">
      <w:marLeft w:val="0"/>
      <w:marRight w:val="0"/>
      <w:marTop w:val="0"/>
      <w:marBottom w:val="0"/>
      <w:divBdr>
        <w:top w:val="none" w:sz="0" w:space="0" w:color="auto"/>
        <w:left w:val="none" w:sz="0" w:space="0" w:color="auto"/>
        <w:bottom w:val="none" w:sz="0" w:space="0" w:color="auto"/>
        <w:right w:val="none" w:sz="0" w:space="0" w:color="auto"/>
      </w:divBdr>
    </w:div>
    <w:div w:id="1497260995">
      <w:marLeft w:val="0"/>
      <w:marRight w:val="0"/>
      <w:marTop w:val="0"/>
      <w:marBottom w:val="0"/>
      <w:divBdr>
        <w:top w:val="none" w:sz="0" w:space="0" w:color="auto"/>
        <w:left w:val="none" w:sz="0" w:space="0" w:color="auto"/>
        <w:bottom w:val="none" w:sz="0" w:space="0" w:color="auto"/>
        <w:right w:val="none" w:sz="0" w:space="0" w:color="auto"/>
      </w:divBdr>
    </w:div>
    <w:div w:id="1513374715">
      <w:marLeft w:val="0"/>
      <w:marRight w:val="0"/>
      <w:marTop w:val="0"/>
      <w:marBottom w:val="0"/>
      <w:divBdr>
        <w:top w:val="none" w:sz="0" w:space="0" w:color="auto"/>
        <w:left w:val="none" w:sz="0" w:space="0" w:color="auto"/>
        <w:bottom w:val="none" w:sz="0" w:space="0" w:color="auto"/>
        <w:right w:val="none" w:sz="0" w:space="0" w:color="auto"/>
      </w:divBdr>
    </w:div>
    <w:div w:id="1532839798">
      <w:marLeft w:val="0"/>
      <w:marRight w:val="0"/>
      <w:marTop w:val="0"/>
      <w:marBottom w:val="0"/>
      <w:divBdr>
        <w:top w:val="none" w:sz="0" w:space="0" w:color="auto"/>
        <w:left w:val="none" w:sz="0" w:space="0" w:color="auto"/>
        <w:bottom w:val="none" w:sz="0" w:space="0" w:color="auto"/>
        <w:right w:val="none" w:sz="0" w:space="0" w:color="auto"/>
      </w:divBdr>
    </w:div>
    <w:div w:id="1537229734">
      <w:marLeft w:val="0"/>
      <w:marRight w:val="0"/>
      <w:marTop w:val="0"/>
      <w:marBottom w:val="0"/>
      <w:divBdr>
        <w:top w:val="none" w:sz="0" w:space="0" w:color="auto"/>
        <w:left w:val="none" w:sz="0" w:space="0" w:color="auto"/>
        <w:bottom w:val="none" w:sz="0" w:space="0" w:color="auto"/>
        <w:right w:val="none" w:sz="0" w:space="0" w:color="auto"/>
      </w:divBdr>
    </w:div>
    <w:div w:id="1547521134">
      <w:marLeft w:val="0"/>
      <w:marRight w:val="0"/>
      <w:marTop w:val="0"/>
      <w:marBottom w:val="0"/>
      <w:divBdr>
        <w:top w:val="none" w:sz="0" w:space="0" w:color="auto"/>
        <w:left w:val="none" w:sz="0" w:space="0" w:color="auto"/>
        <w:bottom w:val="none" w:sz="0" w:space="0" w:color="auto"/>
        <w:right w:val="none" w:sz="0" w:space="0" w:color="auto"/>
      </w:divBdr>
    </w:div>
    <w:div w:id="1567496666">
      <w:marLeft w:val="0"/>
      <w:marRight w:val="0"/>
      <w:marTop w:val="0"/>
      <w:marBottom w:val="0"/>
      <w:divBdr>
        <w:top w:val="none" w:sz="0" w:space="0" w:color="auto"/>
        <w:left w:val="none" w:sz="0" w:space="0" w:color="auto"/>
        <w:bottom w:val="none" w:sz="0" w:space="0" w:color="auto"/>
        <w:right w:val="none" w:sz="0" w:space="0" w:color="auto"/>
      </w:divBdr>
    </w:div>
    <w:div w:id="1572620760">
      <w:marLeft w:val="0"/>
      <w:marRight w:val="0"/>
      <w:marTop w:val="0"/>
      <w:marBottom w:val="0"/>
      <w:divBdr>
        <w:top w:val="none" w:sz="0" w:space="0" w:color="auto"/>
        <w:left w:val="none" w:sz="0" w:space="0" w:color="auto"/>
        <w:bottom w:val="none" w:sz="0" w:space="0" w:color="auto"/>
        <w:right w:val="none" w:sz="0" w:space="0" w:color="auto"/>
      </w:divBdr>
    </w:div>
    <w:div w:id="1574509588">
      <w:marLeft w:val="0"/>
      <w:marRight w:val="0"/>
      <w:marTop w:val="0"/>
      <w:marBottom w:val="0"/>
      <w:divBdr>
        <w:top w:val="none" w:sz="0" w:space="0" w:color="auto"/>
        <w:left w:val="none" w:sz="0" w:space="0" w:color="auto"/>
        <w:bottom w:val="none" w:sz="0" w:space="0" w:color="auto"/>
        <w:right w:val="none" w:sz="0" w:space="0" w:color="auto"/>
      </w:divBdr>
    </w:div>
    <w:div w:id="1575896285">
      <w:marLeft w:val="0"/>
      <w:marRight w:val="0"/>
      <w:marTop w:val="0"/>
      <w:marBottom w:val="0"/>
      <w:divBdr>
        <w:top w:val="none" w:sz="0" w:space="0" w:color="auto"/>
        <w:left w:val="none" w:sz="0" w:space="0" w:color="auto"/>
        <w:bottom w:val="none" w:sz="0" w:space="0" w:color="auto"/>
        <w:right w:val="none" w:sz="0" w:space="0" w:color="auto"/>
      </w:divBdr>
    </w:div>
    <w:div w:id="1643346682">
      <w:marLeft w:val="0"/>
      <w:marRight w:val="0"/>
      <w:marTop w:val="0"/>
      <w:marBottom w:val="0"/>
      <w:divBdr>
        <w:top w:val="none" w:sz="0" w:space="0" w:color="auto"/>
        <w:left w:val="none" w:sz="0" w:space="0" w:color="auto"/>
        <w:bottom w:val="none" w:sz="0" w:space="0" w:color="auto"/>
        <w:right w:val="none" w:sz="0" w:space="0" w:color="auto"/>
      </w:divBdr>
    </w:div>
    <w:div w:id="1664430120">
      <w:marLeft w:val="0"/>
      <w:marRight w:val="0"/>
      <w:marTop w:val="0"/>
      <w:marBottom w:val="0"/>
      <w:divBdr>
        <w:top w:val="none" w:sz="0" w:space="0" w:color="auto"/>
        <w:left w:val="none" w:sz="0" w:space="0" w:color="auto"/>
        <w:bottom w:val="none" w:sz="0" w:space="0" w:color="auto"/>
        <w:right w:val="none" w:sz="0" w:space="0" w:color="auto"/>
      </w:divBdr>
    </w:div>
    <w:div w:id="1743986857">
      <w:marLeft w:val="0"/>
      <w:marRight w:val="0"/>
      <w:marTop w:val="0"/>
      <w:marBottom w:val="0"/>
      <w:divBdr>
        <w:top w:val="none" w:sz="0" w:space="0" w:color="auto"/>
        <w:left w:val="none" w:sz="0" w:space="0" w:color="auto"/>
        <w:bottom w:val="none" w:sz="0" w:space="0" w:color="auto"/>
        <w:right w:val="none" w:sz="0" w:space="0" w:color="auto"/>
      </w:divBdr>
    </w:div>
    <w:div w:id="1775586731">
      <w:marLeft w:val="0"/>
      <w:marRight w:val="0"/>
      <w:marTop w:val="0"/>
      <w:marBottom w:val="0"/>
      <w:divBdr>
        <w:top w:val="none" w:sz="0" w:space="0" w:color="auto"/>
        <w:left w:val="none" w:sz="0" w:space="0" w:color="auto"/>
        <w:bottom w:val="none" w:sz="0" w:space="0" w:color="auto"/>
        <w:right w:val="none" w:sz="0" w:space="0" w:color="auto"/>
      </w:divBdr>
    </w:div>
    <w:div w:id="1788695094">
      <w:marLeft w:val="0"/>
      <w:marRight w:val="0"/>
      <w:marTop w:val="0"/>
      <w:marBottom w:val="0"/>
      <w:divBdr>
        <w:top w:val="none" w:sz="0" w:space="0" w:color="auto"/>
        <w:left w:val="none" w:sz="0" w:space="0" w:color="auto"/>
        <w:bottom w:val="none" w:sz="0" w:space="0" w:color="auto"/>
        <w:right w:val="none" w:sz="0" w:space="0" w:color="auto"/>
      </w:divBdr>
    </w:div>
    <w:div w:id="1847132167">
      <w:marLeft w:val="0"/>
      <w:marRight w:val="0"/>
      <w:marTop w:val="0"/>
      <w:marBottom w:val="0"/>
      <w:divBdr>
        <w:top w:val="none" w:sz="0" w:space="0" w:color="auto"/>
        <w:left w:val="none" w:sz="0" w:space="0" w:color="auto"/>
        <w:bottom w:val="none" w:sz="0" w:space="0" w:color="auto"/>
        <w:right w:val="none" w:sz="0" w:space="0" w:color="auto"/>
      </w:divBdr>
    </w:div>
    <w:div w:id="1859851071">
      <w:marLeft w:val="0"/>
      <w:marRight w:val="0"/>
      <w:marTop w:val="0"/>
      <w:marBottom w:val="0"/>
      <w:divBdr>
        <w:top w:val="none" w:sz="0" w:space="0" w:color="auto"/>
        <w:left w:val="none" w:sz="0" w:space="0" w:color="auto"/>
        <w:bottom w:val="none" w:sz="0" w:space="0" w:color="auto"/>
        <w:right w:val="none" w:sz="0" w:space="0" w:color="auto"/>
      </w:divBdr>
    </w:div>
    <w:div w:id="1930000314">
      <w:marLeft w:val="0"/>
      <w:marRight w:val="0"/>
      <w:marTop w:val="0"/>
      <w:marBottom w:val="0"/>
      <w:divBdr>
        <w:top w:val="none" w:sz="0" w:space="0" w:color="auto"/>
        <w:left w:val="none" w:sz="0" w:space="0" w:color="auto"/>
        <w:bottom w:val="none" w:sz="0" w:space="0" w:color="auto"/>
        <w:right w:val="none" w:sz="0" w:space="0" w:color="auto"/>
      </w:divBdr>
    </w:div>
    <w:div w:id="1931816070">
      <w:marLeft w:val="0"/>
      <w:marRight w:val="0"/>
      <w:marTop w:val="0"/>
      <w:marBottom w:val="0"/>
      <w:divBdr>
        <w:top w:val="none" w:sz="0" w:space="0" w:color="auto"/>
        <w:left w:val="none" w:sz="0" w:space="0" w:color="auto"/>
        <w:bottom w:val="none" w:sz="0" w:space="0" w:color="auto"/>
        <w:right w:val="none" w:sz="0" w:space="0" w:color="auto"/>
      </w:divBdr>
    </w:div>
    <w:div w:id="1934045413">
      <w:marLeft w:val="0"/>
      <w:marRight w:val="0"/>
      <w:marTop w:val="0"/>
      <w:marBottom w:val="0"/>
      <w:divBdr>
        <w:top w:val="none" w:sz="0" w:space="0" w:color="auto"/>
        <w:left w:val="none" w:sz="0" w:space="0" w:color="auto"/>
        <w:bottom w:val="none" w:sz="0" w:space="0" w:color="auto"/>
        <w:right w:val="none" w:sz="0" w:space="0" w:color="auto"/>
      </w:divBdr>
    </w:div>
    <w:div w:id="1975522447">
      <w:marLeft w:val="0"/>
      <w:marRight w:val="0"/>
      <w:marTop w:val="0"/>
      <w:marBottom w:val="0"/>
      <w:divBdr>
        <w:top w:val="none" w:sz="0" w:space="0" w:color="auto"/>
        <w:left w:val="none" w:sz="0" w:space="0" w:color="auto"/>
        <w:bottom w:val="none" w:sz="0" w:space="0" w:color="auto"/>
        <w:right w:val="none" w:sz="0" w:space="0" w:color="auto"/>
      </w:divBdr>
    </w:div>
    <w:div w:id="1988705365">
      <w:marLeft w:val="0"/>
      <w:marRight w:val="0"/>
      <w:marTop w:val="0"/>
      <w:marBottom w:val="0"/>
      <w:divBdr>
        <w:top w:val="none" w:sz="0" w:space="0" w:color="auto"/>
        <w:left w:val="none" w:sz="0" w:space="0" w:color="auto"/>
        <w:bottom w:val="none" w:sz="0" w:space="0" w:color="auto"/>
        <w:right w:val="none" w:sz="0" w:space="0" w:color="auto"/>
      </w:divBdr>
    </w:div>
    <w:div w:id="2073380149">
      <w:marLeft w:val="0"/>
      <w:marRight w:val="0"/>
      <w:marTop w:val="0"/>
      <w:marBottom w:val="0"/>
      <w:divBdr>
        <w:top w:val="none" w:sz="0" w:space="0" w:color="auto"/>
        <w:left w:val="none" w:sz="0" w:space="0" w:color="auto"/>
        <w:bottom w:val="none" w:sz="0" w:space="0" w:color="auto"/>
        <w:right w:val="none" w:sz="0" w:space="0" w:color="auto"/>
      </w:divBdr>
    </w:div>
    <w:div w:id="2080974996">
      <w:marLeft w:val="0"/>
      <w:marRight w:val="0"/>
      <w:marTop w:val="0"/>
      <w:marBottom w:val="0"/>
      <w:divBdr>
        <w:top w:val="none" w:sz="0" w:space="0" w:color="auto"/>
        <w:left w:val="none" w:sz="0" w:space="0" w:color="auto"/>
        <w:bottom w:val="none" w:sz="0" w:space="0" w:color="auto"/>
        <w:right w:val="none" w:sz="0" w:space="0" w:color="auto"/>
      </w:divBdr>
    </w:div>
    <w:div w:id="2085443740">
      <w:marLeft w:val="0"/>
      <w:marRight w:val="0"/>
      <w:marTop w:val="0"/>
      <w:marBottom w:val="0"/>
      <w:divBdr>
        <w:top w:val="none" w:sz="0" w:space="0" w:color="auto"/>
        <w:left w:val="none" w:sz="0" w:space="0" w:color="auto"/>
        <w:bottom w:val="none" w:sz="0" w:space="0" w:color="auto"/>
        <w:right w:val="none" w:sz="0" w:space="0" w:color="auto"/>
      </w:divBdr>
    </w:div>
    <w:div w:id="2091269149">
      <w:marLeft w:val="0"/>
      <w:marRight w:val="0"/>
      <w:marTop w:val="0"/>
      <w:marBottom w:val="0"/>
      <w:divBdr>
        <w:top w:val="none" w:sz="0" w:space="0" w:color="auto"/>
        <w:left w:val="none" w:sz="0" w:space="0" w:color="auto"/>
        <w:bottom w:val="none" w:sz="0" w:space="0" w:color="auto"/>
        <w:right w:val="none" w:sz="0" w:space="0" w:color="auto"/>
      </w:divBdr>
    </w:div>
    <w:div w:id="2094353348">
      <w:marLeft w:val="0"/>
      <w:marRight w:val="0"/>
      <w:marTop w:val="0"/>
      <w:marBottom w:val="0"/>
      <w:divBdr>
        <w:top w:val="none" w:sz="0" w:space="0" w:color="auto"/>
        <w:left w:val="none" w:sz="0" w:space="0" w:color="auto"/>
        <w:bottom w:val="none" w:sz="0" w:space="0" w:color="auto"/>
        <w:right w:val="none" w:sz="0" w:space="0" w:color="auto"/>
      </w:divBdr>
    </w:div>
    <w:div w:id="212056479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22_9.htm" TargetMode="External"/><Relationship Id="rId3" Type="http://schemas.openxmlformats.org/officeDocument/2006/relationships/webSettings" Target="webSettings.xml"/><Relationship Id="rId7" Type="http://schemas.openxmlformats.org/officeDocument/2006/relationships/hyperlink" Target="cxw-ex321_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312_8.htm" TargetMode="External"/><Relationship Id="rId5" Type="http://schemas.openxmlformats.org/officeDocument/2006/relationships/hyperlink" Target="cxw-ex311_7.htm" TargetMode="External"/><Relationship Id="rId10" Type="http://schemas.openxmlformats.org/officeDocument/2006/relationships/theme" Target="theme/theme1.xml"/><Relationship Id="rId4" Type="http://schemas.openxmlformats.org/officeDocument/2006/relationships/hyperlink" Target="cxw-ex221_10.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30063</Words>
  <Characters>171365</Characters>
  <Application>Microsoft Office Word</Application>
  <DocSecurity>0</DocSecurity>
  <Lines>1428</Lines>
  <Paragraphs>402</Paragraphs>
  <ScaleCrop>false</ScaleCrop>
  <Company/>
  <LinksUpToDate>false</LinksUpToDate>
  <CharactersWithSpaces>201026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cxw-10q_20220331.htm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