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35CFB">
      <w:pPr>
        <w:divId w:val="1163353986"/>
        <w:rPr>
          <w:rFonts w:eastAsia="Times New Roman"/>
          <w:vanish/>
        </w:rPr>
      </w:pPr>
      <w:r>
        <w:rPr>
          <w:rFonts w:eastAsia="Times New Roman"/>
          <w:vanish/>
        </w:rPr>
        <w:t xml:space="preserve">false Q2 0001070985 --12-31 TN MD Interest payable periodically at variable interest rates. Interest payable periodically at variable interest rates. </w:t>
      </w:r>
      <w:r>
        <w:rPr>
          <w:rFonts w:eastAsia="Times New Roman"/>
          <w:vanish/>
        </w:rPr>
        <w:t>Interest was payable periodically at variable interest rates. 2040-01-31 0.3333 1800000 P2Y 2026-05-31 2026-05-31 2023-05-31 2027-10-31 2026-04-30 2040-01-31 2026-05-31 2023-04-30 P3Y 0.3333 0001070985 2022-01-01 2022-06-30 xbrli:shares 0001070985 2022-07-</w:t>
      </w:r>
      <w:r>
        <w:rPr>
          <w:rFonts w:eastAsia="Times New Roman"/>
          <w:vanish/>
        </w:rPr>
        <w:t>27 iso4217:USD 0001070985 2022-06-30 0001070985 2021-12-31 iso4217:USD xbrli:shares 0001070985 2022-04-01 2022-06-30 0001070985 2021-04-01 2021-06-30 0001070985 2021-01-01 2021-06-30 0001070985 us-gaap:RestrictedStockUnitsRSUMember 2022-01-01 2022-06-30 00</w:t>
      </w:r>
      <w:r>
        <w:rPr>
          <w:rFonts w:eastAsia="Times New Roman"/>
          <w:vanish/>
        </w:rPr>
        <w:t>01070985 us-gaap:RestrictedStockUnitsRSUMember 2021-01-01 2021-06-30 0001070985 2020-12-31 0001070985 2021-06-30 0001070985 us-gaap:CommonStockMember 2021-12-31 0001070985 us-gaap:AdditionalPaidInCapitalMember 2021-12-31 0001070985 us-gaap:RetainedEarnings</w:t>
      </w:r>
      <w:r>
        <w:rPr>
          <w:rFonts w:eastAsia="Times New Roman"/>
          <w:vanish/>
        </w:rPr>
        <w:t>Member 2021-12-31 0001070985 us-gaap:ParentMember 2021-12-31 0001070985 us-gaap:RetainedEarningsMember 2022-01-01 2022-03-31 0001070985 us-gaap:ParentMember 2022-01-01 2022-03-31 0001070985 us-gaap:CommonStockMember 2022-01-01 2022-03-31 0001070985 us-gaap</w:t>
      </w:r>
      <w:r>
        <w:rPr>
          <w:rFonts w:eastAsia="Times New Roman"/>
          <w:vanish/>
        </w:rPr>
        <w:t>:AdditionalPaidInCapitalMember 2022-01-01 2022-03-31 0001070985 us-gaap:CommonStockMember 2022-03-31 0001070985 us-gaap:AdditionalPaidInCapitalMember 2022-03-31 0001070985 us-gaap:RetainedEarningsMember 2022-03-31 0001070985 us-gaap:ParentMember 2022-03-31</w:t>
      </w:r>
      <w:r>
        <w:rPr>
          <w:rFonts w:eastAsia="Times New Roman"/>
          <w:vanish/>
        </w:rPr>
        <w:t xml:space="preserve"> 0001070985 us-gaap:RetainedEarningsMember 2022-04-01 2022-06-30 0001070985 us-gaap:ParentMember 2022-04-01 2022-06-30 0001070985 us-gaap:CommonStockMember 2022-04-01 2022-06-30 0001070985 us-gaap:AdditionalPaidInCapitalMember 2022-04-01 2022-06-30 0001070</w:t>
      </w:r>
      <w:r>
        <w:rPr>
          <w:rFonts w:eastAsia="Times New Roman"/>
          <w:vanish/>
        </w:rPr>
        <w:t xml:space="preserve">985 us-gaap:CommonStockMember 2022-06-30 0001070985 us-gaap:AdditionalPaidInCapitalMember 2022-06-30 0001070985 us-gaap:RetainedEarningsMember 2022-06-30 0001070985 us-gaap:ParentMember 2022-06-30 0001070985 us-gaap:CommonStockMember 2020-12-31 0001070985 </w:t>
      </w:r>
      <w:r>
        <w:rPr>
          <w:rFonts w:eastAsia="Times New Roman"/>
          <w:vanish/>
        </w:rPr>
        <w:t>us-gaap:AdditionalPaidInCapitalMember 2020-12-31 0001070985 us-gaap:RetainedEarningsMember 2020-12-31 0001070985 us-gaap:ParentMember 2020-12-31 0001070985 us-gaap:NoncontrollingInterestMember 2020-12-31 0001070985 us-gaap:RetainedEarningsMember 2021-01-01</w:t>
      </w:r>
      <w:r>
        <w:rPr>
          <w:rFonts w:eastAsia="Times New Roman"/>
          <w:vanish/>
        </w:rPr>
        <w:t xml:space="preserve"> 2021-03-31 0001070985 us-gaap:ParentMember 2021-01-01 2021-03-31 0001070985 2021-01-01 2021-03-31 0001070985 us-gaap:CommonStockMember 2021-01-01 2021-03-31 0001070985 us-gaap:AdditionalPaidInCapitalMember 2021-01-01 2021-03-31 0001070985 us-gaap:CommonSt</w:t>
      </w:r>
      <w:r>
        <w:rPr>
          <w:rFonts w:eastAsia="Times New Roman"/>
          <w:vanish/>
        </w:rPr>
        <w:t>ockMember 2021-03-31 0001070985 us-gaap:AdditionalPaidInCapitalMember 2021-03-31 0001070985 us-gaap:RetainedEarningsMember 2021-03-31 0001070985 us-gaap:ParentMember 2021-03-31 0001070985 us-gaap:NoncontrollingInterestMember 2021-03-31 0001070985 2021-03-3</w:t>
      </w:r>
      <w:r>
        <w:rPr>
          <w:rFonts w:eastAsia="Times New Roman"/>
          <w:vanish/>
        </w:rPr>
        <w:t>1 0001070985 us-gaap:RetainedEarningsMember 2021-04-01 2021-06-30 0001070985 us-gaap:ParentMember 2021-04-01 2021-06-30 0001070985 us-gaap:AdditionalPaidInCapitalMember 2021-04-01 2021-06-30 0001070985 us-gaap:CommonStockMember 2021-04-01 2021-06-30 000107</w:t>
      </w:r>
      <w:r>
        <w:rPr>
          <w:rFonts w:eastAsia="Times New Roman"/>
          <w:vanish/>
        </w:rPr>
        <w:t>0985 us-gaap:CommonStockMember 2021-06-30 0001070985 us-gaap:AdditionalPaidInCapitalMember 2021-06-30 0001070985 us-gaap:RetainedEarningsMember 2021-06-30 0001070985 us-gaap:ParentMember 2021-06-30 0001070985 us-gaap:NoncontrollingInterestMember 2021-06-30</w:t>
      </w:r>
      <w:r>
        <w:rPr>
          <w:rFonts w:eastAsia="Times New Roman"/>
          <w:vanish/>
        </w:rPr>
        <w:t xml:space="preserve"> cxw:Segment cxw:Facility 0001070985 cxw:SafetySegmentMember 2022-06-30 cxw:Bed 0001070985 cxw:CommunitySegmentMember 2022-06-30 cxw:Property 0001070985 cxw:PropertiesSegmentMember 2022-06-30 utr:sqft 0001070985 cxw:UnitedStatesMarshalsServiceMember 2022-0</w:t>
      </w:r>
      <w:r>
        <w:rPr>
          <w:rFonts w:eastAsia="Times New Roman"/>
          <w:vanish/>
        </w:rPr>
        <w:t>1-01 2022-06-30 0001070985 us-gaap:SubsequentEventMember cxw:UnitedStatesMarshalsServiceMember 2022-09-30 0001070985 us-gaap:SubsequentEventMember cxw:UnitedStatesMarshalsServiceMember 2022-07-01 2022-09-30 cxw:Contract 0001070985 cxw:UnitedStatesMarshalsS</w:t>
      </w:r>
      <w:r>
        <w:rPr>
          <w:rFonts w:eastAsia="Times New Roman"/>
          <w:vanish/>
        </w:rPr>
        <w:t>erviceMember 2021-01-01 2021-12-31 xbrli:pure 0001070985 us-gaap:GovernmentContractsConcentrationRiskMember us-gaap:SalesRevenueNetMember cxw:UnitedStatesMarshalsServiceMember 2021-01-01 2021-12-31 0001070985 us-gaap:GovernmentContractsConcentrationRiskMem</w:t>
      </w:r>
      <w:r>
        <w:rPr>
          <w:rFonts w:eastAsia="Times New Roman"/>
          <w:vanish/>
        </w:rPr>
        <w:t>ber us-gaap:SalesRevenueNetMember cxw:FederalBureauOfPrisonsMember 2021-01-01 2021-12-31 0001070985 cxw:SafetySegmentMember 2021-12-31 0001070985 us-gaap:SubsequentEventMember cxw:SafetySegmentMember cxw:PurchaseAndSaleAgreementMember cxw:McRaeCorrectional</w:t>
      </w:r>
      <w:r>
        <w:rPr>
          <w:rFonts w:eastAsia="Times New Roman"/>
          <w:vanish/>
        </w:rPr>
        <w:t>FacilityMember 2022-07-25 2022-07-25 0001070985 cxw:SafetySegmentMember cxw:PurchaseAndSaleAgreementMember cxw:McRaeCorrectionalFacilityMember 2022-06-30 0001070985 srt:ScenarioForecastMember cxw:SafetySegmentMember cxw:PurchaseAndSaleAgreementMember srt:M</w:t>
      </w:r>
      <w:r>
        <w:rPr>
          <w:rFonts w:eastAsia="Times New Roman"/>
          <w:vanish/>
        </w:rPr>
        <w:t>inimumMember 2022-07-01 2022-09-30 0001070985 srt:ScenarioForecastMember cxw:SafetySegmentMember cxw:PurchaseAndSaleAgreementMember srt:MaximumMember 2022-07-01 2022-09-30 0001070985 cxw:PropertiesSegmentMember cxw:StocktonFemaleCommunityCorrectionsFacilit</w:t>
      </w:r>
      <w:r>
        <w:rPr>
          <w:rFonts w:eastAsia="Times New Roman"/>
          <w:vanish/>
        </w:rPr>
        <w:t>yAndLongBeachCommunityCorrectionsCenterMember us-gaap:SubsequentEventMember 2022-07-01 2022-07-31 0001070985 cxw:PropertiesSegmentMember cxw:StocktonFemaleCommunityCorrectionsFacilityAndLongBeachCommunityCorrectionsCenterMember 2022-06-30 0001070985 cxw:Pr</w:t>
      </w:r>
      <w:r>
        <w:rPr>
          <w:rFonts w:eastAsia="Times New Roman"/>
          <w:vanish/>
        </w:rPr>
        <w:t>opertiesSegmentMember srt:ScenarioForecastMember 2022-07-01 2022-09-30 0001070985 srt:ScenarioForecastMember 2022-07-01 2022-07-31 0001070985 srt:ScenarioForecastMember 2022-07-01 2022-09-30 0001070985 2021-01-01 2021-12-31 0001070985 2022-01-01 2022-03-31</w:t>
      </w:r>
      <w:r>
        <w:rPr>
          <w:rFonts w:eastAsia="Times New Roman"/>
          <w:vanish/>
        </w:rPr>
        <w:t xml:space="preserve"> 0001070985 cxw:GovernmentRealEstateSolutionsLLCMember 2021-07-01 2021-09-30 0001070985 cxw:IdledCorrectionalFacilitiesMember 2022-01-01 2022-06-30 0001070985 cxw:PrairieCorrectionalFacilityMember 2022-06-30 0001070985 cxw:HuerfanoCountyCorrectionalCenterM</w:t>
      </w:r>
      <w:r>
        <w:rPr>
          <w:rFonts w:eastAsia="Times New Roman"/>
          <w:vanish/>
        </w:rPr>
        <w:t>ember 2022-06-30 0001070985 cxw:DiamondbackCorrectionalFacilityMember 2022-06-30 0001070985 cxw:MarionAdjustmentCenterMember 2022-06-30 0001070985 cxw:KitCarsonCorrectionalCenterMember 2022-06-30 0001070985 cxw:WestTennesseeDetentionFacilityMember 2022-06-</w:t>
      </w:r>
      <w:r>
        <w:rPr>
          <w:rFonts w:eastAsia="Times New Roman"/>
          <w:vanish/>
        </w:rPr>
        <w:t>30 0001070985 cxw:LeavenworthDetentionCenterMember 2022-06-30 0001070985 cxw:IdleFacilitiesMember 2022-06-30 0001070985 cxw:PrairieCorrectionalFacilityMember 2021-12-31 0001070985 cxw:HuerfanoCountyCorrectionalCenterMember 2021-12-31 0001070985 cxw:Diamond</w:t>
      </w:r>
      <w:r>
        <w:rPr>
          <w:rFonts w:eastAsia="Times New Roman"/>
          <w:vanish/>
        </w:rPr>
        <w:t>backCorrectionalFacilityMember 2021-12-31 0001070985 cxw:MarionAdjustmentCenterMember 2021-12-31 0001070985 cxw:KitCarsonCorrectionalCenterMember 2021-12-31 0001070985 cxw:WestTennesseeDetentionFacilityMember 2021-12-31 0001070985 cxw:LeavenworthDetentionC</w:t>
      </w:r>
      <w:r>
        <w:rPr>
          <w:rFonts w:eastAsia="Times New Roman"/>
          <w:vanish/>
        </w:rPr>
        <w:t>enterMember 2021-12-31 0001070985 cxw:IdleFacilitiesMember 2021-12-31 0001070985 cxw:IdledNonCoreFacilitiesMember cxw:SafetySegmentMember 2022-01-01 2022-06-30 0001070985 cxw:IdledNonCoreFacilitiesMember cxw:SafetySegmentMember 2022-06-30 0001070985 cxw:Id</w:t>
      </w:r>
      <w:r>
        <w:rPr>
          <w:rFonts w:eastAsia="Times New Roman"/>
          <w:vanish/>
        </w:rPr>
        <w:t>leFacilitiesMember cxw:CommunitySegmentMember 2022-01-01 2022-06-30 0001070985 cxw:IdleFacilitiesMember cxw:CommunitySegmentMember 2022-06-30 0001070985 cxw:IdleFacilitiesMember 2022-04-01 2022-06-30 0001070985 cxw:IdleFacilitiesMember 2021-04-01 2021-06-3</w:t>
      </w:r>
      <w:r>
        <w:rPr>
          <w:rFonts w:eastAsia="Times New Roman"/>
          <w:vanish/>
        </w:rPr>
        <w:t>0 0001070985 cxw:IdleFacilitiesMember 2022-01-01 2022-06-30 0001070985 cxw:IdleFacilitiesMember 2021-01-01 2021-06-30 0001070985 cxw:IdleFacilitiesMember cxw:WestTennesseeDetentionFacilityAndLeavenworthDetentionCenterMember 2022-01-01 2022-03-31 0001070985</w:t>
      </w:r>
      <w:r>
        <w:rPr>
          <w:rFonts w:eastAsia="Times New Roman"/>
          <w:vanish/>
        </w:rPr>
        <w:t xml:space="preserve"> cxw:TermLoanADueInMayTwentyTwentySixMember 2022-06-30 0001070985 cxw:TermLoanADueInMayTwentyTwentySixMember 2021-12-31 0001070985 cxw:TermLoanBMember 2021-12-31 0001070985 cxw:SeniorNotesFourPointSixTwentyFivePercentDueTwentyTwentyThreeMember 2022-06-30 0</w:t>
      </w:r>
      <w:r>
        <w:rPr>
          <w:rFonts w:eastAsia="Times New Roman"/>
          <w:vanish/>
        </w:rPr>
        <w:t>001070985 cxw:SeniorNotesFourPointSixTwentyFivePercentDueTwentyTwentyThreeMember 2021-12-31 0001070985 cxw:SeniorNotesFourPointSeventyFivePercentDueTwentyTwentySevenMember 2022-06-30 0001070985 cxw:SeniorNotesFourPointSeventyFivePercentDueTwentyTwentySeven</w:t>
      </w:r>
      <w:r>
        <w:rPr>
          <w:rFonts w:eastAsia="Times New Roman"/>
          <w:vanish/>
        </w:rPr>
        <w:t>Member 2021-12-31 0001070985 cxw:SeniorNotesEightPointTwoFivePercentDueTwentyTwentySixMember 2022-06-30 0001070985 cxw:SeniorNotesEightPointTwoFivePercentDueTwentyTwentySixMember 2021-12-31 0001070985 cxw:LansingCorrectionalCenterNonRecourseMortgageNoteFou</w:t>
      </w:r>
      <w:r>
        <w:rPr>
          <w:rFonts w:eastAsia="Times New Roman"/>
          <w:vanish/>
        </w:rPr>
        <w:t>rPointFourThreePercentDueTwentyFortyMember 2022-06-30 0001070985 cxw:LansingCorrectionalCenterNonRecourseMortgageNoteFourPointFourThreePercentDueTwentyFortyMember 2021-12-31 0001070985 us-gaap:RevolvingCreditFacilityMember cxw:RevolvingCreditFacilityDueInM</w:t>
      </w:r>
      <w:r>
        <w:rPr>
          <w:rFonts w:eastAsia="Times New Roman"/>
          <w:vanish/>
        </w:rPr>
        <w:t>ayTwentyTwentySixMember 2022-01-01 2022-06-30 0001070985 cxw:TermLoanADueInMayTwentyTwentySixMember 2022-01-01 2022-06-30 0001070985 cxw:TermLoanBMember 2022-01-01 2022-06-30 0001070985 cxw:SeniorNotesFourPointSixTwentyFivePercentDueTwentyTwentyThreeMember</w:t>
      </w:r>
      <w:r>
        <w:rPr>
          <w:rFonts w:eastAsia="Times New Roman"/>
          <w:vanish/>
        </w:rPr>
        <w:t xml:space="preserve"> 2022-01-01 2022-06-30 0001070985 cxw:SeniorNotesFourPointSeventyFivePercentDueTwentyTwentySevenMember 2022-01-01 2022-06-30 0001070985 cxw:SeniorNotesEightPointTwoFivePercentDueTwentyTwentySixMember 2022-01-01 2022-06-30 0001070985 cxw:LansingCorrectional</w:t>
      </w:r>
      <w:r>
        <w:rPr>
          <w:rFonts w:eastAsia="Times New Roman"/>
          <w:vanish/>
        </w:rPr>
        <w:t>CenterNonRecourseMortgageNoteFourPointFourThreePercentDueTwentyFortyMember 2022-01-01 2022-06-30 0001070985 us-gaap:RevolvingCreditFacilityMember srt:MinimumMember us-gaap:BaseRateMember 2022-05-11 2022-05-12 0001070985 us-gaap:RevolvingCreditFacilityMembe</w:t>
      </w:r>
      <w:r>
        <w:rPr>
          <w:rFonts w:eastAsia="Times New Roman"/>
          <w:vanish/>
        </w:rPr>
        <w:t>r srt:MaximumMember us-gaap:BaseRateMember 2022-05-11 2022-05-12 0001070985 us-gaap:RevolvingCreditFacilityMember srt:MinimumMember cxw:BloombergShortTermBankYieldIndexMember 2022-05-11 2022-05-12 0001070985 us-gaap:RevolvingCreditFacilityMember srt:Maximu</w:t>
      </w:r>
      <w:r>
        <w:rPr>
          <w:rFonts w:eastAsia="Times New Roman"/>
          <w:vanish/>
        </w:rPr>
        <w:t>mMember cxw:BloombergShortTermBankYieldIndexMember 2022-05-11 2022-05-12 0001070985 cxw:CreditAgreementMember 2022-05-12 0001070985 cxw:CreditAgreementMember cxw:TermLoanADueInMayTwentyTwentySixMember 2022-05-12 0001070985 us-gaap:RevolvingCreditFacilityMe</w:t>
      </w:r>
      <w:r>
        <w:rPr>
          <w:rFonts w:eastAsia="Times New Roman"/>
          <w:vanish/>
        </w:rPr>
        <w:t xml:space="preserve">mber cxw:CreditAgreementMember 2022-05-12 0001070985 cxw:PreviousBankCreditFacilityMember 2022-05-12 0001070985 cxw:PreviousBankCreditFacilityMember cxw:TermLoanADueInAprilTwentyTwentyThreeMember 2022-05-12 0001070985 us-gaap:RevolvingCreditFacilityMember </w:t>
      </w:r>
      <w:r>
        <w:rPr>
          <w:rFonts w:eastAsia="Times New Roman"/>
          <w:vanish/>
        </w:rPr>
        <w:t>cxw:PreviousBankCreditFacilityMember 2022-05-12 0001070985 cxw:CreditAgreementMember 2022-05-11 2022-05-12 0001070985 cxw:PreviousBankCreditFacilityMember 2022-05-11 2022-05-12 0001070985 cxw:NewRevolvingCreditFacilityMember 2022-05-12 0001070985 cxw:Previ</w:t>
      </w:r>
      <w:r>
        <w:rPr>
          <w:rFonts w:eastAsia="Times New Roman"/>
          <w:vanish/>
        </w:rPr>
        <w:t>ousBankCreditFacilityMember 2022-04-01 2022-06-30 0001070985 cxw:NewRevolvingCreditFacilityMember 2022-01-01 2022-06-30 0001070985 cxw:NewRevolvingCreditFacilityMember 2022-06-30 0001070985 us-gaap:RevolvingCreditFacilityMember us-gaap:BaseRateMember 2022-</w:t>
      </w:r>
      <w:r>
        <w:rPr>
          <w:rFonts w:eastAsia="Times New Roman"/>
          <w:vanish/>
        </w:rPr>
        <w:t>01-01 2022-06-30 0001070985 us-gaap:RevolvingCreditFacilityMember cxw:BloombergShortTermBankYieldIndexMember 2022-01-01 2022-06-30 0001070985 cxw:TermLoanAMember 2022-06-30 0001070985 us-gaap:RevolvingCreditFacilityMember srt:MaximumMember 2022-05-11 2022-</w:t>
      </w:r>
      <w:r>
        <w:rPr>
          <w:rFonts w:eastAsia="Times New Roman"/>
          <w:vanish/>
        </w:rPr>
        <w:t>05-12 0001070985 cxw:PreviousBankCreditFacilityMember srt:MaximumMember 2022-05-11 2022-05-12 0001070985 us-gaap:RevolvingCreditFacilityMember srt:MaximumMember 2022-05-12 0001070985 us-gaap:RevolvingCreditFacilityMember srt:MinimumMember 2022-05-11 2022-0</w:t>
      </w:r>
      <w:r>
        <w:rPr>
          <w:rFonts w:eastAsia="Times New Roman"/>
          <w:vanish/>
        </w:rPr>
        <w:t>5-12 0001070985 cxw:PreviousBankCreditFacilityMember srt:MinimumMember 2022-05-11 2022-05-12 0001070985 us-gaap:RevolvingCreditFacilityMember 2022-05-12 0001070985 us-gaap:RevolvingCreditFacilityMember 2022-05-11 2022-05-12 0001070985 cxw:TermLoanBDueInDec</w:t>
      </w:r>
      <w:r>
        <w:rPr>
          <w:rFonts w:eastAsia="Times New Roman"/>
          <w:vanish/>
        </w:rPr>
        <w:t>emberTwentyTwentyFourMember 2019-12-18 0001070985 us-gaap:LondonInterbankOfferedRateLIBORMember cxw:TermLoanBDueInDecemberTwentyTwentyFourMember 2019-12-18 2019-12-18 0001070985 cxw:TermLoanBDueInDecemberTwentyTwentyFourMember 2022-05-19 2022-05-19 0001070</w:t>
      </w:r>
      <w:r>
        <w:rPr>
          <w:rFonts w:eastAsia="Times New Roman"/>
          <w:vanish/>
        </w:rPr>
        <w:t>985 cxw:TermLoanBDueInDecemberTwentyTwentyFourMember 2019-12-18 2019-12-18 0001070985 us-gaap:LondonInterbankOfferedRateLIBORMember cxw:TermLoanBDueInDecemberTwentyTwentyFourMember 2019-12-18 0001070985 us-gaap:BaseRateMember cxw:TermLoanBDueInDecemberTwen</w:t>
      </w:r>
      <w:r>
        <w:rPr>
          <w:rFonts w:eastAsia="Times New Roman"/>
          <w:vanish/>
        </w:rPr>
        <w:t>tyTwentyFourMember 2019-12-18 2019-12-18 0001070985 cxw:TermLoanBDueInDecemberTwentyTwentyFourMember 2021-10-01 2021-10-31 0001070985 cxw:SeniorNotesFourPointSixTwentyFivePercentDueTwentyTwentyThreeMember 2013-04-01 2013-04-30 0001070985 cxw:SeniorNotesFou</w:t>
      </w:r>
      <w:r>
        <w:rPr>
          <w:rFonts w:eastAsia="Times New Roman"/>
          <w:vanish/>
        </w:rPr>
        <w:t>rPointSixTwentyFivePercentDueTwentyTwentyThreeMember 2013-04-30 0001070985 cxw:SeniorNotesFourPointSeventyFivePercentDueTwentyTwentySevenMember 2017-10-31 0001070985 cxw:SeniorNotesEightPointTwoFivePercentDueTwentyTwentySixMember 2021-04-30 0001070985 cxw:</w:t>
      </w:r>
      <w:r>
        <w:rPr>
          <w:rFonts w:eastAsia="Times New Roman"/>
          <w:vanish/>
        </w:rPr>
        <w:t>SeniorNotesFourPointSeventyFivePercentDueTwentyTwentySevenMember 2017-10-01 2017-10-31 0001070985 cxw:SeniorNotesEightPointTwoFivePercentDueTwentyTwentySixMember 2021-04-01 2021-04-30 0001070985 cxw:SeniorNotesEightPointTwoFivePercentDueTwentyTwentySixMemb</w:t>
      </w:r>
      <w:r>
        <w:rPr>
          <w:rFonts w:eastAsia="Times New Roman"/>
          <w:vanish/>
        </w:rPr>
        <w:t xml:space="preserve">er 2021-09-30 0001070985 cxw:SeniorNotesEightPointTwoFivePercentDueTwentyTwentySixMember 2021-04-14 0001070985 cxw:SeniorNotesEightPointTwoFivePercentDueTwentyTwentySixMember us-gaap:DebtInstrumentRedemptionPeriodOneMember 2022-01-01 2022-06-30 0001070985 </w:t>
      </w:r>
      <w:r>
        <w:rPr>
          <w:rFonts w:eastAsia="Times New Roman"/>
          <w:vanish/>
        </w:rPr>
        <w:t>cxw:SeniorNotesEightPointTwoFivePercentDueTwentyTwentySixMember us-gaap:DebtInstrumentRedemptionPeriodTwoMember 2022-01-01 2022-06-30 0001070985 cxw:OriginalSeniorNotesEightPointTwoFivePercentDueTwentyTwentySixMember 2021-04-14 0001070985 cxw:OriginalSenio</w:t>
      </w:r>
      <w:r>
        <w:rPr>
          <w:rFonts w:eastAsia="Times New Roman"/>
          <w:vanish/>
        </w:rPr>
        <w:t>rNotesEightPointTwoFivePercentDueTwentyTwentySixMember 2021-04-14 2021-04-14 0001070985 cxw:SeniorNotesFivePointZeroPercentMember 2021-04-14 0001070985 cxw:SeniorNotesFivePointZeroPercentMember 2021-04-14 2021-04-14 0001070985 cxw:SeniorNotesFourPointSixTw</w:t>
      </w:r>
      <w:r>
        <w:rPr>
          <w:rFonts w:eastAsia="Times New Roman"/>
          <w:vanish/>
        </w:rPr>
        <w:t>oFivePercentageMember 2021-04-14 0001070985 cxw:SeniorNotesFourPointSixTwoFivePercentageMember 2022-06-30 0001070985 cxw:SeniorNotesFourPointSixTwoFivePercentageMember 2021-04-14 2021-04-14 0001070985 cxw:SeniorNotesFourPointSixTwoFivePercentageMember srt:</w:t>
      </w:r>
      <w:r>
        <w:rPr>
          <w:rFonts w:eastAsia="Times New Roman"/>
          <w:vanish/>
        </w:rPr>
        <w:t>MaximumMember 2021-04-14 0001070985 cxw:SeniorNotesFourPointSixTwoFivePercentageMember srt:MinimumMember 2021-04-14 0001070985 cxw:SeniorNotesFourPointSixTwoFivePercentageMember 2021-06-30 0001070985 cxw:SeniorNotesFourPointSixTwoFivePercentageMember 2021-</w:t>
      </w:r>
      <w:r>
        <w:rPr>
          <w:rFonts w:eastAsia="Times New Roman"/>
          <w:vanish/>
        </w:rPr>
        <w:t>12-31 0001070985 cxw:FivePointZeroPercentageAndFourPointSixTwoFivePercentageSeniorNotesMember 2021-04-01 2021-06-30 0001070985 cxw:AdditionalSeniorNotesEightPointTwoFivePercentDueTwentyTwentySixMember 2021-09-29 0001070985 cxw:AdditionalSeniorNotesEightPoi</w:t>
      </w:r>
      <w:r>
        <w:rPr>
          <w:rFonts w:eastAsia="Times New Roman"/>
          <w:vanish/>
        </w:rPr>
        <w:t>ntTwoFivePercentDueTwentyTwentySixMember 2021-09-29 2021-09-29 0001070985 cxw:SeniorNotesEightPointTwoFivePercentDueTwentyTwentySixMember 2021-09-29 0001070985 us-gaap:PrivatePlacementMember cxw:NonRecourseSeniorSecuredNotesMember 2018-04-20 0001070985 us-</w:t>
      </w:r>
      <w:r>
        <w:rPr>
          <w:rFonts w:eastAsia="Times New Roman"/>
          <w:vanish/>
        </w:rPr>
        <w:t>gaap:PrivatePlacementMember cxw:NonRecourseSeniorSecuredNotesMember 2018-04-19 2018-04-20 0001070985 us-gaap:PrivatePlacementMember cxw:NonRecourseSeniorSecuredNotesMember 2022-06-30 0001070985 2022-05-12 0001070985 us-gaap:SubsequentEventMember srt:Maximu</w:t>
      </w:r>
      <w:r>
        <w:rPr>
          <w:rFonts w:eastAsia="Times New Roman"/>
          <w:vanish/>
        </w:rPr>
        <w:t>mMember 2022-08-02 2022-08-02 0001070985 us-gaap:SubsequentEventMember srt:MaximumMember 2022-08-02 0001070985 2022-05-13 2022-06-30 0001070985 cxw:EmployeesAndNonEmployeeDirectorsMember us-gaap:RestrictedStockMember 2022-01-01 2022-06-30 0001070985 us-gaa</w:t>
      </w:r>
      <w:r>
        <w:rPr>
          <w:rFonts w:eastAsia="Times New Roman"/>
          <w:vanish/>
        </w:rPr>
        <w:t>p:RestrictedStockMember 2022-01-01 2022-06-30 0001070985 cxw:EmployeesAndNonEmployeeDirectorsMember us-gaap:GeneralAndAdministrativeExpenseMember us-gaap:RestrictedStockMember 2022-01-01 2022-06-30 0001070985 cxw:EmployeeMember us-gaap:OperatingExpenseMemb</w:t>
      </w:r>
      <w:r>
        <w:rPr>
          <w:rFonts w:eastAsia="Times New Roman"/>
          <w:vanish/>
        </w:rPr>
        <w:t>er us-gaap:RestrictedStockMember 2022-01-01 2022-06-30 0001070985 cxw:EmployeesAndNonEmployeeDirectorsMember us-gaap:RestrictedStockMember 2021-01-01 2021-12-31 0001070985 us-gaap:RestrictedStockMember 2021-01-01 2021-12-31 0001070985 cxw:EmployeesAndNonEm</w:t>
      </w:r>
      <w:r>
        <w:rPr>
          <w:rFonts w:eastAsia="Times New Roman"/>
          <w:vanish/>
        </w:rPr>
        <w:t>ployeeDirectorsMember us-gaap:GeneralAndAdministrativeExpenseMember us-gaap:RestrictedStockMember 2021-01-01 2021-12-31 0001070985 cxw:EmployeeMember us-gaap:OperatingExpenseMember us-gaap:RestrictedStockMember 2021-01-01 2021-12-31 0001070985 us-gaap:Rest</w:t>
      </w:r>
      <w:r>
        <w:rPr>
          <w:rFonts w:eastAsia="Times New Roman"/>
          <w:vanish/>
        </w:rPr>
        <w:t>rictedStockMember cxw:OfficersAndExecutiveOfficersMember 2022-01-01 2022-06-30 0001070985 us-gaap:RestrictedStockMember srt:MinimumMember 2022-01-01 2022-06-30 0001070985 us-gaap:RestrictedStockMember srt:MaximumMember 2022-01-01 2022-06-30 0001070985 us-g</w:t>
      </w:r>
      <w:r>
        <w:rPr>
          <w:rFonts w:eastAsia="Times New Roman"/>
          <w:vanish/>
        </w:rPr>
        <w:t>aap:RestrictedStockMember cxw:OtherEmployeesMember 2022-01-01 2022-06-30 0001070985 us-gaap:RestrictedStockMember cxw:NonEmployeeDirectorsMember 2022-01-01 2022-06-30 0001070985 us-gaap:RestrictedStockMember 2022-04-01 2022-06-30 0001070985 us-gaap:Restric</w:t>
      </w:r>
      <w:r>
        <w:rPr>
          <w:rFonts w:eastAsia="Times New Roman"/>
          <w:vanish/>
        </w:rPr>
        <w:t>tedStockMember 2021-04-01 2021-06-30 0001070985 us-gaap:OperatingExpenseMember us-gaap:RestrictedStockMember 2022-04-01 2022-06-30 0001070985 us-gaap:OperatingExpenseMember us-gaap:RestrictedStockMember 2021-04-01 2021-06-30 0001070985 us-gaap:GeneralAndAd</w:t>
      </w:r>
      <w:r>
        <w:rPr>
          <w:rFonts w:eastAsia="Times New Roman"/>
          <w:vanish/>
        </w:rPr>
        <w:t>ministrativeExpenseMember us-gaap:RestrictedStockMember 2022-04-01 2022-06-30 0001070985 us-gaap:GeneralAndAdministrativeExpenseMember us-gaap:RestrictedStockMember 2021-04-01 2021-06-30 0001070985 us-gaap:RestrictedStockMember 2021-01-01 2021-06-30 000107</w:t>
      </w:r>
      <w:r>
        <w:rPr>
          <w:rFonts w:eastAsia="Times New Roman"/>
          <w:vanish/>
        </w:rPr>
        <w:t>0985 us-gaap:OperatingExpenseMember us-gaap:RestrictedStockMember 2022-01-01 2022-06-30 0001070985 us-gaap:OperatingExpenseMember us-gaap:RestrictedStockMember 2021-01-01 2021-06-30 0001070985 us-gaap:GeneralAndAdministrativeExpenseMember us-gaap:Restricte</w:t>
      </w:r>
      <w:r>
        <w:rPr>
          <w:rFonts w:eastAsia="Times New Roman"/>
          <w:vanish/>
        </w:rPr>
        <w:t>dStockMember 2022-01-01 2022-06-30 0001070985 us-gaap:GeneralAndAdministrativeExpenseMember us-gaap:RestrictedStockMember 2021-01-01 2021-06-30 0001070985 us-gaap:RestrictedStockMember 2022-06-30 0001070985 cxw:OperatingPartnershipUnitMember 2021-04-01 202</w:t>
      </w:r>
      <w:r>
        <w:rPr>
          <w:rFonts w:eastAsia="Times New Roman"/>
          <w:vanish/>
        </w:rPr>
        <w:t>1-06-30 0001070985 us-gaap:RestrictedStockMember 2021-01-01 2021-06-30 0001070985 cxw:OperatingPartnershipUnitMember 2021-01-01 2021-06-30 0001070985 us-gaap:EmployeeStockOptionMember 2022-04-01 2022-06-30 0001070985 us-gaap:EmployeeStockOptionMember 2021-</w:t>
      </w:r>
      <w:r>
        <w:rPr>
          <w:rFonts w:eastAsia="Times New Roman"/>
          <w:vanish/>
        </w:rPr>
        <w:t>04-01 2021-06-30 0001070985 us-gaap:EmployeeStockOptionMember 2022-01-01 2022-06-30 0001070985 us-gaap:EmployeeStockOptionMember 2021-01-01 2021-06-30 0001070985 2021-05-01 2021-05-31 0001070985 2020-01-01 2020-12-31 0001070985 cxw:ResultingFromRevaluation</w:t>
      </w:r>
      <w:r>
        <w:rPr>
          <w:rFonts w:eastAsia="Times New Roman"/>
          <w:vanish/>
        </w:rPr>
        <w:t>OfDeferredTaxLiabilitiesMember 2021-01-01 2021-06-30 0001070985 us-gaap:OperatingSegmentsMember cxw:SafetySegmentMember 2022-04-01 2022-06-30 0001070985 us-gaap:OperatingSegmentsMember cxw:SafetySegmentMember 2021-04-01 2021-06-30 0001070985 us-gaap:Operat</w:t>
      </w:r>
      <w:r>
        <w:rPr>
          <w:rFonts w:eastAsia="Times New Roman"/>
          <w:vanish/>
        </w:rPr>
        <w:t xml:space="preserve">ingSegmentsMember cxw:SafetySegmentMember 2022-01-01 2022-06-30 0001070985 us-gaap:OperatingSegmentsMember cxw:SafetySegmentMember 2021-01-01 2021-06-30 0001070985 us-gaap:OperatingSegmentsMember cxw:CommunitySegmentMember 2022-04-01 2022-06-30 0001070985 </w:t>
      </w:r>
      <w:r>
        <w:rPr>
          <w:rFonts w:eastAsia="Times New Roman"/>
          <w:vanish/>
        </w:rPr>
        <w:t>us-gaap:OperatingSegmentsMember cxw:CommunitySegmentMember 2021-04-01 2021-06-30 0001070985 us-gaap:OperatingSegmentsMember cxw:CommunitySegmentMember 2022-01-01 2022-06-30 0001070985 us-gaap:OperatingSegmentsMember cxw:CommunitySegmentMember 2021-01-01 20</w:t>
      </w:r>
      <w:r>
        <w:rPr>
          <w:rFonts w:eastAsia="Times New Roman"/>
          <w:vanish/>
        </w:rPr>
        <w:t>21-06-30 0001070985 us-gaap:OperatingSegmentsMember cxw:PropertiesSegmentMember 2022-04-01 2022-06-30 0001070985 us-gaap:OperatingSegmentsMember cxw:PropertiesSegmentMember 2021-04-01 2021-06-30 0001070985 us-gaap:OperatingSegmentsMember cxw:PropertiesSegm</w:t>
      </w:r>
      <w:r>
        <w:rPr>
          <w:rFonts w:eastAsia="Times New Roman"/>
          <w:vanish/>
        </w:rPr>
        <w:t>entMember 2022-01-01 2022-06-30 0001070985 us-gaap:OperatingSegmentsMember cxw:PropertiesSegmentMember 2021-01-01 2021-06-30 0001070985 us-gaap:OperatingSegmentsMember 2022-04-01 2022-06-30 0001070985 us-gaap:OperatingSegmentsMember 2021-04-01 2021-06-30 0</w:t>
      </w:r>
      <w:r>
        <w:rPr>
          <w:rFonts w:eastAsia="Times New Roman"/>
          <w:vanish/>
        </w:rPr>
        <w:t>001070985 us-gaap:OperatingSegmentsMember 2022-01-01 2022-06-30 0001070985 us-gaap:OperatingSegmentsMember 2021-01-01 2021-06-30 0001070985 us-gaap:MaterialReconcilingItemsMember us-gaap:OtherIncomeMember 2022-04-01 2022-06-30 0001070985 us-gaap:MaterialRe</w:t>
      </w:r>
      <w:r>
        <w:rPr>
          <w:rFonts w:eastAsia="Times New Roman"/>
          <w:vanish/>
        </w:rPr>
        <w:t>concilingItemsMember us-gaap:OtherIncomeMember 2021-04-01 2021-06-30 0001070985 us-gaap:MaterialReconcilingItemsMember us-gaap:OtherIncomeMember 2022-01-01 2022-06-30 0001070985 us-gaap:MaterialReconcilingItemsMember us-gaap:OtherIncomeMember 2021-01-01 20</w:t>
      </w:r>
      <w:r>
        <w:rPr>
          <w:rFonts w:eastAsia="Times New Roman"/>
          <w:vanish/>
        </w:rPr>
        <w:t>21-06-30 0001070985 us-gaap:MaterialReconcilingItemsMember 2022-04-01 2022-06-30 0001070985 us-gaap:MaterialReconcilingItemsMember 2021-04-01 2021-06-30 0001070985 us-gaap:MaterialReconcilingItemsMember 2022-01-01 2022-06-30 0001070985 us-gaap:MaterialReco</w:t>
      </w:r>
      <w:r>
        <w:rPr>
          <w:rFonts w:eastAsia="Times New Roman"/>
          <w:vanish/>
        </w:rPr>
        <w:t>ncilingItemsMember 2021-01-01 2021-06-30 0001070985 cxw:SafetySegmentMember 2022-04-01 2022-06-30 0001070985 cxw:SafetySegmentMember 2021-04-01 2021-06-30 0001070985 cxw:SafetySegmentMember 2022-01-01 2022-06-30 0001070985 cxw:SafetySegmentMember 2021-01-0</w:t>
      </w:r>
      <w:r>
        <w:rPr>
          <w:rFonts w:eastAsia="Times New Roman"/>
          <w:vanish/>
        </w:rPr>
        <w:t>1 2021-06-30 0001070985 cxw:CommunitySegmentMember 2022-04-01 2022-06-30 0001070985 cxw:CommunitySegmentMember 2021-04-01 2021-06-30 0001070985 cxw:CommunitySegmentMember 2022-01-01 2022-06-30 0001070985 cxw:CommunitySegmentMember 2021-01-01 2021-06-30 000</w:t>
      </w:r>
      <w:r>
        <w:rPr>
          <w:rFonts w:eastAsia="Times New Roman"/>
          <w:vanish/>
        </w:rPr>
        <w:t>1070985 cxw:PropertiesSegmentMember 2022-04-01 2022-06-30 0001070985 cxw:PropertiesSegmentMember 2021-04-01 2021-06-30 0001070985 cxw:PropertiesSegmentMember 2022-01-01 2022-06-30 0001070985 cxw:PropertiesSegmentMember 2021-01-01 2021-06-30 0001070985 us-g</w:t>
      </w:r>
      <w:r>
        <w:rPr>
          <w:rFonts w:eastAsia="Times New Roman"/>
          <w:vanish/>
        </w:rPr>
        <w:t xml:space="preserve">aap:CorporateAndOtherMember 2022-04-01 2022-06-30 0001070985 us-gaap:CorporateAndOtherMember 2021-04-01 2021-06-30 0001070985 us-gaap:CorporateAndOtherMember 2022-01-01 2022-06-30 0001070985 us-gaap:CorporateAndOtherMember 2021-01-01 2021-06-30 0001070985 </w:t>
      </w:r>
      <w:r>
        <w:rPr>
          <w:rFonts w:eastAsia="Times New Roman"/>
          <w:vanish/>
        </w:rPr>
        <w:t xml:space="preserve">cxw:CommunitySegmentMember 2021-12-31 0001070985 cxw:PropertiesSegmentMember 2021-12-31 0001070985 us-gaap:CorporateAndOtherMember 2022-06-30 0001070985 us-gaap:CorporateAndOtherMember 2021-12-31 </w:t>
      </w:r>
    </w:p>
    <w:p w:rsidR="00000000" w:rsidRDefault="00E35CFB">
      <w:pPr>
        <w:pStyle w:val="a3"/>
        <w:pBdr>
          <w:bottom w:val="double" w:sz="6" w:space="1" w:color="auto"/>
        </w:pBdr>
        <w:spacing w:before="0" w:beforeAutospacing="0" w:after="0" w:afterAutospacing="0"/>
        <w:rPr>
          <w:b/>
          <w:bCs/>
          <w:sz w:val="8"/>
          <w:szCs w:val="8"/>
        </w:rPr>
      </w:pPr>
      <w:r>
        <w:rPr>
          <w:b/>
          <w:bCs/>
          <w:sz w:val="8"/>
          <w:szCs w:val="8"/>
        </w:rPr>
        <w:t> </w:t>
      </w:r>
    </w:p>
    <w:p w:rsidR="00000000" w:rsidRDefault="00E35CFB">
      <w:pPr>
        <w:pStyle w:val="a3"/>
        <w:spacing w:before="80" w:beforeAutospacing="0" w:after="0" w:afterAutospacing="0"/>
        <w:jc w:val="center"/>
        <w:rPr>
          <w:b/>
          <w:bCs/>
          <w:sz w:val="36"/>
          <w:szCs w:val="36"/>
        </w:rPr>
      </w:pPr>
      <w:r>
        <w:rPr>
          <w:b/>
          <w:bCs/>
          <w:sz w:val="36"/>
          <w:szCs w:val="36"/>
        </w:rPr>
        <w:t>UNITED STATES</w:t>
      </w:r>
    </w:p>
    <w:p w:rsidR="00000000" w:rsidRDefault="00E35CFB">
      <w:pPr>
        <w:pStyle w:val="a3"/>
        <w:spacing w:before="0" w:beforeAutospacing="0" w:after="0" w:afterAutospacing="0"/>
        <w:jc w:val="center"/>
        <w:rPr>
          <w:b/>
          <w:bCs/>
          <w:sz w:val="36"/>
          <w:szCs w:val="36"/>
        </w:rPr>
      </w:pPr>
      <w:r>
        <w:rPr>
          <w:b/>
          <w:bCs/>
          <w:sz w:val="36"/>
          <w:szCs w:val="36"/>
        </w:rPr>
        <w:t>SECURITIES AND EXCHANGE COMMISSION</w:t>
      </w:r>
    </w:p>
    <w:p w:rsidR="00000000" w:rsidRDefault="00E35CFB">
      <w:pPr>
        <w:pStyle w:val="a3"/>
        <w:spacing w:before="0" w:beforeAutospacing="0" w:after="0" w:afterAutospacing="0"/>
        <w:jc w:val="center"/>
        <w:rPr>
          <w:b/>
          <w:bCs/>
        </w:rPr>
      </w:pPr>
      <w:r>
        <w:rPr>
          <w:b/>
          <w:bCs/>
        </w:rPr>
        <w:t>WASHINGT</w:t>
      </w:r>
      <w:r>
        <w:rPr>
          <w:b/>
          <w:bCs/>
        </w:rPr>
        <w:t>ON, D.C.  20549</w:t>
      </w:r>
    </w:p>
    <w:p w:rsidR="00000000" w:rsidRDefault="00E35CFB">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E35CFB">
      <w:pPr>
        <w:pStyle w:val="a3"/>
        <w:spacing w:before="0" w:beforeAutospacing="0" w:after="0" w:afterAutospacing="0"/>
        <w:jc w:val="center"/>
        <w:rPr>
          <w:b/>
          <w:bCs/>
          <w:sz w:val="36"/>
          <w:szCs w:val="36"/>
        </w:rPr>
      </w:pPr>
      <w:r>
        <w:rPr>
          <w:b/>
          <w:bCs/>
          <w:sz w:val="36"/>
          <w:szCs w:val="36"/>
        </w:rPr>
        <w:t>FORM 10-Q</w:t>
      </w:r>
    </w:p>
    <w:p w:rsidR="00000000" w:rsidRDefault="00E35CFB">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24274324"/>
        </w:trPr>
        <w:tc>
          <w:tcPr>
            <w:tcW w:w="227" w:type="pct"/>
            <w:noWrap/>
            <w:hideMark/>
          </w:tcPr>
          <w:p w:rsidR="00000000" w:rsidRDefault="00E35CFB">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E35CFB">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EXCHANGE ACT OF 1934</w:t>
            </w:r>
          </w:p>
        </w:tc>
      </w:tr>
    </w:tbl>
    <w:p w:rsidR="00000000" w:rsidRDefault="00E35CFB">
      <w:pPr>
        <w:pStyle w:val="a3"/>
        <w:spacing w:before="40" w:beforeAutospacing="0" w:after="0" w:afterAutospacing="0"/>
        <w:jc w:val="center"/>
        <w:rPr>
          <w:b/>
          <w:bCs/>
          <w:sz w:val="20"/>
          <w:szCs w:val="20"/>
        </w:rPr>
      </w:pPr>
      <w:r>
        <w:rPr>
          <w:b/>
          <w:bCs/>
          <w:sz w:val="20"/>
          <w:szCs w:val="20"/>
        </w:rPr>
        <w:t>FOR THE QUARTERLY PERIOD ENDED:  JUNE 30, 2022</w:t>
      </w:r>
    </w:p>
    <w:p w:rsidR="00000000" w:rsidRDefault="00E35CFB">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82194086"/>
        </w:trPr>
        <w:tc>
          <w:tcPr>
            <w:tcW w:w="227" w:type="pct"/>
            <w:noWrap/>
            <w:hideMark/>
          </w:tcPr>
          <w:p w:rsidR="00000000" w:rsidRDefault="00E35CFB">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E35CFB">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E35CFB">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sz w:val="20"/>
          <w:szCs w:val="20"/>
        </w:rPr>
        <w:t xml:space="preserve"> </w:t>
      </w:r>
      <w:r>
        <w:rPr>
          <w:rFonts w:ascii="Calibri" w:hAnsi="Calibri" w:cs="Calibri"/>
          <w:b/>
          <w:bCs/>
          <w:sz w:val="20"/>
          <w:szCs w:val="20"/>
          <w:u w:val="single"/>
        </w:rPr>
        <w:t>          </w:t>
      </w:r>
      <w:r>
        <w:rPr>
          <w:rFonts w:ascii="Calibri" w:hAnsi="Calibri" w:cs="Calibri"/>
          <w:b/>
          <w:bCs/>
          <w:sz w:val="20"/>
          <w:szCs w:val="20"/>
        </w:rPr>
        <w:t xml:space="preserve"> </w:t>
      </w:r>
      <w:r>
        <w:rPr>
          <w:b/>
          <w:bCs/>
          <w:sz w:val="20"/>
          <w:szCs w:val="20"/>
        </w:rPr>
        <w:t>TO</w:t>
      </w:r>
      <w:r>
        <w:rPr>
          <w:rFonts w:ascii="Calibri" w:hAnsi="Calibri" w:cs="Calibri"/>
          <w:b/>
          <w:bCs/>
          <w:sz w:val="20"/>
          <w:szCs w:val="20"/>
        </w:rPr>
        <w:t xml:space="preserve"> </w:t>
      </w:r>
      <w:r>
        <w:rPr>
          <w:rFonts w:ascii="Calibri" w:hAnsi="Calibri" w:cs="Calibri"/>
          <w:b/>
          <w:bCs/>
          <w:sz w:val="20"/>
          <w:szCs w:val="20"/>
          <w:u w:val="single"/>
        </w:rPr>
        <w:t>          </w:t>
      </w:r>
    </w:p>
    <w:p w:rsidR="00000000" w:rsidRDefault="00E35CFB">
      <w:pPr>
        <w:pStyle w:val="a3"/>
        <w:spacing w:before="0" w:beforeAutospacing="0" w:after="0" w:afterAutospacing="0"/>
        <w:jc w:val="center"/>
        <w:rPr>
          <w:b/>
          <w:bCs/>
          <w:sz w:val="20"/>
          <w:szCs w:val="20"/>
        </w:rPr>
      </w:pPr>
      <w:r>
        <w:rPr>
          <w:b/>
          <w:bCs/>
          <w:sz w:val="20"/>
          <w:szCs w:val="20"/>
        </w:rPr>
        <w:t>COMMISSION FILE NUMBER: 001-16109</w:t>
      </w:r>
    </w:p>
    <w:p w:rsidR="00000000" w:rsidRDefault="00E35CFB">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E35CFB">
      <w:pPr>
        <w:pStyle w:val="a3"/>
        <w:spacing w:before="0" w:beforeAutospacing="0" w:after="0" w:afterAutospacing="0"/>
        <w:jc w:val="center"/>
        <w:rPr>
          <w:b/>
          <w:bCs/>
          <w:sz w:val="48"/>
          <w:szCs w:val="48"/>
        </w:rPr>
      </w:pPr>
      <w:r>
        <w:rPr>
          <w:b/>
          <w:bCs/>
          <w:sz w:val="48"/>
          <w:szCs w:val="48"/>
        </w:rPr>
        <w:t>CORECIVIC, INC.</w:t>
      </w:r>
    </w:p>
    <w:p w:rsidR="00000000" w:rsidRDefault="00E35CFB">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E35CF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E35CFB">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62823774"/>
        </w:trPr>
        <w:tc>
          <w:tcPr>
            <w:tcW w:w="2500" w:type="pct"/>
            <w:shd w:val="clear" w:color="auto" w:fill="FFFFFF"/>
            <w:hideMark/>
          </w:tcPr>
          <w:p w:rsidR="00000000" w:rsidRDefault="00E35CFB">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E35CFB">
            <w:pPr>
              <w:pStyle w:val="a3"/>
              <w:spacing w:before="0" w:beforeAutospacing="0" w:after="0" w:afterAutospacing="0"/>
              <w:jc w:val="center"/>
              <w:rPr>
                <w:b/>
                <w:bCs/>
                <w:sz w:val="20"/>
                <w:szCs w:val="20"/>
              </w:rPr>
            </w:pPr>
            <w:r>
              <w:rPr>
                <w:b/>
                <w:bCs/>
                <w:sz w:val="20"/>
                <w:szCs w:val="20"/>
              </w:rPr>
              <w:t>62-1763875</w:t>
            </w:r>
          </w:p>
        </w:tc>
      </w:tr>
      <w:tr w:rsidR="00000000">
        <w:trPr>
          <w:divId w:val="162823774"/>
        </w:trPr>
        <w:tc>
          <w:tcPr>
            <w:tcW w:w="2500" w:type="pct"/>
            <w:shd w:val="clear" w:color="auto" w:fill="FFFFFF"/>
            <w:hideMark/>
          </w:tcPr>
          <w:p w:rsidR="00000000" w:rsidRDefault="00E35CFB">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E35CFB">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E35CFB">
            <w:pPr>
              <w:pStyle w:val="a3"/>
              <w:spacing w:before="0" w:beforeAutospacing="0" w:after="0" w:afterAutospacing="0"/>
              <w:jc w:val="center"/>
              <w:rPr>
                <w:b/>
                <w:bCs/>
                <w:sz w:val="16"/>
                <w:szCs w:val="16"/>
              </w:rPr>
            </w:pPr>
            <w:r>
              <w:rPr>
                <w:b/>
                <w:bCs/>
                <w:sz w:val="16"/>
                <w:szCs w:val="16"/>
              </w:rPr>
              <w:t xml:space="preserve">(I.R.S. Employer </w:t>
            </w:r>
          </w:p>
          <w:p w:rsidR="00000000" w:rsidRDefault="00E35CFB">
            <w:pPr>
              <w:pStyle w:val="a3"/>
              <w:spacing w:before="0" w:beforeAutospacing="0" w:after="0" w:afterAutospacing="0"/>
              <w:jc w:val="center"/>
              <w:rPr>
                <w:b/>
                <w:bCs/>
                <w:sz w:val="16"/>
                <w:szCs w:val="16"/>
              </w:rPr>
            </w:pPr>
            <w:r>
              <w:rPr>
                <w:b/>
                <w:bCs/>
                <w:sz w:val="16"/>
                <w:szCs w:val="16"/>
              </w:rPr>
              <w:t>Identification Number)</w:t>
            </w:r>
          </w:p>
        </w:tc>
      </w:tr>
      <w:tr w:rsidR="00000000">
        <w:trPr>
          <w:divId w:val="162823774"/>
        </w:trPr>
        <w:tc>
          <w:tcPr>
            <w:tcW w:w="2500" w:type="pct"/>
            <w:shd w:val="clear" w:color="auto" w:fill="FFFFFF"/>
            <w:hideMark/>
          </w:tcPr>
          <w:p w:rsidR="00000000" w:rsidRDefault="00E35CFB">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E35CFB">
            <w:pPr>
              <w:pStyle w:val="a3"/>
              <w:spacing w:before="0" w:beforeAutospacing="0" w:after="0" w:afterAutospacing="0"/>
              <w:jc w:val="center"/>
              <w:rPr>
                <w:b/>
                <w:bCs/>
                <w:sz w:val="16"/>
                <w:szCs w:val="16"/>
              </w:rPr>
            </w:pPr>
            <w:r>
              <w:rPr>
                <w:b/>
                <w:bCs/>
                <w:sz w:val="16"/>
                <w:szCs w:val="16"/>
              </w:rPr>
              <w:t> </w:t>
            </w:r>
          </w:p>
        </w:tc>
      </w:tr>
      <w:tr w:rsidR="00000000">
        <w:trPr>
          <w:divId w:val="162823774"/>
        </w:trPr>
        <w:tc>
          <w:tcPr>
            <w:tcW w:w="2500" w:type="pct"/>
            <w:shd w:val="clear" w:color="auto" w:fill="FFFFFF"/>
            <w:hideMark/>
          </w:tcPr>
          <w:p w:rsidR="00000000" w:rsidRDefault="00E35CFB">
            <w:pPr>
              <w:pStyle w:val="a3"/>
              <w:spacing w:before="0" w:beforeAutospacing="0" w:after="0" w:afterAutospacing="0"/>
              <w:jc w:val="center"/>
              <w:rPr>
                <w:b/>
                <w:bCs/>
                <w:sz w:val="20"/>
                <w:szCs w:val="20"/>
              </w:rPr>
            </w:pPr>
            <w:r>
              <w:rPr>
                <w:b/>
                <w:bCs/>
                <w:sz w:val="20"/>
                <w:szCs w:val="20"/>
              </w:rPr>
              <w:t>5501 VIRGINIA WAY</w:t>
            </w:r>
          </w:p>
          <w:p w:rsidR="00000000" w:rsidRDefault="00E35CFB">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E35CFB">
            <w:pPr>
              <w:pStyle w:val="a3"/>
              <w:spacing w:before="0" w:beforeAutospacing="0" w:after="0" w:afterAutospacing="0"/>
              <w:jc w:val="center"/>
              <w:rPr>
                <w:b/>
                <w:bCs/>
                <w:sz w:val="20"/>
                <w:szCs w:val="20"/>
              </w:rPr>
            </w:pPr>
            <w:r>
              <w:rPr>
                <w:b/>
                <w:bCs/>
                <w:sz w:val="20"/>
                <w:szCs w:val="20"/>
              </w:rPr>
              <w:t xml:space="preserve">37027 </w:t>
            </w:r>
          </w:p>
          <w:p w:rsidR="00000000" w:rsidRDefault="00E35CFB">
            <w:pPr>
              <w:pStyle w:val="a3"/>
              <w:spacing w:before="0" w:beforeAutospacing="0" w:after="0" w:afterAutospacing="0"/>
              <w:jc w:val="center"/>
              <w:rPr>
                <w:b/>
                <w:bCs/>
                <w:sz w:val="16"/>
                <w:szCs w:val="16"/>
              </w:rPr>
            </w:pPr>
            <w:r>
              <w:rPr>
                <w:b/>
                <w:bCs/>
                <w:sz w:val="16"/>
                <w:szCs w:val="16"/>
              </w:rPr>
              <w:t>(Zip Code)</w:t>
            </w:r>
          </w:p>
        </w:tc>
      </w:tr>
      <w:tr w:rsidR="00000000">
        <w:trPr>
          <w:divId w:val="162823774"/>
        </w:trPr>
        <w:tc>
          <w:tcPr>
            <w:tcW w:w="2500" w:type="pct"/>
            <w:shd w:val="clear" w:color="auto" w:fill="FFFFFF"/>
            <w:hideMark/>
          </w:tcPr>
          <w:p w:rsidR="00000000" w:rsidRDefault="00E35CFB">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E35CFB">
            <w:pPr>
              <w:pStyle w:val="a3"/>
              <w:spacing w:before="0" w:beforeAutospacing="0" w:after="0" w:afterAutospacing="0"/>
              <w:jc w:val="center"/>
              <w:rPr>
                <w:b/>
                <w:bCs/>
                <w:sz w:val="20"/>
                <w:szCs w:val="20"/>
              </w:rPr>
            </w:pPr>
            <w:r>
              <w:rPr>
                <w:b/>
                <w:bCs/>
                <w:sz w:val="20"/>
                <w:szCs w:val="20"/>
              </w:rPr>
              <w:t> </w:t>
            </w:r>
          </w:p>
        </w:tc>
      </w:tr>
    </w:tbl>
    <w:p w:rsidR="00000000" w:rsidRDefault="00E35CFB">
      <w:pPr>
        <w:pStyle w:val="a3"/>
        <w:spacing w:before="0" w:beforeAutospacing="0" w:after="0" w:afterAutospacing="0"/>
        <w:rPr>
          <w:sz w:val="10"/>
          <w:szCs w:val="10"/>
        </w:rPr>
      </w:pPr>
      <w:r>
        <w:rPr>
          <w:sz w:val="10"/>
          <w:szCs w:val="10"/>
        </w:rPr>
        <w:t> </w:t>
      </w:r>
    </w:p>
    <w:p w:rsidR="00000000" w:rsidRDefault="00E35CFB">
      <w:pPr>
        <w:pStyle w:val="a3"/>
        <w:spacing w:before="0" w:beforeAutospacing="0" w:after="0" w:afterAutospacing="0"/>
        <w:jc w:val="center"/>
        <w:rPr>
          <w:b/>
          <w:bCs/>
          <w:sz w:val="20"/>
          <w:szCs w:val="20"/>
        </w:rPr>
      </w:pPr>
      <w:r>
        <w:rPr>
          <w:b/>
          <w:bCs/>
          <w:sz w:val="20"/>
          <w:szCs w:val="20"/>
        </w:rPr>
        <w:t>(615) 263-3000</w:t>
      </w:r>
    </w:p>
    <w:p w:rsidR="00000000" w:rsidRDefault="00E35CFB">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E35CFB">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E35CFB">
      <w:pPr>
        <w:pStyle w:val="a3"/>
        <w:spacing w:before="0" w:beforeAutospacing="0" w:afterAutospacing="0"/>
        <w:jc w:val="center"/>
        <w:rPr>
          <w:sz w:val="20"/>
          <w:szCs w:val="20"/>
        </w:rPr>
      </w:pPr>
      <w:r>
        <w:rPr>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11"/>
        <w:gridCol w:w="2075"/>
        <w:gridCol w:w="3112"/>
      </w:tblGrid>
      <w:tr w:rsidR="00000000">
        <w:trPr>
          <w:divId w:val="1232043696"/>
        </w:trPr>
        <w:tc>
          <w:tcPr>
            <w:tcW w:w="1873" w:type="pct"/>
            <w:vAlign w:val="center"/>
            <w:hideMark/>
          </w:tcPr>
          <w:p w:rsidR="00000000" w:rsidRDefault="00E35CFB">
            <w:pPr>
              <w:rPr>
                <w:sz w:val="20"/>
                <w:szCs w:val="20"/>
              </w:rPr>
            </w:pPr>
          </w:p>
        </w:tc>
        <w:tc>
          <w:tcPr>
            <w:tcW w:w="1249" w:type="pct"/>
            <w:vAlign w:val="center"/>
            <w:hideMark/>
          </w:tcPr>
          <w:p w:rsidR="00000000" w:rsidRDefault="00E35CFB">
            <w:pPr>
              <w:spacing w:before="100" w:beforeAutospacing="1" w:after="100" w:afterAutospacing="1"/>
              <w:rPr>
                <w:rFonts w:eastAsia="Times New Roman"/>
                <w:sz w:val="20"/>
                <w:szCs w:val="20"/>
              </w:rPr>
            </w:pPr>
          </w:p>
        </w:tc>
        <w:tc>
          <w:tcPr>
            <w:tcW w:w="1873" w:type="pct"/>
            <w:vAlign w:val="center"/>
            <w:hideMark/>
          </w:tcPr>
          <w:p w:rsidR="00000000" w:rsidRDefault="00E35CFB">
            <w:pPr>
              <w:spacing w:before="100" w:beforeAutospacing="1" w:after="100" w:afterAutospacing="1"/>
              <w:rPr>
                <w:rFonts w:eastAsia="Times New Roman"/>
                <w:sz w:val="20"/>
                <w:szCs w:val="20"/>
              </w:rPr>
            </w:pPr>
          </w:p>
        </w:tc>
      </w:tr>
      <w:tr w:rsidR="00000000">
        <w:trPr>
          <w:divId w:val="1232043696"/>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Name of each exchange on which registered</w:t>
            </w:r>
          </w:p>
        </w:tc>
      </w:tr>
      <w:tr w:rsidR="00000000">
        <w:trPr>
          <w:divId w:val="1232043696"/>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New York Stock Exchange</w:t>
            </w:r>
          </w:p>
        </w:tc>
      </w:tr>
    </w:tbl>
    <w:p w:rsidR="00000000" w:rsidRDefault="00E35CFB">
      <w:pPr>
        <w:pStyle w:val="a3"/>
        <w:spacing w:before="8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p>
    <w:p w:rsidR="00000000" w:rsidRDefault="00E35CFB">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E35CFB">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w:t>
      </w:r>
      <w:r>
        <w:rPr>
          <w:sz w:val="20"/>
          <w:szCs w:val="20"/>
        </w:rPr>
        <w:t>f Regulation S-T during the preceding 12 months (or for such shorter period that the registrant was required to submit such files).</w:t>
      </w:r>
    </w:p>
    <w:p w:rsidR="00000000" w:rsidRDefault="00E35CFB">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E35CFB">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w:t>
      </w:r>
      <w:r>
        <w:rPr>
          <w:sz w:val="20"/>
          <w:szCs w:val="20"/>
        </w:rPr>
        <w:t xml:space="preserve">lerated filer, a smaller reporting company, or an emerging growth company. See definitions of "large accelerated filer", "accelerated filer", "smaller reporting company", and "emerging growth company" in Rule 12b-2 of the Exchange Act. </w:t>
      </w:r>
    </w:p>
    <w:p w:rsidR="00000000" w:rsidRDefault="00E35CFB">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252160055"/>
        </w:trPr>
        <w:tc>
          <w:tcPr>
            <w:tcW w:w="1957" w:type="pct"/>
            <w:shd w:val="clear" w:color="auto" w:fill="FFFFFF"/>
            <w:vAlign w:val="bottom"/>
            <w:hideMark/>
          </w:tcPr>
          <w:p w:rsidR="00000000" w:rsidRDefault="00E35CFB">
            <w:pPr>
              <w:pStyle w:val="a3"/>
              <w:spacing w:before="0" w:beforeAutospacing="0" w:after="0" w:afterAutospacing="0"/>
              <w:rPr>
                <w:color w:val="000000"/>
                <w:sz w:val="20"/>
                <w:szCs w:val="20"/>
              </w:rPr>
            </w:pPr>
            <w:r>
              <w:rPr>
                <w:color w:val="000000"/>
                <w:sz w:val="20"/>
                <w:szCs w:val="20"/>
              </w:rPr>
              <w:t>Large accelerated</w:t>
            </w:r>
            <w:r>
              <w:rPr>
                <w:color w:val="000000"/>
                <w:sz w:val="20"/>
                <w:szCs w:val="20"/>
              </w:rPr>
              <w:t xml:space="preserve"> filer</w:t>
            </w:r>
          </w:p>
        </w:tc>
        <w:tc>
          <w:tcPr>
            <w:tcW w:w="209" w:type="pct"/>
            <w:shd w:val="clear" w:color="auto" w:fill="FFFFFF"/>
            <w:vAlign w:val="bottom"/>
            <w:hideMark/>
          </w:tcPr>
          <w:p w:rsidR="00000000" w:rsidRDefault="00E35CFB">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E35CFB">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E35CFB">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252160055"/>
        </w:trPr>
        <w:tc>
          <w:tcPr>
            <w:tcW w:w="1957" w:type="pct"/>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E35CFB">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E35CFB">
            <w:pPr>
              <w:pStyle w:val="a3"/>
              <w:spacing w:before="0" w:beforeAutospacing="0" w:after="0" w:afterAutospacing="0"/>
              <w:jc w:val="center"/>
              <w:rPr>
                <w:sz w:val="4"/>
                <w:szCs w:val="4"/>
              </w:rPr>
            </w:pPr>
            <w:r>
              <w:rPr>
                <w:sz w:val="4"/>
                <w:szCs w:val="4"/>
              </w:rPr>
              <w:t> </w:t>
            </w:r>
          </w:p>
        </w:tc>
      </w:tr>
      <w:tr w:rsidR="00000000">
        <w:trPr>
          <w:divId w:val="1252160055"/>
        </w:trPr>
        <w:tc>
          <w:tcPr>
            <w:tcW w:w="1957" w:type="pct"/>
            <w:shd w:val="clear" w:color="auto" w:fill="FFFFFF"/>
            <w:vAlign w:val="bottom"/>
            <w:hideMark/>
          </w:tcPr>
          <w:p w:rsidR="00000000" w:rsidRDefault="00E35CFB">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E35CFB">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E35CFB">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E35CFB">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E35CFB">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252160055"/>
        </w:trPr>
        <w:tc>
          <w:tcPr>
            <w:tcW w:w="1957" w:type="pct"/>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E35CFB">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E35CFB">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E35CFB">
            <w:pPr>
              <w:pStyle w:val="a3"/>
              <w:spacing w:before="0" w:beforeAutospacing="0" w:after="0" w:afterAutospacing="0"/>
              <w:jc w:val="center"/>
              <w:rPr>
                <w:sz w:val="4"/>
                <w:szCs w:val="4"/>
              </w:rPr>
            </w:pPr>
            <w:r>
              <w:rPr>
                <w:sz w:val="4"/>
                <w:szCs w:val="4"/>
              </w:rPr>
              <w:t> </w:t>
            </w:r>
          </w:p>
        </w:tc>
      </w:tr>
      <w:tr w:rsidR="00000000">
        <w:trPr>
          <w:divId w:val="1252160055"/>
        </w:trPr>
        <w:tc>
          <w:tcPr>
            <w:tcW w:w="1957" w:type="pct"/>
            <w:shd w:val="clear" w:color="auto" w:fill="FFFFFF"/>
            <w:vAlign w:val="bottom"/>
            <w:hideMark/>
          </w:tcPr>
          <w:p w:rsidR="00000000" w:rsidRDefault="00E35CFB">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E35CFB">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E35CFB">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E35CFB">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E35CFB">
            <w:pPr>
              <w:pStyle w:val="a3"/>
              <w:spacing w:before="0" w:beforeAutospacing="0" w:after="0" w:afterAutospacing="0"/>
              <w:jc w:val="center"/>
              <w:rPr>
                <w:sz w:val="20"/>
                <w:szCs w:val="20"/>
              </w:rPr>
            </w:pPr>
            <w:r>
              <w:rPr>
                <w:sz w:val="20"/>
                <w:szCs w:val="20"/>
              </w:rPr>
              <w:t> </w:t>
            </w:r>
          </w:p>
        </w:tc>
      </w:tr>
    </w:tbl>
    <w:p w:rsidR="00000000" w:rsidRDefault="00E35CFB">
      <w:pPr>
        <w:pStyle w:val="a3"/>
        <w:spacing w:before="0" w:beforeAutospacing="0" w:after="0" w:afterAutospacing="0"/>
        <w:rPr>
          <w:sz w:val="10"/>
          <w:szCs w:val="10"/>
        </w:rPr>
      </w:pPr>
      <w:r>
        <w:rPr>
          <w:sz w:val="10"/>
          <w:szCs w:val="10"/>
        </w:rPr>
        <w:t> </w:t>
      </w:r>
    </w:p>
    <w:p w:rsidR="00000000" w:rsidRDefault="00E35CFB">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E35CFB">
      <w:pPr>
        <w:pStyle w:val="a3"/>
        <w:spacing w:before="40" w:beforeAutospacing="0" w:after="0" w:afterAutospacing="0"/>
        <w:jc w:val="both"/>
        <w:rPr>
          <w:sz w:val="20"/>
          <w:szCs w:val="20"/>
        </w:rPr>
      </w:pPr>
      <w:r>
        <w:rPr>
          <w:sz w:val="20"/>
          <w:szCs w:val="20"/>
        </w:rPr>
        <w:lastRenderedPageBreak/>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E35CFB">
      <w:pPr>
        <w:pStyle w:val="a3"/>
        <w:spacing w:before="40" w:beforeAutospacing="0" w:after="0" w:afterAutospacing="0"/>
        <w:jc w:val="both"/>
        <w:rPr>
          <w:sz w:val="20"/>
          <w:szCs w:val="20"/>
        </w:rPr>
      </w:pPr>
      <w:r>
        <w:rPr>
          <w:sz w:val="20"/>
          <w:szCs w:val="20"/>
        </w:rPr>
        <w:t>Indicate the number of shares outstanding of each class of Common Stock as of July 27, 2022:</w:t>
      </w:r>
    </w:p>
    <w:p w:rsidR="00000000" w:rsidRDefault="00E35CFB">
      <w:pPr>
        <w:pStyle w:val="a3"/>
        <w:spacing w:before="40" w:beforeAutospacing="0" w:after="0" w:afterAutospacing="0"/>
        <w:jc w:val="center"/>
        <w:rPr>
          <w:sz w:val="20"/>
          <w:szCs w:val="20"/>
        </w:rPr>
      </w:pPr>
      <w:r>
        <w:rPr>
          <w:sz w:val="20"/>
          <w:szCs w:val="20"/>
        </w:rPr>
        <w:t>Shares of Common Stock, $0.01 par va</w:t>
      </w:r>
      <w:r>
        <w:rPr>
          <w:sz w:val="20"/>
          <w:szCs w:val="20"/>
        </w:rPr>
        <w:t>lue per share: 117,619,432 shares outstanding.</w:t>
      </w:r>
    </w:p>
    <w:p w:rsidR="00000000" w:rsidRDefault="00E35CFB">
      <w:pPr>
        <w:pStyle w:val="a3"/>
        <w:pBdr>
          <w:bottom w:val="double" w:sz="6" w:space="1" w:color="auto"/>
        </w:pBdr>
        <w:spacing w:before="0" w:beforeAutospacing="0" w:after="0" w:afterAutospacing="0"/>
        <w:rPr>
          <w:sz w:val="8"/>
          <w:szCs w:val="8"/>
        </w:rPr>
      </w:pPr>
      <w:r>
        <w:rPr>
          <w:sz w:val="8"/>
          <w:szCs w:val="8"/>
        </w:rPr>
        <w:t> </w:t>
      </w:r>
    </w:p>
    <w:p w:rsidR="00000000" w:rsidRDefault="00E35CFB">
      <w:pPr>
        <w:pStyle w:val="a3"/>
        <w:spacing w:before="0" w:beforeAutospacing="0" w:after="0" w:afterAutospacing="0"/>
        <w:rPr>
          <w:sz w:val="4"/>
          <w:szCs w:val="4"/>
        </w:rPr>
      </w:pPr>
      <w:r>
        <w:rPr>
          <w:sz w:val="4"/>
          <w:szCs w:val="4"/>
        </w:rPr>
        <w:t> </w:t>
      </w:r>
    </w:p>
    <w:p w:rsidR="00000000" w:rsidRDefault="00E35CFB">
      <w:pPr>
        <w:pStyle w:val="a3"/>
        <w:spacing w:before="0" w:beforeAutospacing="0" w:after="0" w:afterAutospacing="0"/>
        <w:rPr>
          <w:b/>
          <w:bCs/>
          <w:sz w:val="4"/>
          <w:szCs w:val="4"/>
        </w:rPr>
      </w:pPr>
      <w:r>
        <w:rPr>
          <w:b/>
          <w:bCs/>
          <w:sz w:val="4"/>
          <w:szCs w:val="4"/>
        </w:rPr>
        <w:t> </w:t>
      </w:r>
    </w:p>
    <w:p w:rsidR="00000000" w:rsidRDefault="00E35CFB">
      <w:pPr>
        <w:pStyle w:val="a3"/>
        <w:spacing w:before="0" w:beforeAutospacing="0" w:after="0" w:afterAutospacing="0"/>
        <w:jc w:val="center"/>
        <w:rPr>
          <w:b/>
          <w:bCs/>
          <w:sz w:val="4"/>
          <w:szCs w:val="4"/>
        </w:rPr>
      </w:pPr>
      <w:r>
        <w:rPr>
          <w:b/>
          <w:bCs/>
          <w:sz w:val="4"/>
          <w:szCs w:val="4"/>
        </w:rPr>
        <w:t> </w:t>
      </w:r>
    </w:p>
    <w:p w:rsidR="00000000" w:rsidRDefault="00E35CFB">
      <w:pPr>
        <w:rPr>
          <w:rFonts w:eastAsia="Times New Roman"/>
        </w:rPr>
      </w:pPr>
      <w:r>
        <w:rPr>
          <w:rFonts w:eastAsia="Times New Roman"/>
        </w:rPr>
        <w:pict>
          <v:rect id="_x0000_i1025"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CORECIVIC, INC.</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FORM 10-Q</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FOR THE QUARTERLY PERIOD ENDED JUNE 30, 2022</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INDEX</w:t>
      </w:r>
    </w:p>
    <w:p w:rsidR="00000000" w:rsidRDefault="00E35CFB">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045593878"/>
        </w:trPr>
        <w:tc>
          <w:tcPr>
            <w:tcW w:w="50" w:type="pct"/>
            <w:gridSpan w:val="3"/>
            <w:hideMark/>
          </w:tcPr>
          <w:p w:rsidR="00000000" w:rsidRDefault="00E35CFB">
            <w:pPr>
              <w:pStyle w:val="a3"/>
              <w:spacing w:before="0" w:beforeAutospacing="0" w:after="0" w:afterAutospacing="0"/>
              <w:rPr>
                <w:b/>
                <w:bCs/>
                <w:sz w:val="20"/>
                <w:szCs w:val="20"/>
              </w:rPr>
            </w:pPr>
            <w:r>
              <w:rPr>
                <w:b/>
                <w:bCs/>
                <w:sz w:val="20"/>
                <w:szCs w:val="20"/>
              </w:rPr>
              <w:t> </w:t>
            </w:r>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E35CFB">
            <w:pPr>
              <w:pStyle w:val="a3"/>
              <w:spacing w:before="0" w:beforeAutospacing="0" w:after="0" w:afterAutospacing="0"/>
              <w:jc w:val="center"/>
              <w:rPr>
                <w:sz w:val="20"/>
                <w:szCs w:val="20"/>
              </w:rPr>
            </w:pPr>
            <w:r>
              <w:rPr>
                <w:sz w:val="20"/>
                <w:szCs w:val="20"/>
              </w:rPr>
              <w:t>PAGE</w:t>
            </w:r>
          </w:p>
        </w:tc>
      </w:tr>
      <w:tr w:rsidR="00000000">
        <w:trPr>
          <w:divId w:val="1045593878"/>
        </w:trPr>
        <w:tc>
          <w:tcPr>
            <w:tcW w:w="50" w:type="pct"/>
            <w:gridSpan w:val="3"/>
            <w:hideMark/>
          </w:tcPr>
          <w:p w:rsidR="00000000" w:rsidRDefault="00E35CFB">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center"/>
              <w:rPr>
                <w:sz w:val="20"/>
                <w:szCs w:val="20"/>
              </w:rPr>
            </w:pPr>
            <w:r>
              <w:rPr>
                <w:sz w:val="20"/>
                <w:szCs w:val="20"/>
              </w:rPr>
              <w:t> </w:t>
            </w:r>
          </w:p>
        </w:tc>
      </w:tr>
      <w:tr w:rsidR="00000000">
        <w:trPr>
          <w:divId w:val="1045593878"/>
        </w:trPr>
        <w:tc>
          <w:tcPr>
            <w:tcW w:w="385" w:type="pct"/>
            <w:hideMark/>
          </w:tcPr>
          <w:p w:rsidR="00000000" w:rsidRDefault="00E35CFB">
            <w:pPr>
              <w:pStyle w:val="a3"/>
              <w:spacing w:before="0" w:beforeAutospacing="0" w:after="0" w:afterAutospacing="0"/>
              <w:rPr>
                <w:b/>
                <w:bCs/>
                <w:sz w:val="12"/>
                <w:szCs w:val="12"/>
              </w:rPr>
            </w:pPr>
            <w:r>
              <w:rPr>
                <w:b/>
                <w:bCs/>
                <w:sz w:val="12"/>
                <w:szCs w:val="12"/>
              </w:rPr>
              <w:t> </w:t>
            </w:r>
          </w:p>
        </w:tc>
        <w:tc>
          <w:tcPr>
            <w:tcW w:w="50" w:type="pct"/>
            <w:hideMark/>
          </w:tcPr>
          <w:p w:rsidR="00000000" w:rsidRDefault="00E35CFB">
            <w:pPr>
              <w:pStyle w:val="a3"/>
              <w:spacing w:before="0" w:beforeAutospacing="0" w:after="0" w:afterAutospacing="0"/>
              <w:rPr>
                <w:b/>
                <w:bCs/>
                <w:sz w:val="12"/>
                <w:szCs w:val="12"/>
              </w:rPr>
            </w:pPr>
            <w:r>
              <w:rPr>
                <w:b/>
                <w:bCs/>
                <w:sz w:val="12"/>
                <w:szCs w:val="12"/>
              </w:rPr>
              <w:t> </w:t>
            </w:r>
          </w:p>
        </w:tc>
        <w:tc>
          <w:tcPr>
            <w:tcW w:w="4174" w:type="pct"/>
            <w:hideMark/>
          </w:tcPr>
          <w:p w:rsidR="00000000" w:rsidRDefault="00E35CFB">
            <w:pPr>
              <w:pStyle w:val="a3"/>
              <w:spacing w:before="0" w:beforeAutospacing="0" w:after="0" w:afterAutospacing="0"/>
              <w:rPr>
                <w:b/>
                <w:bCs/>
                <w:sz w:val="12"/>
                <w:szCs w:val="12"/>
              </w:rPr>
            </w:pPr>
            <w:r>
              <w:rPr>
                <w:b/>
                <w:bCs/>
                <w:sz w:val="12"/>
                <w:szCs w:val="12"/>
              </w:rPr>
              <w:t> </w:t>
            </w:r>
          </w:p>
        </w:tc>
        <w:tc>
          <w:tcPr>
            <w:tcW w:w="51" w:type="pct"/>
            <w:hideMark/>
          </w:tcPr>
          <w:p w:rsidR="00000000" w:rsidRDefault="00E35CFB">
            <w:pPr>
              <w:pStyle w:val="a3"/>
              <w:spacing w:before="0" w:beforeAutospacing="0" w:after="0" w:afterAutospacing="0"/>
              <w:rPr>
                <w:b/>
                <w:bCs/>
                <w:sz w:val="12"/>
                <w:szCs w:val="12"/>
              </w:rPr>
            </w:pPr>
            <w:r>
              <w:rPr>
                <w:b/>
                <w:bCs/>
                <w:sz w:val="12"/>
                <w:szCs w:val="12"/>
              </w:rPr>
              <w:t> </w:t>
            </w:r>
          </w:p>
        </w:tc>
        <w:tc>
          <w:tcPr>
            <w:tcW w:w="281" w:type="pct"/>
            <w:hideMark/>
          </w:tcPr>
          <w:p w:rsidR="00000000" w:rsidRDefault="00E35CFB">
            <w:pPr>
              <w:pStyle w:val="a3"/>
              <w:spacing w:before="0" w:beforeAutospacing="0" w:after="0" w:afterAutospacing="0"/>
              <w:rPr>
                <w:b/>
                <w:bCs/>
                <w:sz w:val="12"/>
                <w:szCs w:val="12"/>
              </w:rPr>
            </w:pPr>
            <w:r>
              <w:rPr>
                <w:b/>
                <w:bCs/>
                <w:sz w:val="12"/>
                <w:szCs w:val="12"/>
              </w:rPr>
              <w:t> </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1.</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1</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a)</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CONSOLIDATED_BALANCE_SHEETS" w:history="1">
              <w:r>
                <w:rPr>
                  <w:rStyle w:val="a4"/>
                  <w:sz w:val="20"/>
                  <w:szCs w:val="20"/>
                </w:rPr>
                <w:t>Consolidated Balance Sheets as of June 30, 2022 (Unaudited) and December 31, 2021</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1</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b)</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jc w:val="both"/>
              <w:rPr>
                <w:sz w:val="20"/>
                <w:szCs w:val="20"/>
              </w:rPr>
            </w:pPr>
            <w:hyperlink w:anchor="CONSOLIDATED_STATEMENTS_OF_OPERATIONS" w:history="1">
              <w:r>
                <w:rPr>
                  <w:rStyle w:val="a4"/>
                  <w:sz w:val="20"/>
                  <w:szCs w:val="20"/>
                </w:rPr>
                <w:t xml:space="preserve">Consolidated Statements of Operations (Unaudited) </w:t>
              </w:r>
              <w:r>
                <w:rPr>
                  <w:rStyle w:val="a4"/>
                  <w:sz w:val="20"/>
                  <w:szCs w:val="20"/>
                </w:rPr>
                <w:t>for the three and six months ended June 30, 2022 and 2021</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E35CFB">
            <w:pPr>
              <w:pStyle w:val="a3"/>
              <w:spacing w:before="0" w:beforeAutospacing="0" w:after="0" w:afterAutospacing="0"/>
              <w:jc w:val="right"/>
              <w:rPr>
                <w:sz w:val="20"/>
                <w:szCs w:val="20"/>
              </w:rPr>
            </w:pPr>
            <w:r>
              <w:rPr>
                <w:sz w:val="20"/>
                <w:szCs w:val="20"/>
              </w:rPr>
              <w:t>2</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c)</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six months ended June 30, 2022 and 2021</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3</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d)</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periods ende</w:t>
              </w:r>
              <w:r>
                <w:rPr>
                  <w:rStyle w:val="a4"/>
                  <w:sz w:val="20"/>
                  <w:szCs w:val="20"/>
                </w:rPr>
                <w:t>d June 30, 2022</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e)</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June 30, 2021</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5</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    f)</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6</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2.</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 Results of Operations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20</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3.</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43</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4.</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43</w:t>
            </w:r>
          </w:p>
        </w:tc>
      </w:tr>
      <w:tr w:rsidR="00000000">
        <w:trPr>
          <w:divId w:val="1045593878"/>
        </w:trPr>
        <w:tc>
          <w:tcPr>
            <w:tcW w:w="385" w:type="pct"/>
            <w:hideMark/>
          </w:tcPr>
          <w:p w:rsidR="00000000" w:rsidRDefault="00E35CFB">
            <w:pPr>
              <w:pStyle w:val="a3"/>
              <w:spacing w:before="0" w:beforeAutospacing="0" w:after="0" w:afterAutospacing="0"/>
              <w:rPr>
                <w:b/>
                <w:bCs/>
                <w:sz w:val="12"/>
                <w:szCs w:val="12"/>
              </w:rPr>
            </w:pPr>
            <w:r>
              <w:rPr>
                <w:b/>
                <w:bCs/>
                <w:sz w:val="12"/>
                <w:szCs w:val="12"/>
              </w:rPr>
              <w:t> </w:t>
            </w:r>
          </w:p>
        </w:tc>
        <w:tc>
          <w:tcPr>
            <w:tcW w:w="50" w:type="pct"/>
            <w:hideMark/>
          </w:tcPr>
          <w:p w:rsidR="00000000" w:rsidRDefault="00E35CFB">
            <w:pPr>
              <w:pStyle w:val="a3"/>
              <w:spacing w:before="0" w:beforeAutospacing="0" w:after="0" w:afterAutospacing="0"/>
              <w:rPr>
                <w:b/>
                <w:bCs/>
                <w:sz w:val="12"/>
                <w:szCs w:val="12"/>
              </w:rPr>
            </w:pPr>
            <w:r>
              <w:rPr>
                <w:b/>
                <w:bCs/>
                <w:sz w:val="12"/>
                <w:szCs w:val="12"/>
              </w:rPr>
              <w:t> </w:t>
            </w:r>
          </w:p>
        </w:tc>
        <w:tc>
          <w:tcPr>
            <w:tcW w:w="4174" w:type="pct"/>
            <w:hideMark/>
          </w:tcPr>
          <w:p w:rsidR="00000000" w:rsidRDefault="00E35CFB">
            <w:pPr>
              <w:pStyle w:val="a3"/>
              <w:spacing w:before="0" w:beforeAutospacing="0" w:after="0" w:afterAutospacing="0"/>
              <w:rPr>
                <w:b/>
                <w:bCs/>
                <w:sz w:val="12"/>
                <w:szCs w:val="12"/>
              </w:rPr>
            </w:pPr>
            <w:r>
              <w:rPr>
                <w:b/>
                <w:bCs/>
                <w:sz w:val="12"/>
                <w:szCs w:val="12"/>
              </w:rPr>
              <w:t> </w:t>
            </w:r>
          </w:p>
        </w:tc>
        <w:tc>
          <w:tcPr>
            <w:tcW w:w="51" w:type="pct"/>
            <w:hideMark/>
          </w:tcPr>
          <w:p w:rsidR="00000000" w:rsidRDefault="00E35CFB">
            <w:pPr>
              <w:pStyle w:val="a3"/>
              <w:spacing w:before="0" w:beforeAutospacing="0" w:after="0" w:afterAutospacing="0"/>
              <w:rPr>
                <w:b/>
                <w:bCs/>
                <w:sz w:val="12"/>
                <w:szCs w:val="12"/>
              </w:rPr>
            </w:pPr>
            <w:r>
              <w:rPr>
                <w:b/>
                <w:bCs/>
                <w:sz w:val="12"/>
                <w:szCs w:val="12"/>
              </w:rPr>
              <w:t> </w:t>
            </w:r>
          </w:p>
        </w:tc>
        <w:tc>
          <w:tcPr>
            <w:tcW w:w="281" w:type="pct"/>
            <w:hideMark/>
          </w:tcPr>
          <w:p w:rsidR="00000000" w:rsidRDefault="00E35CFB">
            <w:pPr>
              <w:pStyle w:val="a3"/>
              <w:spacing w:before="0" w:beforeAutospacing="0" w:after="0" w:afterAutospacing="0"/>
              <w:jc w:val="right"/>
              <w:rPr>
                <w:sz w:val="12"/>
                <w:szCs w:val="12"/>
              </w:rPr>
            </w:pPr>
            <w:r>
              <w:rPr>
                <w:sz w:val="12"/>
                <w:szCs w:val="12"/>
              </w:rPr>
              <w:t> </w:t>
            </w:r>
          </w:p>
        </w:tc>
      </w:tr>
      <w:tr w:rsidR="00000000">
        <w:trPr>
          <w:divId w:val="1045593878"/>
        </w:trPr>
        <w:tc>
          <w:tcPr>
            <w:tcW w:w="50" w:type="pct"/>
            <w:gridSpan w:val="3"/>
            <w:hideMark/>
          </w:tcPr>
          <w:p w:rsidR="00000000" w:rsidRDefault="00E35CFB">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 </w:t>
            </w:r>
          </w:p>
        </w:tc>
      </w:tr>
      <w:tr w:rsidR="00000000">
        <w:trPr>
          <w:divId w:val="1045593878"/>
        </w:trPr>
        <w:tc>
          <w:tcPr>
            <w:tcW w:w="385" w:type="pct"/>
            <w:hideMark/>
          </w:tcPr>
          <w:p w:rsidR="00000000" w:rsidRDefault="00E35CFB">
            <w:pPr>
              <w:pStyle w:val="a3"/>
              <w:spacing w:before="0" w:beforeAutospacing="0" w:after="0" w:afterAutospacing="0"/>
              <w:rPr>
                <w:b/>
                <w:bCs/>
                <w:sz w:val="12"/>
                <w:szCs w:val="12"/>
              </w:rPr>
            </w:pPr>
            <w:r>
              <w:rPr>
                <w:b/>
                <w:bCs/>
                <w:sz w:val="12"/>
                <w:szCs w:val="12"/>
              </w:rPr>
              <w:t> </w:t>
            </w:r>
          </w:p>
        </w:tc>
        <w:tc>
          <w:tcPr>
            <w:tcW w:w="50" w:type="pct"/>
            <w:hideMark/>
          </w:tcPr>
          <w:p w:rsidR="00000000" w:rsidRDefault="00E35CFB">
            <w:pPr>
              <w:pStyle w:val="a3"/>
              <w:spacing w:before="0" w:beforeAutospacing="0" w:after="0" w:afterAutospacing="0"/>
              <w:rPr>
                <w:b/>
                <w:bCs/>
                <w:sz w:val="12"/>
                <w:szCs w:val="12"/>
              </w:rPr>
            </w:pPr>
            <w:r>
              <w:rPr>
                <w:b/>
                <w:bCs/>
                <w:sz w:val="12"/>
                <w:szCs w:val="12"/>
              </w:rPr>
              <w:t> </w:t>
            </w:r>
          </w:p>
        </w:tc>
        <w:tc>
          <w:tcPr>
            <w:tcW w:w="4174" w:type="pct"/>
            <w:hideMark/>
          </w:tcPr>
          <w:p w:rsidR="00000000" w:rsidRDefault="00E35CFB">
            <w:pPr>
              <w:pStyle w:val="a3"/>
              <w:spacing w:before="0" w:beforeAutospacing="0" w:after="0" w:afterAutospacing="0"/>
              <w:rPr>
                <w:b/>
                <w:bCs/>
                <w:sz w:val="12"/>
                <w:szCs w:val="12"/>
              </w:rPr>
            </w:pPr>
            <w:r>
              <w:rPr>
                <w:b/>
                <w:bCs/>
                <w:sz w:val="12"/>
                <w:szCs w:val="12"/>
              </w:rPr>
              <w:t> </w:t>
            </w:r>
          </w:p>
        </w:tc>
        <w:tc>
          <w:tcPr>
            <w:tcW w:w="51" w:type="pct"/>
            <w:hideMark/>
          </w:tcPr>
          <w:p w:rsidR="00000000" w:rsidRDefault="00E35CFB">
            <w:pPr>
              <w:pStyle w:val="a3"/>
              <w:spacing w:before="0" w:beforeAutospacing="0" w:after="0" w:afterAutospacing="0"/>
              <w:rPr>
                <w:b/>
                <w:bCs/>
                <w:sz w:val="12"/>
                <w:szCs w:val="12"/>
              </w:rPr>
            </w:pPr>
            <w:r>
              <w:rPr>
                <w:b/>
                <w:bCs/>
                <w:sz w:val="12"/>
                <w:szCs w:val="12"/>
              </w:rPr>
              <w:t> </w:t>
            </w:r>
          </w:p>
        </w:tc>
        <w:tc>
          <w:tcPr>
            <w:tcW w:w="281" w:type="pct"/>
            <w:hideMark/>
          </w:tcPr>
          <w:p w:rsidR="00000000" w:rsidRDefault="00E35CFB">
            <w:pPr>
              <w:pStyle w:val="a3"/>
              <w:spacing w:before="0" w:beforeAutospacing="0" w:after="0" w:afterAutospacing="0"/>
              <w:jc w:val="right"/>
              <w:rPr>
                <w:sz w:val="12"/>
                <w:szCs w:val="12"/>
              </w:rPr>
            </w:pPr>
            <w:r>
              <w:rPr>
                <w:sz w:val="12"/>
                <w:szCs w:val="12"/>
              </w:rPr>
              <w:t> </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1.</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1A.</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2.</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3.</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4.</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5.</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44</w:t>
            </w:r>
          </w:p>
        </w:tc>
      </w:tr>
      <w:tr w:rsidR="00000000">
        <w:trPr>
          <w:divId w:val="1045593878"/>
        </w:trPr>
        <w:tc>
          <w:tcPr>
            <w:tcW w:w="385" w:type="pct"/>
            <w:hideMark/>
          </w:tcPr>
          <w:p w:rsidR="00000000" w:rsidRDefault="00E35CFB">
            <w:pPr>
              <w:pStyle w:val="a3"/>
              <w:spacing w:before="0" w:beforeAutospacing="0" w:after="0" w:afterAutospacing="0"/>
              <w:rPr>
                <w:sz w:val="20"/>
                <w:szCs w:val="20"/>
              </w:rPr>
            </w:pPr>
            <w:r>
              <w:rPr>
                <w:sz w:val="20"/>
                <w:szCs w:val="20"/>
              </w:rPr>
              <w:t>Item 6.</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45</w:t>
            </w:r>
          </w:p>
        </w:tc>
      </w:tr>
      <w:tr w:rsidR="00000000">
        <w:trPr>
          <w:divId w:val="1045593878"/>
          <w:trHeight w:val="130"/>
        </w:trPr>
        <w:tc>
          <w:tcPr>
            <w:tcW w:w="385" w:type="pct"/>
            <w:hideMark/>
          </w:tcPr>
          <w:p w:rsidR="00000000" w:rsidRDefault="00E35CFB">
            <w:pPr>
              <w:pStyle w:val="a3"/>
              <w:spacing w:before="0" w:beforeAutospacing="0" w:after="0" w:afterAutospacing="0"/>
              <w:rPr>
                <w:sz w:val="20"/>
                <w:szCs w:val="20"/>
              </w:rPr>
            </w:pPr>
            <w:r>
              <w:rPr>
                <w:sz w:val="20"/>
                <w:szCs w:val="20"/>
              </w:rPr>
              <w:t> </w:t>
            </w:r>
          </w:p>
        </w:tc>
        <w:tc>
          <w:tcPr>
            <w:tcW w:w="50" w:type="pct"/>
            <w:hideMark/>
          </w:tcPr>
          <w:p w:rsidR="00000000" w:rsidRDefault="00E35CFB">
            <w:pPr>
              <w:pStyle w:val="a3"/>
              <w:spacing w:before="0" w:beforeAutospacing="0" w:after="0" w:afterAutospacing="0"/>
              <w:rPr>
                <w:b/>
                <w:bCs/>
                <w:sz w:val="20"/>
                <w:szCs w:val="20"/>
              </w:rPr>
            </w:pPr>
            <w:r>
              <w:rPr>
                <w:b/>
                <w:bCs/>
                <w:sz w:val="20"/>
                <w:szCs w:val="20"/>
              </w:rPr>
              <w:t> </w:t>
            </w:r>
          </w:p>
        </w:tc>
        <w:tc>
          <w:tcPr>
            <w:tcW w:w="4174" w:type="pct"/>
            <w:hideMark/>
          </w:tcPr>
          <w:p w:rsidR="00000000" w:rsidRDefault="00E35CFB">
            <w:pPr>
              <w:pStyle w:val="a3"/>
              <w:spacing w:before="0" w:beforeAutospacing="0" w:after="0" w:afterAutospacing="0"/>
              <w:rPr>
                <w:sz w:val="20"/>
                <w:szCs w:val="20"/>
              </w:rPr>
            </w:pPr>
            <w:r>
              <w:rPr>
                <w:sz w:val="20"/>
                <w:szCs w:val="20"/>
              </w:rPr>
              <w:t> </w:t>
            </w:r>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 </w:t>
            </w:r>
          </w:p>
        </w:tc>
      </w:tr>
      <w:tr w:rsidR="00000000">
        <w:trPr>
          <w:divId w:val="1045593878"/>
        </w:trPr>
        <w:tc>
          <w:tcPr>
            <w:tcW w:w="50" w:type="pct"/>
            <w:gridSpan w:val="3"/>
            <w:hideMark/>
          </w:tcPr>
          <w:p w:rsidR="00000000" w:rsidRDefault="00E35CFB">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E35CFB">
            <w:pPr>
              <w:pStyle w:val="a3"/>
              <w:spacing w:before="0" w:beforeAutospacing="0" w:after="0" w:afterAutospacing="0"/>
              <w:rPr>
                <w:b/>
                <w:bCs/>
                <w:sz w:val="20"/>
                <w:szCs w:val="20"/>
              </w:rPr>
            </w:pPr>
            <w:r>
              <w:rPr>
                <w:b/>
                <w:bCs/>
                <w:sz w:val="20"/>
                <w:szCs w:val="20"/>
              </w:rPr>
              <w:t> </w:t>
            </w:r>
          </w:p>
        </w:tc>
        <w:tc>
          <w:tcPr>
            <w:tcW w:w="281" w:type="pct"/>
            <w:hideMark/>
          </w:tcPr>
          <w:p w:rsidR="00000000" w:rsidRDefault="00E35CFB">
            <w:pPr>
              <w:pStyle w:val="a3"/>
              <w:spacing w:before="0" w:beforeAutospacing="0" w:after="0" w:afterAutospacing="0"/>
              <w:jc w:val="right"/>
              <w:rPr>
                <w:sz w:val="20"/>
                <w:szCs w:val="20"/>
              </w:rPr>
            </w:pPr>
            <w:r>
              <w:rPr>
                <w:sz w:val="20"/>
                <w:szCs w:val="20"/>
              </w:rPr>
              <w:t>46</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240" w:beforeAutospacing="0" w:after="0" w:afterAutospacing="0"/>
        <w:jc w:val="center"/>
        <w:rPr>
          <w:sz w:val="20"/>
          <w:szCs w:val="20"/>
        </w:rPr>
      </w:pPr>
      <w:r>
        <w:rPr>
          <w:sz w:val="20"/>
          <w:szCs w:val="20"/>
        </w:rPr>
        <w:t> </w:t>
      </w:r>
    </w:p>
    <w:p w:rsidR="00000000" w:rsidRDefault="00E35CFB">
      <w:pPr>
        <w:rPr>
          <w:rFonts w:eastAsia="Times New Roman"/>
        </w:rPr>
      </w:pPr>
      <w:r>
        <w:rPr>
          <w:rFonts w:eastAsia="Times New Roman"/>
        </w:rPr>
        <w:pict>
          <v:rect id="_x0000_i1026"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PART I – FINANCIAL INFORMATION</w:t>
      </w:r>
    </w:p>
    <w:p w:rsidR="00000000" w:rsidRDefault="00E35CFB">
      <w:pPr>
        <w:pStyle w:val="a3"/>
        <w:spacing w:before="240" w:beforeAutospacing="0" w:after="0" w:afterAutospacing="0"/>
        <w:jc w:val="both"/>
        <w:rPr>
          <w:b/>
          <w:bCs/>
          <w:sz w:val="20"/>
          <w:szCs w:val="20"/>
        </w:rPr>
      </w:pPr>
      <w:r>
        <w:rPr>
          <w:b/>
          <w:bCs/>
          <w:sz w:val="20"/>
          <w:szCs w:val="20"/>
        </w:rPr>
        <w:t>ITEM 1. – FINANCIAL STATEMENTS.</w:t>
      </w:r>
    </w:p>
    <w:p w:rsidR="00000000" w:rsidRDefault="00E35CFB">
      <w:pPr>
        <w:pStyle w:val="a3"/>
        <w:spacing w:before="240" w:beforeAutospacing="0" w:after="0" w:afterAutospacing="0"/>
        <w:jc w:val="center"/>
        <w:rPr>
          <w:b/>
          <w:bCs/>
          <w:sz w:val="20"/>
          <w:szCs w:val="20"/>
        </w:rPr>
      </w:pPr>
      <w:r>
        <w:rPr>
          <w:b/>
          <w:bCs/>
          <w:sz w:val="20"/>
          <w:szCs w:val="20"/>
        </w:rPr>
        <w:t>CORECIVIC, INC. AND SUBSIDIARIES</w:t>
      </w:r>
    </w:p>
    <w:p w:rsidR="00000000" w:rsidRDefault="00E35CFB">
      <w:pPr>
        <w:pStyle w:val="a3"/>
        <w:spacing w:before="0" w:beforeAutospacing="0" w:after="0" w:afterAutospacing="0"/>
        <w:jc w:val="center"/>
        <w:rPr>
          <w:b/>
          <w:bCs/>
          <w:sz w:val="20"/>
          <w:szCs w:val="20"/>
        </w:rPr>
      </w:pPr>
      <w:r>
        <w:rPr>
          <w:b/>
          <w:bCs/>
          <w:sz w:val="20"/>
          <w:szCs w:val="20"/>
        </w:rPr>
        <w:t>CONSOLIDATED BALANCE SHEETS</w:t>
      </w:r>
    </w:p>
    <w:p w:rsidR="00000000" w:rsidRDefault="00E35CFB">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E35CFB">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trPr>
          <w:divId w:val="2025398766"/>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 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w:t>
            </w:r>
            <w:r>
              <w:rPr>
                <w:b/>
                <w:bCs/>
                <w:color w:val="000000"/>
                <w:sz w:val="16"/>
                <w:szCs w:val="16"/>
              </w:rPr>
              <w:t>ecember 31, 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2025398766"/>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115,611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299,645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11,794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11,062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Accounts receivable, net of credit loss reserve of $8,946 and $7,931, respectively</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273,839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282,809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Prep</w:t>
            </w:r>
            <w:r>
              <w:rPr>
                <w:color w:val="000000"/>
                <w:sz w:val="20"/>
                <w:szCs w:val="20"/>
              </w:rPr>
              <w:t>aid expenses and other current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42,413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26,872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Assets held for sale</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61,587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6,996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505,244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627,384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$1,671,088</w:t>
            </w:r>
          </w:p>
          <w:p w:rsidR="00000000" w:rsidRDefault="00E35CFB">
            <w:pPr>
              <w:pStyle w:val="a3"/>
              <w:spacing w:before="0" w:beforeAutospacing="0" w:after="0" w:afterAutospacing="0"/>
              <w:rPr>
                <w:color w:val="000000"/>
                <w:sz w:val="20"/>
                <w:szCs w:val="20"/>
              </w:rPr>
            </w:pPr>
            <w:r>
              <w:rPr>
                <w:color w:val="000000"/>
                <w:sz w:val="20"/>
                <w:szCs w:val="20"/>
              </w:rPr>
              <w:t>       and $1,657,709, respectively</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2,197,463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2,283,256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213,164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218,915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4,844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4,844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355,815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364,539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3,276,530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tcBorders>
              <w:bottom w:val="single" w:sz="6" w:space="0" w:color="000000"/>
            </w:tcBorders>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r>
      <w:tr w:rsidR="00000000">
        <w:trPr>
          <w:divId w:val="2025398766"/>
        </w:trPr>
        <w:tc>
          <w:tcPr>
            <w:tcW w:w="3354" w:type="pct"/>
            <w:tcBorders>
              <w:top w:val="single" w:sz="6" w:space="0" w:color="000000"/>
            </w:tcBorders>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294,435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305,592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180,378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474,813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340,968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1,148,679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1,492,046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25,070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27,551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Non-current deferred tax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91,828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88,157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167,200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177,748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1,907,590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2,126,470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E35CFB">
            <w:pPr>
              <w:pStyle w:val="a3"/>
              <w:spacing w:before="0" w:beforeAutospacing="0" w:after="0" w:afterAutospacing="0"/>
              <w:rPr>
                <w:color w:val="000000"/>
                <w:sz w:val="20"/>
                <w:szCs w:val="20"/>
              </w:rPr>
            </w:pPr>
            <w:r>
              <w:rPr>
                <w:color w:val="000000"/>
                <w:sz w:val="20"/>
                <w:szCs w:val="20"/>
              </w:rPr>
              <w:t>   at June 30, 2022 and December 31, 2021, respectively</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Common stock – $0.01 par value; 300,000 shares authorized; 118,620 and 120,285 shares</w:t>
            </w:r>
          </w:p>
          <w:p w:rsidR="00000000" w:rsidRDefault="00E35CFB">
            <w:pPr>
              <w:pStyle w:val="a3"/>
              <w:spacing w:before="0" w:beforeAutospacing="0" w:after="0" w:afterAutospacing="0"/>
              <w:rPr>
                <w:color w:val="000000"/>
                <w:sz w:val="20"/>
                <w:szCs w:val="20"/>
              </w:rPr>
            </w:pPr>
            <w:r>
              <w:rPr>
                <w:color w:val="000000"/>
                <w:sz w:val="20"/>
                <w:szCs w:val="20"/>
              </w:rPr>
              <w:t>   issued and outstanding at June 30, 2022 and Dec</w:t>
            </w:r>
            <w:r>
              <w:rPr>
                <w:color w:val="000000"/>
                <w:sz w:val="20"/>
                <w:szCs w:val="20"/>
              </w:rPr>
              <w:t>ember 31, 2021, respectively</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1,836,949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1,869,955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(469,195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(498,690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2539876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1,368,940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1,372,468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2539876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3,276,530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E35CFB">
      <w:pPr>
        <w:pStyle w:val="a3"/>
        <w:spacing w:before="240" w:beforeAutospacing="0" w:after="0" w:afterAutospacing="0"/>
        <w:jc w:val="center"/>
        <w:rPr>
          <w:sz w:val="20"/>
          <w:szCs w:val="20"/>
        </w:rPr>
      </w:pPr>
      <w:r>
        <w:rPr>
          <w:sz w:val="20"/>
          <w:szCs w:val="20"/>
        </w:rPr>
        <w:t>1</w:t>
      </w:r>
    </w:p>
    <w:p w:rsidR="00000000" w:rsidRDefault="00E35CFB">
      <w:pPr>
        <w:rPr>
          <w:rFonts w:eastAsia="Times New Roman"/>
        </w:rPr>
      </w:pPr>
      <w:r>
        <w:rPr>
          <w:rFonts w:eastAsia="Times New Roman"/>
        </w:rPr>
        <w:pict>
          <v:rect id="_x0000_i1027" style="width:0;height:1.5pt" o:hralign="center" o:hrstd="t" o:hr="t" fillcolor="#a0a0a0" stroked="f"/>
        </w:pict>
      </w:r>
    </w:p>
    <w:p w:rsidR="00000000" w:rsidRDefault="00E35CFB">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E35CFB">
      <w:pPr>
        <w:pStyle w:val="a3"/>
        <w:spacing w:before="0" w:beforeAutospacing="0" w:after="0" w:afterAutospacing="0"/>
        <w:jc w:val="center"/>
        <w:rPr>
          <w:b/>
          <w:bCs/>
          <w:sz w:val="20"/>
          <w:szCs w:val="20"/>
        </w:rPr>
      </w:pPr>
      <w:r>
        <w:rPr>
          <w:b/>
          <w:bCs/>
          <w:sz w:val="20"/>
          <w:szCs w:val="20"/>
        </w:rPr>
        <w:t>CONSOLIDATED STATEMENTS OF OPERATIONS</w:t>
      </w:r>
    </w:p>
    <w:p w:rsidR="00000000" w:rsidRDefault="00E35CFB">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84"/>
        <w:gridCol w:w="87"/>
        <w:gridCol w:w="115"/>
        <w:gridCol w:w="751"/>
        <w:gridCol w:w="82"/>
        <w:gridCol w:w="78"/>
        <w:gridCol w:w="115"/>
        <w:gridCol w:w="753"/>
        <w:gridCol w:w="82"/>
        <w:gridCol w:w="78"/>
        <w:gridCol w:w="115"/>
        <w:gridCol w:w="752"/>
        <w:gridCol w:w="82"/>
        <w:gridCol w:w="80"/>
        <w:gridCol w:w="115"/>
        <w:gridCol w:w="755"/>
        <w:gridCol w:w="82"/>
      </w:tblGrid>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456,697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464,571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909,685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919,289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EXPENSES: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Operating</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349,000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333,070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693,629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665,954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31,513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33,228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62,614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62,758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32,259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34,084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64,287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66,796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Shareholder litigation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54,295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lastRenderedPageBreak/>
              <w:t>Asset impairments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414,672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405,798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822,430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853,977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(21,668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(44,588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r>
              <w:rPr>
                <w:color w:val="000000"/>
                <w:sz w:val="20"/>
                <w:szCs w:val="20"/>
              </w:rPr>
              <w:t>41,650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Expenses associated with debt repayments</w:t>
            </w:r>
          </w:p>
          <w:p w:rsidR="00000000" w:rsidRDefault="00E35CFB">
            <w:pPr>
              <w:pStyle w:val="a3"/>
              <w:spacing w:before="0" w:beforeAutospacing="0" w:after="0" w:afterAutospacing="0"/>
              <w:ind w:left="274"/>
              <w:rPr>
                <w:color w:val="000000"/>
                <w:sz w:val="20"/>
                <w:szCs w:val="20"/>
              </w:rPr>
            </w:pPr>
            <w:r>
              <w:rPr>
                <w:color w:val="000000"/>
                <w:sz w:val="20"/>
                <w:szCs w:val="20"/>
              </w:rPr>
              <w:t>    and refinancing transactions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Gain on sale of real estate assets, net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1,060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3,321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INCOME BEFORE INCOME TAXES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14,575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22,142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40,188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10,105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Income tax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(4,013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(6,519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(120,050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NET INCOME (LOSS)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10,562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29,565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(109,945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BASIC EARNINGS (LOSS) PER SHARE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0.25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(0.92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94565796"/>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DILUTED EARNINGS (LOSS) PER SHARE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(0.92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E35CFB">
      <w:pPr>
        <w:pStyle w:val="a3"/>
        <w:spacing w:before="0" w:beforeAutospacing="0" w:after="0" w:afterAutospacing="0"/>
        <w:jc w:val="center"/>
        <w:rPr>
          <w:sz w:val="18"/>
          <w:szCs w:val="18"/>
        </w:rPr>
      </w:pPr>
      <w:r>
        <w:rPr>
          <w:sz w:val="18"/>
          <w:szCs w:val="18"/>
        </w:rPr>
        <w:t> </w:t>
      </w:r>
    </w:p>
    <w:p w:rsidR="00000000" w:rsidRDefault="00E35CFB">
      <w:pPr>
        <w:pStyle w:val="a3"/>
        <w:spacing w:before="240" w:beforeAutospacing="0" w:after="0" w:afterAutospacing="0"/>
        <w:jc w:val="center"/>
        <w:rPr>
          <w:sz w:val="20"/>
          <w:szCs w:val="20"/>
        </w:rPr>
      </w:pPr>
      <w:r>
        <w:rPr>
          <w:sz w:val="20"/>
          <w:szCs w:val="20"/>
        </w:rPr>
        <w:t>2</w:t>
      </w:r>
    </w:p>
    <w:p w:rsidR="00000000" w:rsidRDefault="00E35CFB">
      <w:pPr>
        <w:rPr>
          <w:rFonts w:eastAsia="Times New Roman"/>
        </w:rPr>
      </w:pPr>
      <w:r>
        <w:rPr>
          <w:rFonts w:eastAsia="Times New Roman"/>
        </w:rPr>
        <w:pict>
          <v:rect id="_x0000_i1028"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E35CFB">
      <w:pPr>
        <w:pStyle w:val="a3"/>
        <w:spacing w:before="0" w:beforeAutospacing="0" w:after="0" w:afterAutospacing="0"/>
        <w:jc w:val="center"/>
        <w:rPr>
          <w:b/>
          <w:bCs/>
          <w:sz w:val="20"/>
          <w:szCs w:val="20"/>
        </w:rPr>
      </w:pPr>
      <w:r>
        <w:rPr>
          <w:b/>
          <w:bCs/>
          <w:sz w:val="20"/>
          <w:szCs w:val="20"/>
        </w:rPr>
        <w:t>CONSOLIDATED STATEMENTS OF CASH FLOWS</w:t>
      </w:r>
    </w:p>
    <w:p w:rsidR="00000000" w:rsidRDefault="00E35CFB">
      <w:pPr>
        <w:pStyle w:val="a3"/>
        <w:spacing w:before="0" w:beforeAutospacing="0" w:after="0" w:afterAutospacing="0"/>
        <w:jc w:val="center"/>
        <w:rPr>
          <w:sz w:val="20"/>
          <w:szCs w:val="20"/>
        </w:rPr>
      </w:pPr>
      <w:r>
        <w:rPr>
          <w:sz w:val="20"/>
          <w:szCs w:val="20"/>
        </w:rPr>
        <w:t>(UNAUDITED AND AMOUNTS IN THOUSANDS)</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w:t>
            </w:r>
            <w:r>
              <w:rPr>
                <w:b/>
                <w:bCs/>
                <w:color w:val="000000"/>
                <w:sz w:val="16"/>
                <w:szCs w:val="16"/>
              </w:rPr>
              <w:t>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29,565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(109,945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Adjustments to reconcile net income (loss) to net cash provided by</w:t>
            </w:r>
          </w:p>
          <w:p w:rsidR="00000000" w:rsidRDefault="00E35CFB">
            <w:pPr>
              <w:pStyle w:val="a3"/>
              <w:spacing w:before="0" w:beforeAutospacing="0" w:after="0" w:afterAutospacing="0"/>
              <w:ind w:left="274"/>
              <w:rPr>
                <w:color w:val="000000"/>
                <w:sz w:val="20"/>
                <w:szCs w:val="20"/>
              </w:rPr>
            </w:pPr>
            <w:r>
              <w:rPr>
                <w:color w:val="000000"/>
                <w:sz w:val="20"/>
                <w:szCs w:val="20"/>
              </w:rPr>
              <w:t>      operating activities: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64,287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66,796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3,164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3,520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Expenses associated with debt repayments and refinancing transactions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Gain on sale of real estate assets, net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(3,321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3,671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97,436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9,720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8,542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2,543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3,077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(20,318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(12,735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14,855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94,314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82,326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(13,789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(8,669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(20,075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(24,710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Net proceeds from sale of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10,957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320,653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(Increase) decrease in other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161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(702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1094"/>
              <w:rPr>
                <w:color w:val="000000"/>
                <w:sz w:val="20"/>
                <w:szCs w:val="20"/>
              </w:rPr>
            </w:pPr>
            <w:r>
              <w:rPr>
                <w:color w:val="000000"/>
                <w:sz w:val="20"/>
                <w:szCs w:val="20"/>
              </w:rPr>
              <w:t>Net cash provided by (used in) investing activities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(22,746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286,572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Proceeds from issuance of debt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100,000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510,500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(10,278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r>
              <w:rPr>
                <w:color w:val="000000"/>
                <w:sz w:val="20"/>
                <w:szCs w:val="20"/>
              </w:rPr>
              <w:t>19,521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(172,000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lastRenderedPageBreak/>
              <w:t>Repayment of non-recourse mortgage notes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(161,930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 repayments of debt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(295,139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(425,988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Payment of debt defeasance, issuance and other refinancing and related costs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(8,046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(60,449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(285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Contingent consideration for acquisition of business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Dividends paid on RSUs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(40,236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(254,870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(333,911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NET INCREASE (DECREASE) IN CASH, CASH EQUIVALENTS AND</w:t>
            </w:r>
          </w:p>
          <w:p w:rsidR="00000000" w:rsidRDefault="00E35CFB">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(183,302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34,987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310,707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136,768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127,405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171,755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1,590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Interest (net of amounts capitalized of $0.5 million and $0.1 million in 2022 and</w:t>
            </w:r>
          </w:p>
          <w:p w:rsidR="00000000" w:rsidRDefault="00E35CFB">
            <w:pPr>
              <w:pStyle w:val="a3"/>
              <w:spacing w:before="0" w:beforeAutospacing="0" w:after="0" w:afterAutospacing="0"/>
              <w:ind w:left="547"/>
              <w:rPr>
                <w:color w:val="000000"/>
                <w:sz w:val="20"/>
                <w:szCs w:val="20"/>
              </w:rPr>
            </w:pPr>
            <w:r>
              <w:rPr>
                <w:color w:val="000000"/>
                <w:sz w:val="20"/>
                <w:szCs w:val="20"/>
              </w:rPr>
              <w:t>    2021, respectively)</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46,312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38,893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44484759"/>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Income taxes paid</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14,225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13,871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20" w:beforeAutospacing="0" w:after="0" w:afterAutospacing="0"/>
        <w:jc w:val="center"/>
        <w:rPr>
          <w:sz w:val="20"/>
          <w:szCs w:val="20"/>
        </w:rPr>
      </w:pPr>
      <w:r>
        <w:rPr>
          <w:sz w:val="20"/>
          <w:szCs w:val="20"/>
        </w:rPr>
        <w:t> </w:t>
      </w:r>
    </w:p>
    <w:p w:rsidR="00000000" w:rsidRDefault="00E35CFB">
      <w:pPr>
        <w:pStyle w:val="a3"/>
        <w:spacing w:before="20" w:beforeAutospacing="0" w:after="0" w:afterAutospacing="0"/>
        <w:jc w:val="center"/>
        <w:rPr>
          <w:sz w:val="20"/>
          <w:szCs w:val="20"/>
        </w:rPr>
      </w:pPr>
      <w:r>
        <w:rPr>
          <w:sz w:val="20"/>
          <w:szCs w:val="20"/>
        </w:rPr>
        <w:t> </w:t>
      </w:r>
    </w:p>
    <w:p w:rsidR="00000000" w:rsidRDefault="00E35CFB">
      <w:pPr>
        <w:pStyle w:val="a3"/>
        <w:spacing w:before="20" w:beforeAutospacing="0" w:after="0" w:afterAutospacing="0"/>
        <w:jc w:val="center"/>
        <w:rPr>
          <w:sz w:val="20"/>
          <w:szCs w:val="20"/>
        </w:rPr>
      </w:pPr>
      <w:r>
        <w:rPr>
          <w:sz w:val="20"/>
          <w:szCs w:val="20"/>
        </w:rPr>
        <w:t>The accompanying notes are an integral part of these consolidated financial statements.</w:t>
      </w:r>
    </w:p>
    <w:p w:rsidR="00000000" w:rsidRDefault="00E35CFB">
      <w:pPr>
        <w:pStyle w:val="a3"/>
        <w:spacing w:before="0" w:beforeAutospacing="0" w:after="0" w:afterAutospacing="0"/>
        <w:jc w:val="center"/>
        <w:rPr>
          <w:sz w:val="18"/>
          <w:szCs w:val="18"/>
        </w:rPr>
      </w:pPr>
      <w:r>
        <w:rPr>
          <w:sz w:val="18"/>
          <w:szCs w:val="18"/>
        </w:rPr>
        <w:t> </w:t>
      </w:r>
    </w:p>
    <w:p w:rsidR="00000000" w:rsidRDefault="00E35CFB">
      <w:pPr>
        <w:pStyle w:val="a3"/>
        <w:spacing w:before="240" w:beforeAutospacing="0" w:after="0" w:afterAutospacing="0"/>
        <w:jc w:val="center"/>
        <w:rPr>
          <w:sz w:val="20"/>
          <w:szCs w:val="20"/>
        </w:rPr>
      </w:pPr>
      <w:r>
        <w:rPr>
          <w:sz w:val="20"/>
          <w:szCs w:val="20"/>
        </w:rPr>
        <w:t>3</w:t>
      </w:r>
    </w:p>
    <w:p w:rsidR="00000000" w:rsidRDefault="00E35CFB">
      <w:pPr>
        <w:rPr>
          <w:rFonts w:eastAsia="Times New Roman"/>
        </w:rPr>
      </w:pPr>
      <w:r>
        <w:rPr>
          <w:rFonts w:eastAsia="Times New Roman"/>
        </w:rPr>
        <w:pict>
          <v:rect id="_x0000_i1029"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CORECIVIC, INC. AND SUBSIDIARIES</w:t>
      </w:r>
    </w:p>
    <w:p w:rsidR="00000000" w:rsidRDefault="00E35CFB">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E35CFB">
      <w:pPr>
        <w:pStyle w:val="a3"/>
        <w:spacing w:before="0" w:beforeAutospacing="0" w:after="0" w:afterAutospacing="0"/>
        <w:jc w:val="center"/>
        <w:rPr>
          <w:b/>
          <w:bCs/>
          <w:sz w:val="20"/>
          <w:szCs w:val="20"/>
        </w:rPr>
      </w:pPr>
      <w:r>
        <w:rPr>
          <w:b/>
          <w:bCs/>
          <w:sz w:val="20"/>
          <w:szCs w:val="20"/>
        </w:rPr>
        <w:t>FOR THE QUARTERLY PERIODS ENDED JUNE 30, 2022</w:t>
      </w:r>
    </w:p>
    <w:p w:rsidR="00000000" w:rsidRDefault="00E35CFB">
      <w:pPr>
        <w:pStyle w:val="a3"/>
        <w:spacing w:before="0" w:beforeAutospacing="0" w:after="0" w:afterAutospacing="0"/>
        <w:jc w:val="center"/>
        <w:rPr>
          <w:sz w:val="20"/>
          <w:szCs w:val="20"/>
        </w:rPr>
      </w:pPr>
      <w:r>
        <w:rPr>
          <w:sz w:val="20"/>
          <w:szCs w:val="20"/>
        </w:rPr>
        <w:t>(UNAUDITED AND AMOUNTS IN THOUSANDS)</w:t>
      </w:r>
    </w:p>
    <w:p w:rsidR="00000000" w:rsidRDefault="00E35CFB">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37"/>
        <w:gridCol w:w="65"/>
        <w:gridCol w:w="65"/>
        <w:gridCol w:w="665"/>
        <w:gridCol w:w="82"/>
        <w:gridCol w:w="65"/>
        <w:gridCol w:w="115"/>
        <w:gridCol w:w="465"/>
        <w:gridCol w:w="82"/>
        <w:gridCol w:w="65"/>
        <w:gridCol w:w="115"/>
        <w:gridCol w:w="815"/>
        <w:gridCol w:w="82"/>
        <w:gridCol w:w="65"/>
        <w:gridCol w:w="116"/>
        <w:gridCol w:w="818"/>
        <w:gridCol w:w="82"/>
        <w:gridCol w:w="65"/>
        <w:gridCol w:w="116"/>
        <w:gridCol w:w="844"/>
        <w:gridCol w:w="82"/>
      </w:tblGrid>
      <w:tr w:rsidR="00000000">
        <w:trPr>
          <w:divId w:val="1862931597"/>
        </w:trPr>
        <w:tc>
          <w:tcPr>
            <w:tcW w:w="224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651"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62931597"/>
        </w:trPr>
        <w:tc>
          <w:tcPr>
            <w:tcW w:w="224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6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62931597"/>
        </w:trPr>
        <w:tc>
          <w:tcPr>
            <w:tcW w:w="224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62931597"/>
        </w:trPr>
        <w:tc>
          <w:tcPr>
            <w:tcW w:w="224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38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Balance as of December 31, 2021</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120,285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1,869,955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(498,690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1,372,468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(5,139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(5,144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Dividends on RSUs</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compensation, net of</w:t>
            </w:r>
          </w:p>
          <w:p w:rsidR="00000000" w:rsidRDefault="00E35CFB">
            <w:pPr>
              <w:pStyle w:val="a3"/>
              <w:spacing w:before="0" w:beforeAutospacing="0" w:after="0" w:afterAutospacing="0"/>
              <w:rPr>
                <w:color w:val="000000"/>
                <w:sz w:val="20"/>
                <w:szCs w:val="20"/>
              </w:rPr>
            </w:pPr>
            <w:r>
              <w:rPr>
                <w:color w:val="000000"/>
                <w:sz w:val="20"/>
                <w:szCs w:val="20"/>
              </w:rPr>
              <w:t>   forfeitures</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Balance as of March 31, 2022</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121,586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1,216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1,870,065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r>
              <w:rPr>
                <w:color w:val="000000"/>
                <w:sz w:val="20"/>
                <w:szCs w:val="20"/>
              </w:rPr>
              <w:t>479,764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1,391,517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10,562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10,562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(2,985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(37,569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(37,599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Forfeiture of dividends on RSUs</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4,453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4,453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lastRenderedPageBreak/>
              <w:t>Restricted stock grants</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3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62931597"/>
        </w:trPr>
        <w:tc>
          <w:tcPr>
            <w:tcW w:w="224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Balance as of June 30, 2022</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3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118,620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1,836,949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(469,195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1,368,940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
                <w:szCs w:val="2"/>
              </w:rPr>
            </w:pPr>
            <w:r>
              <w:rPr>
                <w:b/>
                <w:bCs/>
                <w:color w:val="000000"/>
                <w:sz w:val="2"/>
                <w:szCs w:val="2"/>
              </w:rPr>
              <w:t> </w:t>
            </w:r>
          </w:p>
        </w:tc>
      </w:tr>
    </w:tbl>
    <w:p w:rsidR="00000000" w:rsidRDefault="00E35CFB">
      <w:pPr>
        <w:pStyle w:val="a3"/>
        <w:spacing w:before="0" w:beforeAutospacing="0" w:after="0" w:afterAutospacing="0"/>
        <w:rPr>
          <w:b/>
          <w:bCs/>
          <w:sz w:val="20"/>
          <w:szCs w:val="20"/>
        </w:rPr>
      </w:pPr>
      <w:r>
        <w:rPr>
          <w:b/>
          <w:bCs/>
          <w:sz w:val="20"/>
          <w:szCs w:val="20"/>
        </w:rPr>
        <w:t> </w:t>
      </w:r>
    </w:p>
    <w:p w:rsidR="00000000" w:rsidRDefault="00E35CFB">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center"/>
        <w:rPr>
          <w:sz w:val="20"/>
          <w:szCs w:val="20"/>
        </w:rPr>
      </w:pPr>
      <w:r>
        <w:rPr>
          <w:sz w:val="20"/>
          <w:szCs w:val="20"/>
        </w:rPr>
        <w:t>4</w:t>
      </w:r>
    </w:p>
    <w:p w:rsidR="00000000" w:rsidRDefault="00E35CFB">
      <w:pPr>
        <w:rPr>
          <w:rFonts w:eastAsia="Times New Roman"/>
        </w:rPr>
      </w:pPr>
      <w:r>
        <w:rPr>
          <w:rFonts w:eastAsia="Times New Roman"/>
        </w:rPr>
        <w:pict>
          <v:rect id="_x0000_i1030"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CORECIVIC, INC. AND SUBSIDIARIES</w:t>
      </w:r>
    </w:p>
    <w:p w:rsidR="00000000" w:rsidRDefault="00E35CFB">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E35CFB">
      <w:pPr>
        <w:pStyle w:val="a3"/>
        <w:spacing w:before="0" w:beforeAutospacing="0" w:after="0" w:afterAutospacing="0"/>
        <w:jc w:val="center"/>
        <w:rPr>
          <w:b/>
          <w:bCs/>
          <w:sz w:val="20"/>
          <w:szCs w:val="20"/>
        </w:rPr>
      </w:pPr>
      <w:r>
        <w:rPr>
          <w:b/>
          <w:bCs/>
          <w:sz w:val="20"/>
          <w:szCs w:val="20"/>
        </w:rPr>
        <w:t>FOR THE QUARTERLY PERIODS ENDED JUNE 30, 2021</w:t>
      </w:r>
    </w:p>
    <w:p w:rsidR="00000000" w:rsidRDefault="00E35CFB">
      <w:pPr>
        <w:pStyle w:val="a3"/>
        <w:spacing w:before="0" w:beforeAutospacing="0" w:after="0" w:afterAutospacing="0"/>
        <w:jc w:val="center"/>
        <w:rPr>
          <w:sz w:val="20"/>
          <w:szCs w:val="20"/>
        </w:rPr>
      </w:pPr>
      <w:r>
        <w:rPr>
          <w:sz w:val="20"/>
          <w:szCs w:val="20"/>
        </w:rPr>
        <w:t>(UNAUDITED AND AMOUNTS IN THOUSANDS)</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9"/>
        <w:gridCol w:w="65"/>
        <w:gridCol w:w="65"/>
        <w:gridCol w:w="665"/>
        <w:gridCol w:w="82"/>
        <w:gridCol w:w="65"/>
        <w:gridCol w:w="115"/>
        <w:gridCol w:w="465"/>
        <w:gridCol w:w="82"/>
        <w:gridCol w:w="65"/>
        <w:gridCol w:w="115"/>
        <w:gridCol w:w="815"/>
        <w:gridCol w:w="82"/>
        <w:gridCol w:w="65"/>
        <w:gridCol w:w="130"/>
        <w:gridCol w:w="792"/>
        <w:gridCol w:w="82"/>
        <w:gridCol w:w="65"/>
        <w:gridCol w:w="133"/>
        <w:gridCol w:w="816"/>
        <w:gridCol w:w="82"/>
        <w:gridCol w:w="65"/>
        <w:gridCol w:w="117"/>
        <w:gridCol w:w="717"/>
        <w:gridCol w:w="65"/>
        <w:gridCol w:w="65"/>
        <w:gridCol w:w="115"/>
        <w:gridCol w:w="815"/>
        <w:gridCol w:w="82"/>
      </w:tblGrid>
      <w:tr w:rsidR="00000000">
        <w:trPr>
          <w:divId w:val="1362779872"/>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E35CFB">
        <w:trPr>
          <w:divId w:val="1362779872"/>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362779872"/>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362779872"/>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Balance as of December 31, 2020</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119,638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(446,519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Dividends on RSUs</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Balance as of March 31, 2021</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120,277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1,838,066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(572,305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1,266,964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1,290,235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Forfeiture of dividends on RSUs</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362779872"/>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Balance as of June 30, 2021</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120,285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1,842,395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(556,639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1,286,959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1,310,230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E35CFB">
      <w:pPr>
        <w:pStyle w:val="a3"/>
        <w:spacing w:before="0" w:beforeAutospacing="0" w:after="0" w:afterAutospacing="0"/>
        <w:jc w:val="center"/>
        <w:rPr>
          <w:sz w:val="18"/>
          <w:szCs w:val="18"/>
        </w:rPr>
      </w:pPr>
      <w:r>
        <w:rPr>
          <w:sz w:val="18"/>
          <w:szCs w:val="18"/>
        </w:rPr>
        <w:t> </w:t>
      </w:r>
    </w:p>
    <w:p w:rsidR="00000000" w:rsidRDefault="00E35CFB">
      <w:pPr>
        <w:pStyle w:val="a3"/>
        <w:spacing w:before="240" w:beforeAutospacing="0" w:after="0" w:afterAutospacing="0"/>
        <w:jc w:val="center"/>
        <w:rPr>
          <w:sz w:val="20"/>
          <w:szCs w:val="20"/>
        </w:rPr>
      </w:pPr>
      <w:r>
        <w:rPr>
          <w:sz w:val="20"/>
          <w:szCs w:val="20"/>
        </w:rPr>
        <w:t>5</w:t>
      </w:r>
    </w:p>
    <w:p w:rsidR="00000000" w:rsidRDefault="00E35CFB">
      <w:pPr>
        <w:rPr>
          <w:rFonts w:eastAsia="Times New Roman"/>
        </w:rPr>
      </w:pPr>
      <w:r>
        <w:rPr>
          <w:rFonts w:eastAsia="Times New Roman"/>
        </w:rPr>
        <w:pict>
          <v:rect id="_x0000_i1031"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CORECIVIC, INC. AND SUBSIDIARIES</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E35CFB">
      <w:pPr>
        <w:pStyle w:val="a3"/>
        <w:spacing w:before="0" w:beforeAutospacing="0" w:after="0" w:afterAutospacing="0"/>
        <w:jc w:val="center"/>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JUNE 30, 2022</w:t>
      </w:r>
    </w:p>
    <w:p w:rsidR="00000000" w:rsidRDefault="00E35CF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08110413"/>
        </w:trPr>
        <w:tc>
          <w:tcPr>
            <w:tcW w:w="227" w:type="pct"/>
            <w:noWrap/>
            <w:hideMark/>
          </w:tcPr>
          <w:p w:rsidR="00000000" w:rsidRDefault="00E35CFB">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ORGANIZATION AND OPERATIONS</w:t>
            </w:r>
          </w:p>
        </w:tc>
      </w:tr>
    </w:tbl>
    <w:p w:rsidR="00000000" w:rsidRDefault="00E35CFB">
      <w:pPr>
        <w:pStyle w:val="a3"/>
        <w:spacing w:before="120" w:beforeAutospacing="0" w:after="0" w:afterAutospacing="0"/>
        <w:ind w:left="476"/>
        <w:jc w:val="both"/>
        <w:rPr>
          <w:sz w:val="20"/>
          <w:szCs w:val="20"/>
        </w:rPr>
      </w:pPr>
      <w:r>
        <w:rPr>
          <w:sz w:val="20"/>
          <w:szCs w:val="20"/>
        </w:rPr>
        <w:t xml:space="preserve">CoreCivic, Inc. (together with its subsidiaries, the "Company" or "CoreCivic") is the nation's largest owner of partnership correctional, detention, and residential reentry facilities and one of the largest prison operators in </w:t>
      </w:r>
      <w:r>
        <w:rPr>
          <w:sz w:val="20"/>
          <w:szCs w:val="20"/>
        </w:rPr>
        <w:t>the United States.  The Company also believes it is the largest private owner of real estate used by government agencies in the U.S. Through three segments, CoreCivic Safety, CoreCivic Community, and CoreCivic Properties, the Company provides a broad range</w:t>
      </w:r>
      <w:r>
        <w:rPr>
          <w:sz w:val="20"/>
          <w:szCs w:val="20"/>
        </w:rPr>
        <w:t xml:space="preserve"> of solutions to government partners that serve the public good through corrections and detention management, a network of residential reentry centers to help address America's recidivism crisis, and government real estate solutions.  As of June 30, 2022, </w:t>
      </w:r>
      <w:r>
        <w:rPr>
          <w:sz w:val="20"/>
          <w:szCs w:val="20"/>
        </w:rPr>
        <w:t>through its CoreCivic Safety segment, the Company operated 45 correctional and detention facilities, 41 of which the Company owned, with a total design capacity of approximately 68,000 beds.  Through its CoreCivic Community segment, the Company owned and o</w:t>
      </w:r>
      <w:r>
        <w:rPr>
          <w:sz w:val="20"/>
          <w:szCs w:val="20"/>
        </w:rPr>
        <w:t>perated 24 residential reentry centers with a total design capacity of approximately 5,000 beds.  In addition, through its CoreCivic Properties segment, the Company owned 10 properties for lease to third parties and used by government agencies, totaling</w:t>
      </w:r>
      <w:r>
        <w:rPr>
          <w:sz w:val="20"/>
          <w:szCs w:val="20"/>
        </w:rPr>
        <w:t xml:space="preserve"> </w:t>
      </w:r>
      <w:r>
        <w:rPr>
          <w:sz w:val="20"/>
          <w:szCs w:val="20"/>
        </w:rPr>
        <w:t>1.</w:t>
      </w:r>
      <w:r>
        <w:rPr>
          <w:sz w:val="20"/>
          <w:szCs w:val="20"/>
        </w:rPr>
        <w:t>8 millio</w:t>
      </w:r>
      <w:r>
        <w:rPr>
          <w:sz w:val="20"/>
          <w:szCs w:val="20"/>
        </w:rPr>
        <w:t>n</w:t>
      </w:r>
      <w:r>
        <w:rPr>
          <w:sz w:val="20"/>
          <w:szCs w:val="20"/>
        </w:rPr>
        <w:t xml:space="preserve"> square feet. </w:t>
      </w:r>
    </w:p>
    <w:p w:rsidR="00000000" w:rsidRDefault="00E35CFB">
      <w:pPr>
        <w:pStyle w:val="a3"/>
        <w:spacing w:before="240" w:beforeAutospacing="0" w:after="0" w:afterAutospacing="0"/>
        <w:ind w:left="476"/>
        <w:jc w:val="both"/>
        <w:rPr>
          <w:sz w:val="20"/>
          <w:szCs w:val="20"/>
        </w:rPr>
      </w:pPr>
      <w:r>
        <w:rPr>
          <w:sz w:val="20"/>
          <w:szCs w:val="20"/>
        </w:rPr>
        <w:t>In addition to providing fundamental residential services, CoreCivic's correctional, detention, and reentry facilities offer a variety of rehabilitation and educational programs, including basic education, faith-based services, life skills and employment t</w:t>
      </w:r>
      <w:r>
        <w:rPr>
          <w:sz w:val="20"/>
          <w:szCs w:val="20"/>
        </w:rPr>
        <w:t>raining, and substance abuse treatment.  These services are intended to help reduce recidivism and to prepare offenders for their successful reentry into society upon their release.  CoreCivic also provides or makes available to offenders certain health ca</w:t>
      </w:r>
      <w:r>
        <w:rPr>
          <w:sz w:val="20"/>
          <w:szCs w:val="20"/>
        </w:rPr>
        <w:t>re (including medical, dental, and mental health services), food services, and work and recreational programs.</w:t>
      </w:r>
    </w:p>
    <w:p w:rsidR="00000000" w:rsidRDefault="00E35CFB">
      <w:pPr>
        <w:pStyle w:val="a3"/>
        <w:spacing w:before="0" w:beforeAutospacing="0" w:after="0" w:afterAutospacing="0"/>
        <w:rPr>
          <w:sz w:val="23"/>
          <w:szCs w:val="23"/>
        </w:rPr>
      </w:pPr>
      <w:r>
        <w:rPr>
          <w:sz w:val="23"/>
          <w:szCs w:val="23"/>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51279541"/>
        </w:trPr>
        <w:tc>
          <w:tcPr>
            <w:tcW w:w="227" w:type="pct"/>
            <w:noWrap/>
            <w:hideMark/>
          </w:tcPr>
          <w:p w:rsidR="00000000" w:rsidRDefault="00E35CFB">
            <w:pPr>
              <w:pStyle w:val="a3"/>
              <w:spacing w:before="240" w:beforeAutospacing="0" w:after="0" w:afterAutospacing="0"/>
              <w:rPr>
                <w:b/>
                <w:bCs/>
                <w:sz w:val="20"/>
                <w:szCs w:val="20"/>
              </w:rPr>
            </w:pPr>
            <w:r>
              <w:rPr>
                <w:b/>
                <w:bCs/>
                <w:sz w:val="20"/>
                <w:szCs w:val="20"/>
              </w:rPr>
              <w:t>2.</w:t>
            </w:r>
          </w:p>
        </w:tc>
        <w:tc>
          <w:tcPr>
            <w:tcW w:w="0" w:type="auto"/>
            <w:hideMark/>
          </w:tcPr>
          <w:p w:rsidR="00000000" w:rsidRDefault="00E35CFB">
            <w:pPr>
              <w:pStyle w:val="a3"/>
              <w:spacing w:before="240" w:beforeAutospacing="0" w:after="0" w:afterAutospacing="0"/>
              <w:rPr>
                <w:b/>
                <w:bCs/>
                <w:sz w:val="20"/>
                <w:szCs w:val="20"/>
              </w:rPr>
            </w:pPr>
            <w:r>
              <w:rPr>
                <w:b/>
                <w:bCs/>
                <w:sz w:val="20"/>
                <w:szCs w:val="20"/>
              </w:rPr>
              <w:t>BASIS OF PRESENTATION AND SUMMARY OF SIGNIFICANT ACCOUNTING POLICIES</w:t>
            </w:r>
          </w:p>
        </w:tc>
      </w:tr>
    </w:tbl>
    <w:p w:rsidR="00000000" w:rsidRDefault="00E35CFB">
      <w:pPr>
        <w:pStyle w:val="a3"/>
        <w:spacing w:before="0" w:beforeAutospacing="0" w:after="0" w:afterAutospacing="0"/>
        <w:jc w:val="both"/>
        <w:rPr>
          <w:b/>
          <w:bCs/>
          <w:sz w:val="12"/>
          <w:szCs w:val="12"/>
        </w:rPr>
      </w:pPr>
      <w:r>
        <w:rPr>
          <w:b/>
          <w:bCs/>
          <w:sz w:val="12"/>
          <w:szCs w:val="12"/>
        </w:rPr>
        <w:t> </w:t>
      </w:r>
    </w:p>
    <w:p w:rsidR="00000000" w:rsidRDefault="00E35CFB">
      <w:pPr>
        <w:pStyle w:val="a3"/>
        <w:spacing w:before="0" w:beforeAutospacing="0" w:after="0" w:afterAutospacing="0"/>
        <w:ind w:left="476"/>
        <w:jc w:val="both"/>
        <w:rPr>
          <w:sz w:val="20"/>
          <w:szCs w:val="20"/>
        </w:rPr>
      </w:pPr>
      <w:r>
        <w:rPr>
          <w:sz w:val="20"/>
          <w:szCs w:val="20"/>
        </w:rPr>
        <w:t>The accompanying unaudited interim consolidated financial statements</w:t>
      </w:r>
      <w:r>
        <w:rPr>
          <w:sz w:val="20"/>
          <w:szCs w:val="20"/>
        </w:rPr>
        <w:t xml:space="preserve"> have been prepared by the Company and, in the opinion of management, reflect all normal recurring adjustments necessary for a fair presentation of results for the unaudited interim periods presented.  Certain information and footnote disclosures normally </w:t>
      </w:r>
      <w:r>
        <w:rPr>
          <w:sz w:val="20"/>
          <w:szCs w:val="20"/>
        </w:rPr>
        <w:t>included in financial statements prepared in accordance with U.S. generally accepted accounting principles have been condensed or omitted.  The results of operations for the interim period are not necessarily indicative of the results to be obtained for th</w:t>
      </w:r>
      <w:r>
        <w:rPr>
          <w:sz w:val="20"/>
          <w:szCs w:val="20"/>
        </w:rPr>
        <w:t xml:space="preserve">e full fiscal year.  Reference is made to the audited financial statements of CoreCivic included in its Annual Report on Form 10-K for the year ended December 31, 2021 filed with the Securities and Exchange Commission (the "SEC") on February 18, 2022 (the </w:t>
      </w:r>
      <w:r>
        <w:rPr>
          <w:sz w:val="20"/>
          <w:szCs w:val="20"/>
        </w:rPr>
        <w:t xml:space="preserve">"2021 Form 10-K") with respect to certain significant accounting and financial reporting policies as well as other pertinent information of the Company. </w:t>
      </w:r>
    </w:p>
    <w:p w:rsidR="00000000" w:rsidRDefault="00E35CFB">
      <w:pPr>
        <w:pStyle w:val="a3"/>
        <w:spacing w:before="360" w:beforeAutospacing="0" w:after="0" w:afterAutospacing="0"/>
        <w:ind w:left="476"/>
        <w:jc w:val="both"/>
        <w:rPr>
          <w:b/>
          <w:bCs/>
          <w:sz w:val="20"/>
          <w:szCs w:val="20"/>
        </w:rPr>
      </w:pPr>
      <w:r>
        <w:rPr>
          <w:b/>
          <w:bCs/>
          <w:sz w:val="20"/>
          <w:szCs w:val="20"/>
        </w:rPr>
        <w:t>Risks and Uncertainties</w:t>
      </w:r>
    </w:p>
    <w:p w:rsidR="00000000" w:rsidRDefault="00E35CFB">
      <w:pPr>
        <w:pStyle w:val="a3"/>
        <w:spacing w:before="240" w:beforeAutospacing="0" w:after="0" w:afterAutospacing="0"/>
        <w:ind w:left="476"/>
        <w:jc w:val="both"/>
        <w:rPr>
          <w:sz w:val="20"/>
          <w:szCs w:val="20"/>
        </w:rPr>
      </w:pPr>
      <w:r>
        <w:rPr>
          <w:sz w:val="20"/>
          <w:szCs w:val="20"/>
        </w:rPr>
        <w:t>On January 26, 2021, President Biden issued the Executive Order on Reforming O</w:t>
      </w:r>
      <w:r>
        <w:rPr>
          <w:sz w:val="20"/>
          <w:szCs w:val="20"/>
        </w:rPr>
        <w:t>ur Incarceration System to Eliminate the Use of Privately Operated Criminal Detention Facilities ("Private Prison EO"). The Private Prison EO directs the Attorney General to not renew United States Department of Justice ("DOJ") contracts with privately ope</w:t>
      </w:r>
      <w:r>
        <w:rPr>
          <w:sz w:val="20"/>
          <w:szCs w:val="20"/>
        </w:rPr>
        <w:t xml:space="preserve">rated criminal detention facilities.  Two agencies of the DOJ, the United States Marshals Service ("USMS") and the Federal Bureau of Prisons ("BOP"), utilize CoreCivic's services. U.S. Immigration and Customs Enforcement ("ICE") facilities are not covered </w:t>
      </w:r>
      <w:r>
        <w:rPr>
          <w:sz w:val="20"/>
          <w:szCs w:val="20"/>
        </w:rPr>
        <w:t xml:space="preserve">by the Private Prison EO, as ICE is an agency of the Department of Homeland Security ("DHS"), not the DOJ, although it is possible that the federal government could choose to take similar action on ICE facilities in the future. </w:t>
      </w:r>
      <w:r>
        <w:rPr>
          <w:color w:val="000000"/>
          <w:spacing w:val="3"/>
          <w:sz w:val="20"/>
          <w:szCs w:val="20"/>
        </w:rPr>
        <w:t>We currently have six detent</w:t>
      </w:r>
      <w:r>
        <w:rPr>
          <w:color w:val="000000"/>
          <w:spacing w:val="3"/>
          <w:sz w:val="20"/>
          <w:szCs w:val="20"/>
        </w:rPr>
        <w:t>ion facilities that have separate contracts where the USMS is the primary customer within the facility that all expire at various times over the next several years, with the exception of two contracts that have indefinite terms.  During the third quarter o</w:t>
      </w:r>
      <w:r>
        <w:rPr>
          <w:color w:val="000000"/>
          <w:spacing w:val="3"/>
          <w:sz w:val="20"/>
          <w:szCs w:val="20"/>
        </w:rPr>
        <w:t>f 2022, CoreCivic renewed one of these contracts that expired on June 30, 2022, a contract with a local government agency at the Company's 2,672-bed Tallahatchie County Correctional Facility in Mississippi that allows the USMS to utilize available capacity</w:t>
      </w:r>
      <w:r>
        <w:rPr>
          <w:color w:val="000000"/>
          <w:spacing w:val="3"/>
          <w:sz w:val="20"/>
          <w:szCs w:val="20"/>
        </w:rPr>
        <w:t>, through June 30, 2024.  This contract also has an indefinite number of</w:t>
      </w:r>
      <w:r>
        <w:rPr>
          <w:color w:val="000000"/>
          <w:spacing w:val="3"/>
          <w:sz w:val="20"/>
          <w:szCs w:val="20"/>
        </w:rPr>
        <w:t xml:space="preserve"> </w:t>
      </w:r>
      <w:r>
        <w:rPr>
          <w:color w:val="000000"/>
          <w:spacing w:val="3"/>
          <w:sz w:val="20"/>
          <w:szCs w:val="20"/>
        </w:rPr>
        <w:t>two-yea</w:t>
      </w:r>
      <w:r>
        <w:rPr>
          <w:color w:val="000000"/>
          <w:spacing w:val="3"/>
          <w:sz w:val="20"/>
          <w:szCs w:val="20"/>
        </w:rPr>
        <w:t>r</w:t>
      </w:r>
      <w:r>
        <w:rPr>
          <w:color w:val="000000"/>
          <w:spacing w:val="3"/>
          <w:sz w:val="20"/>
          <w:szCs w:val="20"/>
        </w:rPr>
        <w:t xml:space="preserve"> extension options. </w:t>
      </w:r>
    </w:p>
    <w:p w:rsidR="00000000" w:rsidRDefault="00E35CFB">
      <w:pPr>
        <w:pStyle w:val="a3"/>
        <w:spacing w:before="240" w:beforeAutospacing="0" w:after="0" w:afterAutospacing="0"/>
        <w:jc w:val="center"/>
        <w:rPr>
          <w:sz w:val="20"/>
          <w:szCs w:val="20"/>
        </w:rPr>
      </w:pPr>
      <w:r>
        <w:rPr>
          <w:sz w:val="20"/>
          <w:szCs w:val="20"/>
        </w:rPr>
        <w:t>6</w:t>
      </w:r>
    </w:p>
    <w:p w:rsidR="00000000" w:rsidRDefault="00E35CFB">
      <w:pPr>
        <w:rPr>
          <w:rFonts w:eastAsia="Times New Roman"/>
        </w:rPr>
      </w:pPr>
      <w:r>
        <w:rPr>
          <w:rFonts w:eastAsia="Times New Roman"/>
        </w:rPr>
        <w:pict>
          <v:rect id="_x0000_i1032"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As a result of the Private Prison EO, the Company expects that the Company's management contract with the BOP at the Company's McRae Correctional Facility will not be renewed when it expires in November 2022. During 2021, the Company had four direct contra</w:t>
      </w:r>
      <w:r>
        <w:rPr>
          <w:sz w:val="20"/>
          <w:szCs w:val="20"/>
        </w:rPr>
        <w:t xml:space="preserve">cts with the USMS that expired and were not renewed.  At one of these facilities, </w:t>
      </w:r>
      <w:r>
        <w:rPr>
          <w:color w:val="000000"/>
          <w:spacing w:val="3"/>
          <w:sz w:val="20"/>
          <w:szCs w:val="20"/>
        </w:rPr>
        <w:t xml:space="preserve">the Company entered into a new contract with a local government agency to utilize the beds previously contracted by the USMS.  The local government agency is responsible for </w:t>
      </w:r>
      <w:r>
        <w:rPr>
          <w:color w:val="000000"/>
          <w:spacing w:val="3"/>
          <w:sz w:val="20"/>
          <w:szCs w:val="20"/>
        </w:rPr>
        <w:t>County inmates and federal detainees, including USMS detainees, and the County is using the facility to address its population needs</w:t>
      </w:r>
      <w:r>
        <w:rPr>
          <w:sz w:val="20"/>
          <w:szCs w:val="20"/>
        </w:rPr>
        <w:t>.  At another of these facilities, the Company expanded a state contract to utilize the beds previously contracted by the US</w:t>
      </w:r>
      <w:r>
        <w:rPr>
          <w:sz w:val="20"/>
          <w:szCs w:val="20"/>
        </w:rPr>
        <w:t>MS.  The remaining two facilities currently remain idle.  The Company expects that there may be further developments as each contract with the USMS reaches its expiration date, and will work with the USMS to enable it to continue to fulfill its mission. Ho</w:t>
      </w:r>
      <w:r>
        <w:rPr>
          <w:sz w:val="20"/>
          <w:szCs w:val="20"/>
        </w:rPr>
        <w:t>wever, the Company can provide no assurance that contracts with the USMS will be renewed or replaced upon their expiration.  The USMS and the BOP prison contracts accounted for 23% and 2%, respectively, of CoreCivic's total revenue for the year ended Decem</w:t>
      </w:r>
      <w:r>
        <w:rPr>
          <w:sz w:val="20"/>
          <w:szCs w:val="20"/>
        </w:rPr>
        <w:t>ber 31, 2021.</w:t>
      </w:r>
    </w:p>
    <w:p w:rsidR="00000000" w:rsidRDefault="00E35CFB">
      <w:pPr>
        <w:pStyle w:val="a3"/>
        <w:spacing w:before="360" w:beforeAutospacing="0" w:after="0" w:afterAutospacing="0"/>
        <w:ind w:left="476"/>
        <w:jc w:val="both"/>
        <w:rPr>
          <w:b/>
          <w:bCs/>
          <w:sz w:val="20"/>
          <w:szCs w:val="20"/>
        </w:rPr>
      </w:pPr>
      <w:r>
        <w:rPr>
          <w:b/>
          <w:bCs/>
          <w:sz w:val="20"/>
          <w:szCs w:val="20"/>
        </w:rPr>
        <w:t xml:space="preserve">Recent Accounting Pronouncements </w:t>
      </w:r>
    </w:p>
    <w:p w:rsidR="00000000" w:rsidRDefault="00E35CFB">
      <w:pPr>
        <w:pStyle w:val="a3"/>
        <w:spacing w:before="120" w:beforeAutospacing="0" w:after="0" w:afterAutospacing="0"/>
        <w:ind w:left="476"/>
        <w:jc w:val="both"/>
        <w:rPr>
          <w:color w:val="000000"/>
          <w:sz w:val="20"/>
          <w:szCs w:val="20"/>
        </w:rPr>
      </w:pPr>
      <w:r>
        <w:rPr>
          <w:color w:val="000000"/>
          <w:sz w:val="20"/>
          <w:szCs w:val="20"/>
        </w:rPr>
        <w:t xml:space="preserve">Recent accounting pronouncements issued by the FASB (including its Emerging Issues Task Force), the American Institute of Certified Public Accountants and the SEC applicable to financial statements beginning </w:t>
      </w:r>
      <w:r>
        <w:rPr>
          <w:color w:val="000000"/>
          <w:sz w:val="20"/>
          <w:szCs w:val="20"/>
        </w:rPr>
        <w:t>January 1, 2022 or later did not, or are not expected to, have a material effect on the Company's results of operations or financial position.</w:t>
      </w:r>
    </w:p>
    <w:p w:rsidR="00000000" w:rsidRDefault="00E35CFB">
      <w:pPr>
        <w:pStyle w:val="a3"/>
        <w:spacing w:before="360" w:beforeAutospacing="0" w:after="0" w:afterAutospacing="0"/>
        <w:ind w:left="476"/>
        <w:jc w:val="both"/>
        <w:rPr>
          <w:b/>
          <w:bCs/>
          <w:sz w:val="20"/>
          <w:szCs w:val="20"/>
        </w:rPr>
      </w:pPr>
      <w:r>
        <w:rPr>
          <w:b/>
          <w:bCs/>
          <w:sz w:val="20"/>
          <w:szCs w:val="20"/>
        </w:rPr>
        <w:t>Fair Value of Financial Instruments</w:t>
      </w:r>
    </w:p>
    <w:p w:rsidR="00000000" w:rsidRDefault="00E35CFB">
      <w:pPr>
        <w:pStyle w:val="a3"/>
        <w:spacing w:before="60" w:beforeAutospacing="0" w:after="0" w:afterAutospacing="0"/>
        <w:ind w:left="476"/>
        <w:jc w:val="both"/>
        <w:rPr>
          <w:sz w:val="20"/>
          <w:szCs w:val="20"/>
        </w:rPr>
      </w:pPr>
      <w:r>
        <w:rPr>
          <w:sz w:val="20"/>
          <w:szCs w:val="20"/>
        </w:rPr>
        <w:t>To meet the reporting requirements of Accounting Standards Codification ("ASC</w:t>
      </w:r>
      <w:r>
        <w:rPr>
          <w:sz w:val="20"/>
          <w:szCs w:val="20"/>
        </w:rPr>
        <w:t>") 825, "Financial Instruments", regarding fair value of financial instruments, CoreCivic calculates the estimated fair value of financial instruments using market interest rates, quoted market prices of similar instruments, or discounted cash flow techniq</w:t>
      </w:r>
      <w:r>
        <w:rPr>
          <w:sz w:val="20"/>
          <w:szCs w:val="20"/>
        </w:rPr>
        <w:t>ues with observable Level 1 inputs for publicly traded debt and Level 2 inputs for all other financial instruments, as defined in ASC 820, "Fair Value Measurement".  At June 30, 2022 and December 31, 2021, there were no material differences between the car</w:t>
      </w:r>
      <w:r>
        <w:rPr>
          <w:sz w:val="20"/>
          <w:szCs w:val="20"/>
        </w:rPr>
        <w:t>rying amounts and the estimated fair values of CoreCivic's financial instruments, other than as follows (in thousands):</w:t>
      </w:r>
    </w:p>
    <w:p w:rsidR="00000000" w:rsidRDefault="00E35CFB">
      <w:pPr>
        <w:pStyle w:val="a3"/>
        <w:spacing w:before="0" w:beforeAutospacing="0" w:after="0" w:afterAutospacing="0"/>
        <w:rPr>
          <w:sz w:val="20"/>
          <w:szCs w:val="20"/>
        </w:rPr>
      </w:pPr>
      <w:r>
        <w:rPr>
          <w:sz w:val="20"/>
          <w:szCs w:val="20"/>
        </w:rPr>
        <w:t> </w:t>
      </w:r>
    </w:p>
    <w:tbl>
      <w:tblPr>
        <w:tblW w:w="4273" w:type="pct"/>
        <w:tblInd w:w="4" w:type="dxa"/>
        <w:tblCellMar>
          <w:left w:w="0" w:type="dxa"/>
          <w:right w:w="0" w:type="dxa"/>
        </w:tblCellMar>
        <w:tblLook w:val="04A0" w:firstRow="1" w:lastRow="0" w:firstColumn="1" w:lastColumn="0" w:noHBand="0" w:noVBand="1"/>
      </w:tblPr>
      <w:tblGrid>
        <w:gridCol w:w="2522"/>
        <w:gridCol w:w="65"/>
        <w:gridCol w:w="115"/>
        <w:gridCol w:w="882"/>
        <w:gridCol w:w="82"/>
        <w:gridCol w:w="65"/>
        <w:gridCol w:w="115"/>
        <w:gridCol w:w="882"/>
        <w:gridCol w:w="82"/>
        <w:gridCol w:w="65"/>
        <w:gridCol w:w="115"/>
        <w:gridCol w:w="882"/>
        <w:gridCol w:w="82"/>
        <w:gridCol w:w="65"/>
        <w:gridCol w:w="115"/>
        <w:gridCol w:w="882"/>
        <w:gridCol w:w="82"/>
      </w:tblGrid>
      <w:tr w:rsidR="00000000">
        <w:trPr>
          <w:divId w:val="1720208773"/>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 2022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720208773"/>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E35CFB">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E35CFB">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720208773"/>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2,754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3,104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3,063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20208773"/>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Debt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(1,346,515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(1,281,560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(1,551,932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(1,560,346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0" w:beforeAutospacing="0" w:after="0" w:afterAutospacing="0"/>
        <w:ind w:left="476"/>
        <w:jc w:val="both"/>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0024386"/>
        </w:trPr>
        <w:tc>
          <w:tcPr>
            <w:tcW w:w="227" w:type="pct"/>
            <w:noWrap/>
            <w:hideMark/>
          </w:tcPr>
          <w:p w:rsidR="00000000" w:rsidRDefault="00E35CFB">
            <w:pPr>
              <w:pStyle w:val="a3"/>
              <w:spacing w:before="0" w:beforeAutospacing="0" w:after="0" w:afterAutospacing="0"/>
              <w:jc w:val="both"/>
              <w:rPr>
                <w:b/>
                <w:bCs/>
                <w:sz w:val="20"/>
                <w:szCs w:val="20"/>
              </w:rPr>
            </w:pPr>
            <w:r>
              <w:rPr>
                <w:b/>
                <w:bCs/>
                <w:sz w:val="20"/>
                <w:szCs w:val="20"/>
              </w:rPr>
              <w:t>3.</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GOO</w:t>
            </w:r>
            <w:r>
              <w:rPr>
                <w:b/>
                <w:bCs/>
                <w:sz w:val="20"/>
                <w:szCs w:val="20"/>
              </w:rPr>
              <w:t>DWILL</w:t>
            </w:r>
          </w:p>
        </w:tc>
      </w:tr>
    </w:tbl>
    <w:p w:rsidR="00000000" w:rsidRDefault="00E35CFB">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 million as of both June 30, 2022 and Dece</w:t>
      </w:r>
      <w:r>
        <w:rPr>
          <w:sz w:val="20"/>
          <w:szCs w:val="20"/>
        </w:rPr>
        <w:t>mber 31, 2021, all of which was related to the Company's CoreCivic Safety segment.</w:t>
      </w:r>
    </w:p>
    <w:p w:rsidR="00000000" w:rsidRDefault="00E35CFB">
      <w:pPr>
        <w:pStyle w:val="a3"/>
        <w:spacing w:before="240" w:beforeAutospacing="0" w:after="0" w:afterAutospacing="0"/>
        <w:ind w:left="476"/>
        <w:jc w:val="both"/>
        <w:rPr>
          <w:sz w:val="20"/>
          <w:szCs w:val="20"/>
        </w:rPr>
      </w:pPr>
      <w:r>
        <w:rPr>
          <w:sz w:val="20"/>
          <w:szCs w:val="20"/>
        </w:rPr>
        <w:t xml:space="preserve">CoreCivic performs its impairment tests during the fourth quarter in connection with its annual budgeting process, and whenever circumstances indicate the carrying value of </w:t>
      </w:r>
      <w:r>
        <w:rPr>
          <w:sz w:val="20"/>
          <w:szCs w:val="20"/>
        </w:rPr>
        <w:t>goodwill may not be recoverable.  Under the provisions of ASU 2017-04, CoreCivic performs a qualitative assessment to determine whether the existence of events or circumstances leads to a determination that it is more likely than not that the fair value of</w:t>
      </w:r>
      <w:r>
        <w:rPr>
          <w:sz w:val="20"/>
          <w:szCs w:val="20"/>
        </w:rPr>
        <w:t xml:space="preserve"> a reporting unit is less than its carrying amount.  If, after assessing the totality of events or circumstances, the Company determines it is more likely than not that the fair value of a reporting unit is less than its carrying amount, then the Company p</w:t>
      </w:r>
      <w:r>
        <w:rPr>
          <w:sz w:val="20"/>
          <w:szCs w:val="20"/>
        </w:rPr>
        <w:t>erforms a quantitative impairment test.  If a quantitative test is required, CoreCivic performs an assessment to identify the existence of impairment and to measure the excess of a reporting unit's carrying amount over its fair value by using a combination</w:t>
      </w:r>
      <w:r>
        <w:rPr>
          <w:sz w:val="20"/>
          <w:szCs w:val="20"/>
        </w:rPr>
        <w:t xml:space="preserve"> of various common valuation techniques, including market multiples and discounted cash flows under valuation methodologies that include an income approach and a market approach. The income valuation approach includes certain significant assumptions impact</w:t>
      </w:r>
      <w:r>
        <w:rPr>
          <w:sz w:val="20"/>
          <w:szCs w:val="20"/>
        </w:rPr>
        <w:t>ing projected future cash flows, such as projected revenue, projected operating costs, and the weighted average cost of capital, which are affected by expectations about future market or economic conditions.  These impairment tests are required to be perfo</w:t>
      </w:r>
      <w:r>
        <w:rPr>
          <w:sz w:val="20"/>
          <w:szCs w:val="20"/>
        </w:rPr>
        <w:t>rmed at least annually.  </w:t>
      </w:r>
    </w:p>
    <w:p w:rsidR="00000000" w:rsidRDefault="00E35CFB">
      <w:pPr>
        <w:pStyle w:val="a3"/>
        <w:spacing w:before="240" w:beforeAutospacing="0" w:after="0" w:afterAutospacing="0"/>
        <w:jc w:val="center"/>
        <w:rPr>
          <w:sz w:val="20"/>
          <w:szCs w:val="20"/>
        </w:rPr>
      </w:pPr>
      <w:r>
        <w:rPr>
          <w:sz w:val="20"/>
          <w:szCs w:val="20"/>
        </w:rPr>
        <w:t>7</w:t>
      </w:r>
    </w:p>
    <w:p w:rsidR="00000000" w:rsidRDefault="00E35CFB">
      <w:pPr>
        <w:rPr>
          <w:rFonts w:eastAsia="Times New Roman"/>
        </w:rPr>
      </w:pPr>
      <w:r>
        <w:rPr>
          <w:rFonts w:eastAsia="Times New Roman"/>
        </w:rPr>
        <w:pict>
          <v:rect id="_x0000_i1033"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016998"/>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REAL ESTATE TRANSACTIONS</w:t>
            </w:r>
          </w:p>
        </w:tc>
      </w:tr>
    </w:tbl>
    <w:p w:rsidR="00000000" w:rsidRDefault="00E35CFB">
      <w:pPr>
        <w:pStyle w:val="a3"/>
        <w:spacing w:before="120" w:beforeAutospacing="0" w:after="0" w:afterAutospacing="0"/>
        <w:ind w:left="476"/>
        <w:jc w:val="both"/>
        <w:rPr>
          <w:b/>
          <w:bCs/>
          <w:sz w:val="20"/>
          <w:szCs w:val="20"/>
        </w:rPr>
      </w:pPr>
      <w:r>
        <w:rPr>
          <w:b/>
          <w:bCs/>
          <w:sz w:val="20"/>
          <w:szCs w:val="20"/>
        </w:rPr>
        <w:t>Assets Held For Sale and Dispositions</w:t>
      </w:r>
    </w:p>
    <w:p w:rsidR="00000000" w:rsidRDefault="00E35CFB">
      <w:pPr>
        <w:pStyle w:val="a3"/>
        <w:spacing w:before="120" w:beforeAutospacing="0" w:after="0" w:afterAutospacing="0"/>
        <w:ind w:left="476"/>
        <w:jc w:val="both"/>
        <w:rPr>
          <w:sz w:val="20"/>
          <w:szCs w:val="20"/>
        </w:rPr>
      </w:pPr>
      <w:r>
        <w:rPr>
          <w:sz w:val="20"/>
          <w:szCs w:val="20"/>
        </w:rPr>
        <w:t xml:space="preserve">On July 25, 2022, CoreCivic entered into a Purchase &amp; </w:t>
      </w:r>
      <w:r>
        <w:rPr>
          <w:sz w:val="20"/>
          <w:szCs w:val="20"/>
        </w:rPr>
        <w:t>Sale Agreement with the Georgia Building Authority for the sale of CoreCivic's McRae Correctional Facility located in McRae, Georgia, and reported in CoreCivic's Safety segment, for a gross sales price of $130.0 million.  The aggregate carrying value of th</w:t>
      </w:r>
      <w:r>
        <w:rPr>
          <w:sz w:val="20"/>
          <w:szCs w:val="20"/>
        </w:rPr>
        <w:t>e real property, amounting to $52.8 million, was reflected as assets held for sale on the Company's consolidated balance sheet as of June 30, 2022.  CoreCivic currently has a management contract with the BOP at the McRae facility, which expires November 30</w:t>
      </w:r>
      <w:r>
        <w:rPr>
          <w:sz w:val="20"/>
          <w:szCs w:val="20"/>
        </w:rPr>
        <w:t xml:space="preserve">, 2022.  As previously disclosed, CoreCivic does not expect the BOP to renew the contract upon its expiration.  In connection with the sale, CoreCivic and the Georgia Building Authority entered into an agreement to lease the McRae Correctional Facility to </w:t>
      </w:r>
      <w:r>
        <w:rPr>
          <w:sz w:val="20"/>
          <w:szCs w:val="20"/>
        </w:rPr>
        <w:t>CoreCivic through November 30, 2022.  CoreCivic anticipates the sale to be completed during the third quarter of 2022, when it expects to report a gain on sale estimated to be in the range of $75.0 million to $80.0 million.  </w:t>
      </w:r>
    </w:p>
    <w:p w:rsidR="00000000" w:rsidRDefault="00E35CFB">
      <w:pPr>
        <w:pStyle w:val="a3"/>
        <w:spacing w:before="240" w:beforeAutospacing="0" w:after="0" w:afterAutospacing="0"/>
        <w:ind w:left="476"/>
        <w:jc w:val="both"/>
        <w:rPr>
          <w:sz w:val="20"/>
          <w:szCs w:val="20"/>
        </w:rPr>
      </w:pPr>
      <w:r>
        <w:rPr>
          <w:sz w:val="20"/>
          <w:szCs w:val="20"/>
        </w:rPr>
        <w:t>As of June 30, 2022, CoreCivic</w:t>
      </w:r>
      <w:r>
        <w:rPr>
          <w:sz w:val="20"/>
          <w:szCs w:val="20"/>
        </w:rPr>
        <w:t xml:space="preserve"> was also holding for sale its Stockton Female Community Corrections Facility and its Long Beach Community Corrections Center, both located in California, and reported in CoreCivic's Properties segment.  The aggregate carrying value of the properties amoun</w:t>
      </w:r>
      <w:r>
        <w:rPr>
          <w:sz w:val="20"/>
          <w:szCs w:val="20"/>
        </w:rPr>
        <w:t>ted to $8.5 million as of June 30, 2022.  During July 2022, CoreCivic completed the sale of these properties to a third-party generating net sales proceeds of $10.9 million, resulting in a gain on sale of $2.3 million after transaction costs, which will be</w:t>
      </w:r>
      <w:r>
        <w:rPr>
          <w:sz w:val="20"/>
          <w:szCs w:val="20"/>
        </w:rPr>
        <w:t xml:space="preserve"> reported in the third quarter of 2022.  As of June 30, 2022, CoreCivic also had an additional undeveloped parcel of land with a carrying value of $0.3 million classified as held for sale.  The sale of this parcel was completed during July 2022 and generat</w:t>
      </w:r>
      <w:r>
        <w:rPr>
          <w:sz w:val="20"/>
          <w:szCs w:val="20"/>
        </w:rPr>
        <w:t>ed net sales proceeds of $4.8 million, resulting in a gain of $4.2 million after transaction costs, which will be reported in the third quarter of 2022.  </w:t>
      </w:r>
    </w:p>
    <w:p w:rsidR="00000000" w:rsidRDefault="00E35CFB">
      <w:pPr>
        <w:pStyle w:val="a3"/>
        <w:spacing w:before="240" w:beforeAutospacing="0" w:after="0" w:afterAutospacing="0"/>
        <w:ind w:left="476"/>
        <w:jc w:val="both"/>
        <w:rPr>
          <w:sz w:val="20"/>
          <w:szCs w:val="20"/>
        </w:rPr>
      </w:pPr>
      <w:r>
        <w:rPr>
          <w:sz w:val="20"/>
          <w:szCs w:val="20"/>
        </w:rPr>
        <w:t>During the second quarter of 2022, CoreCivic sold an undeveloped parcel of land in Kern, California. </w:t>
      </w:r>
      <w:r>
        <w:rPr>
          <w:sz w:val="20"/>
          <w:szCs w:val="20"/>
        </w:rPr>
        <w:t> The sale generated net proceeds of $1.5 million, resulting in a gain on sale of $1.1 million after transaction costs.  </w:t>
      </w:r>
    </w:p>
    <w:p w:rsidR="00000000" w:rsidRDefault="00E35CFB">
      <w:pPr>
        <w:pStyle w:val="a3"/>
        <w:spacing w:before="240" w:beforeAutospacing="0" w:after="0" w:afterAutospacing="0"/>
        <w:ind w:left="476"/>
        <w:jc w:val="both"/>
        <w:rPr>
          <w:sz w:val="20"/>
          <w:szCs w:val="20"/>
        </w:rPr>
      </w:pPr>
      <w:r>
        <w:rPr>
          <w:sz w:val="20"/>
          <w:szCs w:val="20"/>
        </w:rPr>
        <w:t>As of December 31, 2021, CoreCivic had two facilities in its CoreCivic Community segment held for sale.  The aggregate carrying value o</w:t>
      </w:r>
      <w:r>
        <w:rPr>
          <w:sz w:val="20"/>
          <w:szCs w:val="20"/>
        </w:rPr>
        <w:t>f the property and equipment of these two facilities, amounting to $7.0 million, was reflected as assets held for sale on the Company's consolidated balance sheet as of December 31, 2021.  The Company closed on the sale of these two facilities, one of whic</w:t>
      </w:r>
      <w:r>
        <w:rPr>
          <w:sz w:val="20"/>
          <w:szCs w:val="20"/>
        </w:rPr>
        <w:t>h was idled, in the first quarter of 2022.  The aggregate net sales proceeds of the two facilities was $9.3 million, resulting in a net gain on sale of $2.3 million after transaction costs.</w:t>
      </w:r>
    </w:p>
    <w:p w:rsidR="00000000" w:rsidRDefault="00E35CFB">
      <w:pPr>
        <w:pStyle w:val="a3"/>
        <w:spacing w:before="240" w:beforeAutospacing="0" w:after="0" w:afterAutospacing="0"/>
        <w:ind w:left="476"/>
        <w:jc w:val="both"/>
        <w:rPr>
          <w:sz w:val="20"/>
          <w:szCs w:val="20"/>
        </w:rPr>
      </w:pPr>
      <w:r>
        <w:rPr>
          <w:sz w:val="20"/>
          <w:szCs w:val="20"/>
        </w:rPr>
        <w:t>During the full year 2021, CoreCivic also completed the sale of fi</w:t>
      </w:r>
      <w:r>
        <w:rPr>
          <w:sz w:val="20"/>
          <w:szCs w:val="20"/>
        </w:rPr>
        <w:t>ve government leased properties in the Company's Properties segment.  The sales of the five properties generated aggregate net proceeds of $125.0 million, after the repayment of debt and other transaction-related costs, resulting in an aggregate net gain o</w:t>
      </w:r>
      <w:r>
        <w:rPr>
          <w:sz w:val="20"/>
          <w:szCs w:val="20"/>
        </w:rPr>
        <w:t>n sale of $38.7 million.  </w:t>
      </w:r>
    </w:p>
    <w:p w:rsidR="00000000" w:rsidRDefault="00E35CFB">
      <w:pPr>
        <w:pStyle w:val="a3"/>
        <w:spacing w:before="240" w:beforeAutospacing="0" w:after="0" w:afterAutospacing="0"/>
        <w:ind w:left="476"/>
        <w:jc w:val="both"/>
        <w:rPr>
          <w:sz w:val="20"/>
          <w:szCs w:val="20"/>
        </w:rPr>
      </w:pPr>
      <w:r>
        <w:rPr>
          <w:sz w:val="20"/>
          <w:szCs w:val="20"/>
        </w:rPr>
        <w:t>CoreCivic determined that its joint venture investment in Government Real Estate Solutions, LLC ("GRES"), an unrestricted subsidiary previously controlled by the Company, represented a variable interest entity ("VIE") in accordan</w:t>
      </w:r>
      <w:r>
        <w:rPr>
          <w:sz w:val="20"/>
          <w:szCs w:val="20"/>
        </w:rPr>
        <w:t>ce with ASC 810, "Consolidation".  CoreCivic had 100% voting control in GRES. Accordingly, CoreCivic concluded that it was the primary beneficiary of GRES and consolidated the VIE.  The primary beneficiary is the entity that has (i) the power to direct the</w:t>
      </w:r>
      <w:r>
        <w:rPr>
          <w:sz w:val="20"/>
          <w:szCs w:val="20"/>
        </w:rPr>
        <w:t xml:space="preserve"> activities that most significantly impact the entity's economic performance and (ii) the obligation to absorb losses of the VIE or the right to receive benefits from the VIE that could be significant to the VIE.  During June 2021, CoreCivic provided notic</w:t>
      </w:r>
      <w:r>
        <w:rPr>
          <w:sz w:val="20"/>
          <w:szCs w:val="20"/>
        </w:rPr>
        <w:t>e to the partners of GRES of its intent to distribute the remaining assets and terminate the partnership.  The Company terminated the partnership in September 2021 and cancelled the applicable Operating Partnership Units for no consideration.  During the t</w:t>
      </w:r>
      <w:r>
        <w:rPr>
          <w:sz w:val="20"/>
          <w:szCs w:val="20"/>
        </w:rPr>
        <w:t>hird quarter of 2021, the Company reported an increase to stockholders' equity of $17.4 million resulting from the termination of the partnership.</w:t>
      </w:r>
    </w:p>
    <w:p w:rsidR="00000000" w:rsidRDefault="00E35CFB">
      <w:pPr>
        <w:pStyle w:val="a3"/>
        <w:spacing w:before="240" w:beforeAutospacing="0" w:after="0" w:afterAutospacing="0"/>
        <w:jc w:val="center"/>
        <w:rPr>
          <w:sz w:val="20"/>
          <w:szCs w:val="20"/>
        </w:rPr>
      </w:pPr>
      <w:r>
        <w:rPr>
          <w:sz w:val="20"/>
          <w:szCs w:val="20"/>
        </w:rPr>
        <w:t>8</w:t>
      </w:r>
    </w:p>
    <w:p w:rsidR="00000000" w:rsidRDefault="00E35CFB">
      <w:pPr>
        <w:rPr>
          <w:rFonts w:eastAsia="Times New Roman"/>
        </w:rPr>
      </w:pPr>
      <w:r>
        <w:rPr>
          <w:rFonts w:eastAsia="Times New Roman"/>
        </w:rPr>
        <w:pict>
          <v:rect id="_x0000_i1034"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ind w:left="476"/>
        <w:jc w:val="both"/>
        <w:rPr>
          <w:b/>
          <w:bCs/>
          <w:sz w:val="20"/>
          <w:szCs w:val="20"/>
        </w:rPr>
      </w:pPr>
      <w:r>
        <w:rPr>
          <w:b/>
          <w:bCs/>
          <w:sz w:val="20"/>
          <w:szCs w:val="20"/>
        </w:rPr>
        <w:t>Idle Facilities</w:t>
      </w:r>
    </w:p>
    <w:p w:rsidR="00000000" w:rsidRDefault="00E35CFB">
      <w:pPr>
        <w:pStyle w:val="a3"/>
        <w:spacing w:before="120" w:beforeAutospacing="0" w:after="0" w:afterAutospacing="0"/>
        <w:ind w:left="476"/>
        <w:jc w:val="both"/>
        <w:rPr>
          <w:sz w:val="20"/>
          <w:szCs w:val="20"/>
        </w:rPr>
      </w:pPr>
      <w:r>
        <w:rPr>
          <w:sz w:val="20"/>
          <w:szCs w:val="20"/>
        </w:rPr>
        <w:t>As of June 30, 2022, CoreCivic had seven idled CoreCivic Safety correctional facilities that are currently available and being actively marketed as solutions to meet the needs of potential customers. Th</w:t>
      </w:r>
      <w:r>
        <w:rPr>
          <w:sz w:val="20"/>
          <w:szCs w:val="20"/>
        </w:rPr>
        <w:t xml:space="preserve">e following table summarizes each of the idled facilities and their respective carrying values, </w:t>
      </w:r>
      <w:r>
        <w:rPr>
          <w:color w:val="000000"/>
          <w:sz w:val="20"/>
          <w:szCs w:val="20"/>
          <w:shd w:val="clear" w:color="auto" w:fill="FFFFFF"/>
        </w:rPr>
        <w:t>excluding equipment and other assets that could generally be transferred and used at other facilities CoreCivic owns without significant cost (dollars in thousa</w:t>
      </w:r>
      <w:r>
        <w:rPr>
          <w:color w:val="000000"/>
          <w:sz w:val="20"/>
          <w:szCs w:val="20"/>
          <w:shd w:val="clear" w:color="auto" w:fill="FFFFFF"/>
        </w:rPr>
        <w:t>nds)</w:t>
      </w:r>
      <w:r>
        <w:rPr>
          <w:sz w:val="20"/>
          <w:szCs w:val="20"/>
        </w:rPr>
        <w:t>:</w:t>
      </w:r>
    </w:p>
    <w:p w:rsidR="00000000" w:rsidRDefault="00E35CFB">
      <w:pPr>
        <w:pStyle w:val="a3"/>
        <w:spacing w:before="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20"/>
        <w:gridCol w:w="65"/>
        <w:gridCol w:w="66"/>
        <w:gridCol w:w="575"/>
        <w:gridCol w:w="65"/>
        <w:gridCol w:w="65"/>
        <w:gridCol w:w="115"/>
        <w:gridCol w:w="665"/>
        <w:gridCol w:w="65"/>
        <w:gridCol w:w="65"/>
        <w:gridCol w:w="116"/>
        <w:gridCol w:w="867"/>
        <w:gridCol w:w="65"/>
      </w:tblGrid>
      <w:tr w:rsidR="00000000">
        <w:trPr>
          <w:divId w:val="1583368448"/>
        </w:trPr>
        <w:tc>
          <w:tcPr>
            <w:tcW w:w="288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pPr>
            <w: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295" w:type="pct"/>
            <w:gridSpan w:val="6"/>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583368448"/>
        </w:trPr>
        <w:tc>
          <w:tcPr>
            <w:tcW w:w="288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583368448"/>
        </w:trPr>
        <w:tc>
          <w:tcPr>
            <w:tcW w:w="2880"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Facility</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583368448"/>
        </w:trPr>
        <w:tc>
          <w:tcPr>
            <w:tcW w:w="2880" w:type="pct"/>
            <w:tcBorders>
              <w:top w:val="single" w:sz="6" w:space="0" w:color="000000"/>
            </w:tcBorders>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Prairie Correctional Facility</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13,971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14,416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Huerfano County Correctional Center</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14,908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15,230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Diamondback Correctional Facility</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36,047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36,917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Marion Adjustment Center</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10,535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10,743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Kit Carson Correctional Center</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50,061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50,950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West Tennessee Detention Facility</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20,102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20,622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Leavenworth Detention Center</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1,033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53,009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54,162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583368448"/>
        </w:trPr>
        <w:tc>
          <w:tcPr>
            <w:tcW w:w="288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8,459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198,633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203,040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ind w:left="476"/>
        <w:jc w:val="both"/>
        <w:rPr>
          <w:sz w:val="20"/>
          <w:szCs w:val="20"/>
        </w:rPr>
      </w:pPr>
      <w:r>
        <w:rPr>
          <w:sz w:val="20"/>
          <w:szCs w:val="20"/>
        </w:rPr>
        <w:t>As of June 30, 2022,</w:t>
      </w:r>
      <w:r>
        <w:t xml:space="preserve"> </w:t>
      </w:r>
      <w:r>
        <w:rPr>
          <w:sz w:val="20"/>
          <w:szCs w:val="20"/>
        </w:rPr>
        <w:t>CoreCivic also had one idled non-core facility in its Safety segment containing 240 beds with a net book value of $3.0 million, and three idled facilities in its Community segment, containing an aggregate of 650 beds with an aggregat</w:t>
      </w:r>
      <w:r>
        <w:rPr>
          <w:sz w:val="20"/>
          <w:szCs w:val="20"/>
        </w:rPr>
        <w:t>e net book value of $8.7 million.  </w:t>
      </w:r>
    </w:p>
    <w:p w:rsidR="00000000" w:rsidRDefault="00E35CFB">
      <w:pPr>
        <w:pStyle w:val="a3"/>
        <w:spacing w:before="240" w:beforeAutospacing="0" w:after="0" w:afterAutospacing="0"/>
        <w:ind w:left="476"/>
        <w:jc w:val="both"/>
        <w:rPr>
          <w:sz w:val="20"/>
          <w:szCs w:val="20"/>
        </w:rPr>
      </w:pPr>
      <w:r>
        <w:rPr>
          <w:sz w:val="20"/>
          <w:szCs w:val="20"/>
        </w:rPr>
        <w:t xml:space="preserve">CoreCivic incurred operating expenses at these idled facilities of approximately $2.7 million and $1.9 million during the period they were idle for the three months ended June 30, 2022 and 2021, respectively.  CoreCivic </w:t>
      </w:r>
      <w:r>
        <w:rPr>
          <w:sz w:val="20"/>
          <w:szCs w:val="20"/>
        </w:rPr>
        <w:t xml:space="preserve">incurred operating expenses at these idled facilities of approximately $4.7 million and $4.0 million during the period they were idle for the six months ended June 30, 2022 and 2021, respectively. The amount for the six months ended June 30, 2022 excludes </w:t>
      </w:r>
      <w:r>
        <w:rPr>
          <w:sz w:val="20"/>
          <w:szCs w:val="20"/>
        </w:rPr>
        <w:t>$3.5 million of operating expenses incurred at the West Tennessee Detention Facility and the Leavenworth Detention Center during the three months ended March 31, 2022.  The West Tennessee facility was idled upon the expiration of a USMS contract on Septemb</w:t>
      </w:r>
      <w:r>
        <w:rPr>
          <w:sz w:val="20"/>
          <w:szCs w:val="20"/>
        </w:rPr>
        <w:t>er 30, 2021, and the Leavenworth facility was idled upon the expiration of a USMS contract on December 31, 2021.  Although recently idled, CoreCivic retained a certain staffing level at both facilities during the first three months of 2022 in order to quic</w:t>
      </w:r>
      <w:r>
        <w:rPr>
          <w:sz w:val="20"/>
          <w:szCs w:val="20"/>
        </w:rPr>
        <w:t>kly respond in the event the Company was able to enter into new contracts with government agencies promptly following the contract expirations.  The Company also continued to incur expenses related to transportation services provided by staff at the Leaven</w:t>
      </w:r>
      <w:r>
        <w:rPr>
          <w:sz w:val="20"/>
          <w:szCs w:val="20"/>
        </w:rPr>
        <w:t xml:space="preserve">worth facility during the first three months of 2022. </w:t>
      </w:r>
    </w:p>
    <w:p w:rsidR="00000000" w:rsidRDefault="00E35CFB">
      <w:pPr>
        <w:pStyle w:val="a3"/>
        <w:spacing w:before="240" w:beforeAutospacing="0" w:after="0" w:afterAutospacing="0"/>
        <w:ind w:left="476"/>
        <w:jc w:val="both"/>
        <w:rPr>
          <w:color w:val="000000"/>
          <w:sz w:val="20"/>
          <w:szCs w:val="20"/>
        </w:rPr>
      </w:pPr>
      <w:r>
        <w:rPr>
          <w:color w:val="000000"/>
          <w:sz w:val="20"/>
          <w:szCs w:val="20"/>
        </w:rPr>
        <w:t>The Company estimated undiscounted cash flows for each facility with an impairment indicator, including the idle facilities described above. The Company’s estimated undiscounted cash flows reflect the Company’s most recent expectations around potential uti</w:t>
      </w:r>
      <w:r>
        <w:rPr>
          <w:color w:val="000000"/>
          <w:sz w:val="20"/>
          <w:szCs w:val="20"/>
        </w:rPr>
        <w:t>lization and/or sale of the facilities and projected cash flows based on historical cash flows, cash flows of comparable facilities, and recent contract negotiations for utilization. The Company concluded that the estimated undiscounted cash flows exceeded</w:t>
      </w:r>
      <w:r>
        <w:rPr>
          <w:color w:val="000000"/>
          <w:sz w:val="20"/>
          <w:szCs w:val="20"/>
        </w:rPr>
        <w:t xml:space="preserve"> carrying values for each facility as of June 30, 2022 and December 31, 2021.</w:t>
      </w:r>
      <w:r>
        <w:rPr>
          <w:color w:val="000000"/>
          <w:sz w:val="20"/>
          <w:szCs w:val="20"/>
          <w:shd w:val="clear" w:color="auto" w:fill="FFFFFF"/>
        </w:rPr>
        <w:t xml:space="preserve"> </w:t>
      </w:r>
    </w:p>
    <w:p w:rsidR="00000000" w:rsidRDefault="00E35CFB">
      <w:pPr>
        <w:pStyle w:val="a3"/>
        <w:spacing w:before="240" w:beforeAutospacing="0" w:after="0" w:afterAutospacing="0"/>
        <w:ind w:left="476"/>
        <w:jc w:val="both"/>
        <w:rPr>
          <w:sz w:val="20"/>
          <w:szCs w:val="20"/>
        </w:rPr>
      </w:pPr>
      <w:r>
        <w:rPr>
          <w:sz w:val="20"/>
          <w:szCs w:val="20"/>
        </w:rPr>
        <w:t xml:space="preserve">CoreCivic </w:t>
      </w:r>
      <w:r>
        <w:rPr>
          <w:color w:val="000000"/>
          <w:sz w:val="20"/>
          <w:szCs w:val="20"/>
          <w:shd w:val="clear" w:color="auto" w:fill="FFFFFF"/>
        </w:rPr>
        <w:t>evaluates on a quarterly basis market developments for the potential utilization of each of its idle properties in order to identify events that may cause CoreCivic to</w:t>
      </w:r>
      <w:r>
        <w:rPr>
          <w:color w:val="000000"/>
          <w:sz w:val="20"/>
          <w:szCs w:val="20"/>
          <w:shd w:val="clear" w:color="auto" w:fill="FFFFFF"/>
        </w:rPr>
        <w:t xml:space="preserve"> reconsider its assumptions with respect to the recoverability of book values as compared to undiscounted cash flows.  CoreCivic considers the cancellation of a contract in its Safety or Community segment or an expiration and non-renewal of a lease agreeme</w:t>
      </w:r>
      <w:r>
        <w:rPr>
          <w:color w:val="000000"/>
          <w:sz w:val="20"/>
          <w:szCs w:val="20"/>
          <w:shd w:val="clear" w:color="auto" w:fill="FFFFFF"/>
        </w:rPr>
        <w:t>nt in its CoreCivic Properties segment as indicators of impairment and tests each of the idled properties for impairment when it was notified by the respective</w:t>
      </w:r>
      <w:r>
        <w:rPr>
          <w:sz w:val="20"/>
          <w:szCs w:val="20"/>
        </w:rPr>
        <w:t xml:space="preserve"> customers or tenants that they would no longer be utilizing such property.</w:t>
      </w:r>
      <w:r>
        <w:rPr>
          <w:color w:val="000000"/>
          <w:sz w:val="20"/>
          <w:szCs w:val="20"/>
        </w:rPr>
        <w:t xml:space="preserve"> </w:t>
      </w:r>
    </w:p>
    <w:p w:rsidR="00000000" w:rsidRDefault="00E35CFB">
      <w:pPr>
        <w:pStyle w:val="a3"/>
        <w:spacing w:before="240" w:beforeAutospacing="0" w:after="0" w:afterAutospacing="0"/>
        <w:ind w:left="476"/>
        <w:jc w:val="both"/>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 </w:t>
      </w:r>
    </w:p>
    <w:p w:rsidR="00000000" w:rsidRDefault="00E35CFB">
      <w:pPr>
        <w:pStyle w:val="a3"/>
        <w:spacing w:before="0" w:beforeAutospacing="0" w:after="0" w:afterAutospacing="0"/>
        <w:rPr>
          <w:color w:val="000000"/>
          <w:sz w:val="20"/>
          <w:szCs w:val="20"/>
        </w:rPr>
      </w:pPr>
    </w:p>
    <w:p w:rsidR="00000000" w:rsidRDefault="00E35CFB">
      <w:pPr>
        <w:pStyle w:val="a3"/>
        <w:spacing w:before="240" w:beforeAutospacing="0" w:after="0" w:afterAutospacing="0"/>
        <w:jc w:val="center"/>
        <w:rPr>
          <w:sz w:val="20"/>
          <w:szCs w:val="20"/>
        </w:rPr>
      </w:pPr>
      <w:r>
        <w:rPr>
          <w:sz w:val="20"/>
          <w:szCs w:val="20"/>
        </w:rPr>
        <w:t>9</w:t>
      </w:r>
    </w:p>
    <w:p w:rsidR="00000000" w:rsidRDefault="00E35CFB">
      <w:pPr>
        <w:rPr>
          <w:rFonts w:eastAsia="Times New Roman"/>
        </w:rPr>
      </w:pPr>
      <w:r>
        <w:rPr>
          <w:rFonts w:eastAsia="Times New Roman"/>
        </w:rPr>
        <w:pict>
          <v:rect id="_x0000_i1035"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58206512"/>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5.</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DEBT</w:t>
            </w:r>
          </w:p>
        </w:tc>
      </w:tr>
    </w:tbl>
    <w:p w:rsidR="00000000" w:rsidRDefault="00E35CFB">
      <w:pPr>
        <w:pStyle w:val="a3"/>
        <w:spacing w:before="120" w:beforeAutospacing="0" w:after="0" w:afterAutospacing="0"/>
        <w:ind w:left="476"/>
        <w:jc w:val="both"/>
        <w:rPr>
          <w:sz w:val="20"/>
          <w:szCs w:val="20"/>
        </w:rPr>
      </w:pPr>
      <w:r>
        <w:rPr>
          <w:sz w:val="20"/>
          <w:szCs w:val="20"/>
        </w:rPr>
        <w:t xml:space="preserve">Debt outstanding as of June 30, 2022 and December 31, 2021 consisted of the following (in thousands): </w:t>
      </w:r>
    </w:p>
    <w:p w:rsidR="00000000" w:rsidRDefault="00E35CFB">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sz w:val="16"/>
                <w:szCs w:val="16"/>
              </w:rPr>
            </w:pPr>
            <w:r>
              <w:rPr>
                <w:sz w:val="16"/>
                <w:szCs w:val="16"/>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center"/>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May 202</w:t>
            </w:r>
            <w:r>
              <w:rPr>
                <w:color w:val="000000"/>
                <w:sz w:val="20"/>
                <w:szCs w:val="20"/>
              </w:rPr>
              <w:t>6</w:t>
            </w:r>
            <w:r>
              <w:rPr>
                <w:color w:val="000000"/>
                <w:sz w:val="20"/>
                <w:szCs w:val="20"/>
              </w:rPr>
              <w:t>. Interest payable</w:t>
            </w:r>
          </w:p>
          <w:p w:rsidR="00000000" w:rsidRDefault="00E35CFB">
            <w:pPr>
              <w:pStyle w:val="a3"/>
              <w:spacing w:before="0" w:beforeAutospacing="0" w:after="0" w:afterAutospacing="0"/>
              <w:rPr>
                <w:color w:val="000000"/>
                <w:sz w:val="20"/>
                <w:szCs w:val="20"/>
              </w:rPr>
            </w:pPr>
            <w:r>
              <w:rPr>
                <w:color w:val="000000"/>
                <w:sz w:val="20"/>
                <w:szCs w:val="20"/>
              </w:rPr>
              <w:t>    periodically at variable interest rates.</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May 202</w:t>
            </w:r>
            <w:r>
              <w:rPr>
                <w:color w:val="000000"/>
                <w:sz w:val="20"/>
                <w:szCs w:val="20"/>
              </w:rPr>
              <w:t>6</w:t>
            </w:r>
            <w:r>
              <w:rPr>
                <w:color w:val="000000"/>
                <w:sz w:val="20"/>
                <w:szCs w:val="20"/>
              </w:rPr>
              <w:t>.  Interest payable periodically</w:t>
            </w:r>
          </w:p>
          <w:p w:rsidR="00000000" w:rsidRDefault="00E35CFB">
            <w:pPr>
              <w:pStyle w:val="a3"/>
              <w:spacing w:before="0" w:beforeAutospacing="0" w:after="0" w:afterAutospacing="0"/>
              <w:rPr>
                <w:color w:val="000000"/>
                <w:sz w:val="20"/>
                <w:szCs w:val="20"/>
              </w:rPr>
            </w:pPr>
            <w:r>
              <w:rPr>
                <w:color w:val="000000"/>
                <w:sz w:val="20"/>
                <w:szCs w:val="20"/>
              </w:rPr>
              <w:t>    at variable interest rates. The rate at June 30, 2022 and</w:t>
            </w:r>
          </w:p>
          <w:p w:rsidR="00000000" w:rsidRDefault="00E35CFB">
            <w:pPr>
              <w:pStyle w:val="a3"/>
              <w:spacing w:before="0" w:beforeAutospacing="0" w:after="0" w:afterAutospacing="0"/>
              <w:rPr>
                <w:color w:val="000000"/>
                <w:sz w:val="20"/>
                <w:szCs w:val="20"/>
              </w:rPr>
            </w:pPr>
            <w:r>
              <w:rPr>
                <w:color w:val="000000"/>
                <w:sz w:val="20"/>
                <w:szCs w:val="20"/>
              </w:rPr>
              <w:t>    Dece</w:t>
            </w:r>
            <w:r>
              <w:rPr>
                <w:color w:val="000000"/>
                <w:sz w:val="20"/>
                <w:szCs w:val="20"/>
              </w:rPr>
              <w:t>mber 31, 2021 was 4.5% and 1.4%, respectively.  Unamortized</w:t>
            </w:r>
          </w:p>
          <w:p w:rsidR="00000000" w:rsidRDefault="00E35CFB">
            <w:pPr>
              <w:pStyle w:val="a3"/>
              <w:spacing w:before="0" w:beforeAutospacing="0" w:after="0" w:afterAutospacing="0"/>
              <w:rPr>
                <w:color w:val="000000"/>
                <w:sz w:val="20"/>
                <w:szCs w:val="20"/>
              </w:rPr>
            </w:pPr>
            <w:r>
              <w:rPr>
                <w:color w:val="000000"/>
                <w:sz w:val="20"/>
                <w:szCs w:val="20"/>
              </w:rPr>
              <w:t>    debt issuance costs amounted to $1.5 million at June 30, 2022.</w:t>
            </w:r>
          </w:p>
          <w:p w:rsidR="00000000" w:rsidRDefault="00E35CFB">
            <w:pPr>
              <w:pStyle w:val="a3"/>
              <w:spacing w:before="0" w:beforeAutospacing="0" w:after="0" w:afterAutospacing="0"/>
              <w:rPr>
                <w:color w:val="000000"/>
                <w:sz w:val="20"/>
                <w:szCs w:val="20"/>
              </w:rPr>
            </w:pPr>
            <w:r>
              <w:rPr>
                <w:color w:val="000000"/>
                <w:sz w:val="20"/>
                <w:szCs w:val="20"/>
              </w:rPr>
              <w:t>    The Term Loan A was paid-down and the maturity was extended in</w:t>
            </w:r>
          </w:p>
          <w:p w:rsidR="00000000" w:rsidRDefault="00E35CFB">
            <w:pPr>
              <w:pStyle w:val="a3"/>
              <w:spacing w:before="0" w:beforeAutospacing="0" w:after="0" w:afterAutospacing="0"/>
              <w:rPr>
                <w:color w:val="000000"/>
                <w:sz w:val="20"/>
                <w:szCs w:val="20"/>
              </w:rPr>
            </w:pPr>
            <w:r>
              <w:rPr>
                <w:color w:val="000000"/>
                <w:sz w:val="20"/>
                <w:szCs w:val="20"/>
              </w:rPr>
              <w:t>    the second quarter of 2022 in connection with an amendment</w:t>
            </w:r>
            <w:r>
              <w:rPr>
                <w:color w:val="000000"/>
                <w:sz w:val="20"/>
                <w:szCs w:val="20"/>
              </w:rPr>
              <w:t xml:space="preserve"> and</w:t>
            </w:r>
          </w:p>
          <w:p w:rsidR="00000000" w:rsidRDefault="00E35CFB">
            <w:pPr>
              <w:pStyle w:val="a3"/>
              <w:spacing w:before="0" w:beforeAutospacing="0" w:after="0" w:afterAutospacing="0"/>
              <w:rPr>
                <w:color w:val="000000"/>
                <w:sz w:val="20"/>
                <w:szCs w:val="20"/>
              </w:rPr>
            </w:pPr>
            <w:r>
              <w:rPr>
                <w:color w:val="000000"/>
                <w:sz w:val="20"/>
                <w:szCs w:val="20"/>
              </w:rPr>
              <w:t>    restatement of the Bank Credit Facility, as further described below.</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98,750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170,000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Term Loan B.  Interest was payable periodically at variable</w:t>
            </w:r>
          </w:p>
          <w:p w:rsidR="00000000" w:rsidRDefault="00E35CFB">
            <w:pPr>
              <w:pStyle w:val="a3"/>
              <w:spacing w:before="0" w:beforeAutospacing="0" w:after="0" w:afterAutospacing="0"/>
              <w:rPr>
                <w:color w:val="000000"/>
                <w:sz w:val="20"/>
                <w:szCs w:val="20"/>
              </w:rPr>
            </w:pPr>
            <w:r>
              <w:rPr>
                <w:color w:val="000000"/>
                <w:sz w:val="20"/>
                <w:szCs w:val="20"/>
              </w:rPr>
              <w:t>    interest rates. The rate at December 31, 2021 was 5.5%.</w:t>
            </w:r>
          </w:p>
          <w:p w:rsidR="00000000" w:rsidRDefault="00E35CFB">
            <w:pPr>
              <w:pStyle w:val="a3"/>
              <w:spacing w:before="0" w:beforeAutospacing="0" w:after="0" w:afterAutospacing="0"/>
              <w:rPr>
                <w:color w:val="000000"/>
                <w:sz w:val="20"/>
                <w:szCs w:val="20"/>
              </w:rPr>
            </w:pPr>
            <w:r>
              <w:rPr>
                <w:color w:val="000000"/>
                <w:sz w:val="20"/>
                <w:szCs w:val="20"/>
              </w:rPr>
              <w:t>    </w:t>
            </w:r>
            <w:r>
              <w:rPr>
                <w:color w:val="000000"/>
                <w:sz w:val="20"/>
                <w:szCs w:val="20"/>
              </w:rPr>
              <w:t>Unamortized debt issuance costs amounted to $2.0 million</w:t>
            </w:r>
          </w:p>
          <w:p w:rsidR="00000000" w:rsidRDefault="00E35CFB">
            <w:pPr>
              <w:pStyle w:val="a3"/>
              <w:spacing w:before="0" w:beforeAutospacing="0" w:after="0" w:afterAutospacing="0"/>
              <w:rPr>
                <w:color w:val="000000"/>
                <w:sz w:val="20"/>
                <w:szCs w:val="20"/>
              </w:rPr>
            </w:pPr>
            <w:r>
              <w:rPr>
                <w:color w:val="000000"/>
                <w:sz w:val="20"/>
                <w:szCs w:val="20"/>
              </w:rPr>
              <w:t>    at December 31, 2021.  The Term Loan B was repaid in the</w:t>
            </w:r>
          </w:p>
          <w:p w:rsidR="00000000" w:rsidRDefault="00E35CFB">
            <w:pPr>
              <w:pStyle w:val="a3"/>
              <w:spacing w:before="0" w:beforeAutospacing="0" w:after="0" w:afterAutospacing="0"/>
              <w:rPr>
                <w:color w:val="000000"/>
                <w:sz w:val="20"/>
                <w:szCs w:val="20"/>
              </w:rPr>
            </w:pPr>
            <w:r>
              <w:rPr>
                <w:color w:val="000000"/>
                <w:sz w:val="20"/>
                <w:szCs w:val="20"/>
              </w:rPr>
              <w:t>    second quarter of 2022, as further described below.</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128,750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w:t>
            </w:r>
          </w:p>
          <w:p w:rsidR="00000000" w:rsidRDefault="00E35CFB">
            <w:pPr>
              <w:pStyle w:val="a3"/>
              <w:spacing w:before="0" w:beforeAutospacing="0" w:after="0" w:afterAutospacing="0"/>
              <w:rPr>
                <w:color w:val="000000"/>
                <w:sz w:val="20"/>
                <w:szCs w:val="20"/>
              </w:rPr>
            </w:pPr>
            <w:r>
              <w:rPr>
                <w:color w:val="000000"/>
                <w:sz w:val="20"/>
                <w:szCs w:val="20"/>
              </w:rPr>
              <w:t>  </w:t>
            </w:r>
            <w:r>
              <w:rPr>
                <w:color w:val="000000"/>
                <w:sz w:val="20"/>
                <w:szCs w:val="20"/>
              </w:rPr>
              <w:t>  issuance costs amounted to $0.3 million and $0.4 million at</w:t>
            </w:r>
          </w:p>
          <w:p w:rsidR="00000000" w:rsidRDefault="00E35CFB">
            <w:pPr>
              <w:pStyle w:val="a3"/>
              <w:spacing w:before="0" w:beforeAutospacing="0" w:after="0" w:afterAutospacing="0"/>
              <w:rPr>
                <w:color w:val="000000"/>
                <w:sz w:val="20"/>
                <w:szCs w:val="20"/>
              </w:rPr>
            </w:pPr>
            <w:r>
              <w:rPr>
                <w:color w:val="000000"/>
                <w:sz w:val="20"/>
                <w:szCs w:val="20"/>
              </w:rPr>
              <w:t>    June 30, 2022 and December 31, 2021, respectively.</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170,074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173,650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4.75%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w:t>
            </w:r>
          </w:p>
          <w:p w:rsidR="00000000" w:rsidRDefault="00E35CFB">
            <w:pPr>
              <w:pStyle w:val="a3"/>
              <w:spacing w:before="0" w:beforeAutospacing="0" w:after="0" w:afterAutospacing="0"/>
              <w:rPr>
                <w:color w:val="000000"/>
                <w:sz w:val="20"/>
                <w:szCs w:val="20"/>
              </w:rPr>
            </w:pPr>
            <w:r>
              <w:rPr>
                <w:color w:val="000000"/>
                <w:sz w:val="20"/>
                <w:szCs w:val="20"/>
              </w:rPr>
              <w:t>    </w:t>
            </w:r>
            <w:r>
              <w:rPr>
                <w:color w:val="000000"/>
                <w:sz w:val="20"/>
                <w:szCs w:val="20"/>
              </w:rPr>
              <w:t>issuance costs amounted to $2.1 million and $2.3 million at</w:t>
            </w:r>
          </w:p>
          <w:p w:rsidR="00000000" w:rsidRDefault="00E35CFB">
            <w:pPr>
              <w:pStyle w:val="a3"/>
              <w:spacing w:before="0" w:beforeAutospacing="0" w:after="0" w:afterAutospacing="0"/>
              <w:rPr>
                <w:color w:val="000000"/>
                <w:sz w:val="20"/>
                <w:szCs w:val="20"/>
              </w:rPr>
            </w:pPr>
            <w:r>
              <w:rPr>
                <w:color w:val="000000"/>
                <w:sz w:val="20"/>
                <w:szCs w:val="20"/>
              </w:rPr>
              <w:t>    June 30, 2022 and December 31, 2021, respectively.</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8.25% Senior Notes maturing</w:t>
            </w:r>
            <w:r>
              <w:rPr>
                <w:color w:val="000000"/>
                <w:sz w:val="20"/>
                <w:szCs w:val="20"/>
              </w:rPr>
              <w:t xml:space="preserve"> </w:t>
            </w:r>
            <w:r>
              <w:rPr>
                <w:color w:val="000000"/>
                <w:sz w:val="20"/>
                <w:szCs w:val="20"/>
              </w:rPr>
              <w:t>April 202</w:t>
            </w:r>
            <w:r>
              <w:rPr>
                <w:color w:val="000000"/>
                <w:sz w:val="20"/>
                <w:szCs w:val="20"/>
              </w:rPr>
              <w:t>6</w:t>
            </w:r>
            <w:r>
              <w:rPr>
                <w:color w:val="000000"/>
                <w:sz w:val="20"/>
                <w:szCs w:val="20"/>
              </w:rPr>
              <w:t>.  Unamortized debt</w:t>
            </w:r>
          </w:p>
          <w:p w:rsidR="00000000" w:rsidRDefault="00E35CFB">
            <w:pPr>
              <w:pStyle w:val="a3"/>
              <w:spacing w:before="0" w:beforeAutospacing="0" w:after="0" w:afterAutospacing="0"/>
              <w:rPr>
                <w:color w:val="000000"/>
                <w:sz w:val="20"/>
                <w:szCs w:val="20"/>
              </w:rPr>
            </w:pPr>
            <w:r>
              <w:rPr>
                <w:color w:val="000000"/>
                <w:sz w:val="20"/>
                <w:szCs w:val="20"/>
              </w:rPr>
              <w:t>    issuance costs amounted to $11.4 million and $12.9</w:t>
            </w:r>
            <w:r>
              <w:rPr>
                <w:color w:val="000000"/>
                <w:sz w:val="20"/>
                <w:szCs w:val="20"/>
              </w:rPr>
              <w:t xml:space="preserve"> million at</w:t>
            </w:r>
          </w:p>
          <w:p w:rsidR="00000000" w:rsidRDefault="00E35CFB">
            <w:pPr>
              <w:pStyle w:val="a3"/>
              <w:spacing w:before="0" w:beforeAutospacing="0" w:after="0" w:afterAutospacing="0"/>
              <w:rPr>
                <w:color w:val="000000"/>
                <w:sz w:val="20"/>
                <w:szCs w:val="20"/>
              </w:rPr>
            </w:pPr>
            <w:r>
              <w:rPr>
                <w:color w:val="000000"/>
                <w:sz w:val="20"/>
                <w:szCs w:val="20"/>
              </w:rPr>
              <w:t>    June 30, 2022 and December 31, 2021, respectively.</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675,000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675,000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4.43% Lansing Correctional Facility Non-Recourse Mortgage Note</w:t>
            </w:r>
          </w:p>
          <w:p w:rsidR="00000000" w:rsidRDefault="00E35CFB">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w:t>
            </w:r>
          </w:p>
          <w:p w:rsidR="00000000" w:rsidRDefault="00E35CFB">
            <w:pPr>
              <w:pStyle w:val="a3"/>
              <w:spacing w:before="0" w:beforeAutospacing="0" w:after="0" w:afterAutospacing="0"/>
              <w:rPr>
                <w:color w:val="000000"/>
                <w:sz w:val="20"/>
                <w:szCs w:val="20"/>
              </w:rPr>
            </w:pPr>
            <w:r>
              <w:rPr>
                <w:color w:val="000000"/>
                <w:sz w:val="20"/>
                <w:szCs w:val="20"/>
              </w:rPr>
              <w:t xml:space="preserve">    amounted to $2.9 </w:t>
            </w:r>
            <w:r>
              <w:rPr>
                <w:color w:val="000000"/>
                <w:sz w:val="20"/>
                <w:szCs w:val="20"/>
              </w:rPr>
              <w:t>million and $3.0 million at June 30, 2022 and</w:t>
            </w:r>
          </w:p>
          <w:p w:rsidR="00000000" w:rsidRDefault="00E35CFB">
            <w:pPr>
              <w:pStyle w:val="a3"/>
              <w:spacing w:before="0" w:beforeAutospacing="0" w:after="0" w:afterAutospacing="0"/>
              <w:rPr>
                <w:color w:val="000000"/>
                <w:sz w:val="20"/>
                <w:szCs w:val="20"/>
              </w:rPr>
            </w:pPr>
            <w:r>
              <w:rPr>
                <w:color w:val="000000"/>
                <w:sz w:val="20"/>
                <w:szCs w:val="20"/>
              </w:rPr>
              <w:t>    December 31, 2021, respectively.</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152,691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154,532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1,346,515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1,551,932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(18,234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(20,588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Unamortized original issue premium (discount)</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776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(3,922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30598710"/>
        </w:trPr>
        <w:tc>
          <w:tcPr>
            <w:tcW w:w="340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(180,378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30598710"/>
        </w:trPr>
        <w:tc>
          <w:tcPr>
            <w:tcW w:w="34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1,148,679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1,492,046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240" w:beforeAutospacing="0" w:after="0" w:afterAutospacing="0"/>
        <w:jc w:val="center"/>
        <w:rPr>
          <w:sz w:val="20"/>
          <w:szCs w:val="20"/>
        </w:rPr>
      </w:pPr>
      <w:r>
        <w:rPr>
          <w:sz w:val="20"/>
          <w:szCs w:val="20"/>
        </w:rPr>
        <w:t>10</w:t>
      </w:r>
    </w:p>
    <w:p w:rsidR="00000000" w:rsidRDefault="00E35CFB">
      <w:pPr>
        <w:rPr>
          <w:rFonts w:eastAsia="Times New Roman"/>
        </w:rPr>
      </w:pPr>
      <w:r>
        <w:rPr>
          <w:rFonts w:eastAsia="Times New Roman"/>
        </w:rPr>
        <w:pict>
          <v:rect id="_x0000_i1036"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ind w:left="476"/>
        <w:jc w:val="both"/>
        <w:rPr>
          <w:i/>
          <w:iCs/>
          <w:sz w:val="20"/>
          <w:szCs w:val="20"/>
        </w:rPr>
      </w:pPr>
      <w:r>
        <w:rPr>
          <w:i/>
          <w:iCs/>
          <w:sz w:val="20"/>
          <w:szCs w:val="20"/>
        </w:rPr>
        <w:t>Bank Credit Facility.</w:t>
      </w:r>
      <w:r>
        <w:rPr>
          <w:sz w:val="20"/>
          <w:szCs w:val="20"/>
        </w:rPr>
        <w:t xml:space="preserve">  On May 12, 2022, CoreCivic entered into a Third Amended and Restated Credit Agreement (referred to herein as the "New Bank Credit Facility") in an aggregate principal amount of $350.0 million, </w:t>
      </w:r>
      <w:r>
        <w:rPr>
          <w:sz w:val="20"/>
          <w:szCs w:val="20"/>
        </w:rPr>
        <w:t>consisting of a $100.0 million term loan (the "New Term Loan A") and a revolving credit facility with a borrowing capacity of $250.0 million (the "New Revolving Credit Facility").  The New Bank Credit Facility replaced the Second Amended and Restated Credi</w:t>
      </w:r>
      <w:r>
        <w:rPr>
          <w:sz w:val="20"/>
          <w:szCs w:val="20"/>
        </w:rPr>
        <w:t>t Agreement (the "Previous Bank Credit Facility"), which was in an aggregate principal amount of $1.0 billion and consisted of a term loan with an original principal balance of $200.0 million and a revolving credit facility with a borrowing capacity of $80</w:t>
      </w:r>
      <w:r>
        <w:rPr>
          <w:sz w:val="20"/>
          <w:szCs w:val="20"/>
        </w:rPr>
        <w:t>0.0 million. The New Bank Credit Facility extends the maturity to</w:t>
      </w:r>
      <w:r>
        <w:rPr>
          <w:sz w:val="20"/>
          <w:szCs w:val="20"/>
        </w:rPr>
        <w:t xml:space="preserve"> </w:t>
      </w:r>
      <w:r>
        <w:rPr>
          <w:sz w:val="20"/>
          <w:szCs w:val="20"/>
        </w:rPr>
        <w:t>May 202</w:t>
      </w:r>
      <w:r>
        <w:rPr>
          <w:sz w:val="20"/>
          <w:szCs w:val="20"/>
        </w:rPr>
        <w:t>6</w:t>
      </w:r>
      <w:r>
        <w:rPr>
          <w:sz w:val="20"/>
          <w:szCs w:val="20"/>
        </w:rPr>
        <w:t xml:space="preserve"> from the</w:t>
      </w:r>
      <w:r>
        <w:rPr>
          <w:sz w:val="20"/>
          <w:szCs w:val="20"/>
        </w:rPr>
        <w:t xml:space="preserve"> </w:t>
      </w:r>
      <w:r>
        <w:rPr>
          <w:sz w:val="20"/>
          <w:szCs w:val="20"/>
        </w:rPr>
        <w:t>April 202</w:t>
      </w:r>
      <w:r>
        <w:rPr>
          <w:sz w:val="20"/>
          <w:szCs w:val="20"/>
        </w:rPr>
        <w:t>3</w:t>
      </w:r>
      <w:r>
        <w:rPr>
          <w:sz w:val="20"/>
          <w:szCs w:val="20"/>
        </w:rPr>
        <w:t xml:space="preserve"> maturity under the Previous Bank Credit Facility.  The New Bank Credit Facility includes an option to increase the availability under the New Revolving Credit Fa</w:t>
      </w:r>
      <w:r>
        <w:rPr>
          <w:sz w:val="20"/>
          <w:szCs w:val="20"/>
        </w:rPr>
        <w:t>cility and to request term loans from the lenders in an aggregate amount not to exceed the greater of (a) $200.0 million and (b) 50% of consolidated EBITDA for the most recently ended four-quarter period, subject to, among other things, the receipt of comm</w:t>
      </w:r>
      <w:r>
        <w:rPr>
          <w:sz w:val="20"/>
          <w:szCs w:val="20"/>
        </w:rPr>
        <w:t>itments for the increased amount. At CoreCivic's option, interest on outstanding borrowings under the New Bank Credit Facility is based on either a base rate plus a margin ranging from 1.75% to 3.5%, or at the Bloomberg Short-Term Bank Yield Index ("BSBY")</w:t>
      </w:r>
      <w:r>
        <w:rPr>
          <w:sz w:val="20"/>
          <w:szCs w:val="20"/>
        </w:rPr>
        <w:t xml:space="preserve"> rate plus a margin ranging from 2.75% to 4.5% based on the Company’s then-current total leverage ratio.  The New Revolving Credit Facility includes a $25.0 million sublimit for swing line loans that enables CoreCivic to borrow at the base rate from the Ad</w:t>
      </w:r>
      <w:r>
        <w:rPr>
          <w:sz w:val="20"/>
          <w:szCs w:val="20"/>
        </w:rPr>
        <w:t xml:space="preserve">ministrative Agent on same-day notice. </w:t>
      </w:r>
      <w:r>
        <w:rPr>
          <w:color w:val="242424"/>
          <w:sz w:val="20"/>
          <w:szCs w:val="20"/>
        </w:rPr>
        <w:t xml:space="preserve">CoreCivic recorded a charge of approximately $0.8 million during the second quarter of 2022 for the write-off of a portion of the pre-existing loan costs associated with the Previous Bank Credit Facility. </w:t>
      </w:r>
    </w:p>
    <w:p w:rsidR="00000000" w:rsidRDefault="00E35CFB">
      <w:pPr>
        <w:pStyle w:val="a3"/>
        <w:spacing w:before="240" w:beforeAutospacing="0" w:after="0" w:afterAutospacing="0"/>
        <w:ind w:left="476"/>
        <w:jc w:val="both"/>
        <w:rPr>
          <w:sz w:val="20"/>
          <w:szCs w:val="20"/>
        </w:rPr>
      </w:pPr>
      <w:r>
        <w:rPr>
          <w:sz w:val="20"/>
          <w:szCs w:val="20"/>
        </w:rPr>
        <w:t>Based on CoreCivic's total leverage ratio, loans under the New Bank Credit Facility currently bear interest at a base rate plus a margin of 2.25% or at the BSBY rate plus a margin of 3.25%, and a commitment fee equal to 0.45% of the unfunded balance of the</w:t>
      </w:r>
      <w:r>
        <w:rPr>
          <w:sz w:val="20"/>
          <w:szCs w:val="20"/>
        </w:rPr>
        <w:t xml:space="preserve"> New Revolving Credit Facility.  The New Revolving Credit Facility also has a $100.0 million sublimit for the issuance of standby letters of credit. As of June 30, 2022, CoreCivic had no borrowings outstanding under the New Revolving Credit Facility.  As o</w:t>
      </w:r>
      <w:r>
        <w:rPr>
          <w:sz w:val="20"/>
          <w:szCs w:val="20"/>
        </w:rPr>
        <w:t xml:space="preserve">f June 30, 2022, CoreCivic had $16.8 million in letters of credit outstanding resulting in $233.2 million available under the New Revolving Credit Facility.  The New Term Loan A requires scheduled quarterly principal payments through December 2025, and is </w:t>
      </w:r>
      <w:r>
        <w:rPr>
          <w:sz w:val="20"/>
          <w:szCs w:val="20"/>
        </w:rPr>
        <w:t>pre-payable without penalty.  As of June 30, 2022, the outstanding balance of the New Term Loan A was $98.8 million.  </w:t>
      </w:r>
    </w:p>
    <w:p w:rsidR="00000000" w:rsidRDefault="00E35CFB">
      <w:pPr>
        <w:pStyle w:val="a3"/>
        <w:spacing w:before="240" w:beforeAutospacing="0" w:after="0" w:afterAutospacing="0"/>
        <w:ind w:left="476"/>
        <w:jc w:val="both"/>
        <w:rPr>
          <w:sz w:val="20"/>
          <w:szCs w:val="20"/>
        </w:rPr>
      </w:pPr>
      <w:r>
        <w:rPr>
          <w:sz w:val="20"/>
          <w:szCs w:val="20"/>
        </w:rPr>
        <w:t>The New Bank Credit Facility requires CoreCivic to meet certain financial covenants, including, without limitation, a total leverage rati</w:t>
      </w:r>
      <w:r>
        <w:rPr>
          <w:sz w:val="20"/>
          <w:szCs w:val="20"/>
        </w:rPr>
        <w:t>o of not more than 4.50 to 1.00 (from 5.50 to 1.00 under the Previous Bank Credit Facility) for which the Company may net unrestricted cash and cash equivalents not exceeding $100.0 million when calculating, a secured leverage ratio of not more than 2.50 t</w:t>
      </w:r>
      <w:r>
        <w:rPr>
          <w:sz w:val="20"/>
          <w:szCs w:val="20"/>
        </w:rPr>
        <w:t>o 1.00 (from 3.25 to 1.00 under the Previous Bank Credit Facility) for which the Company may net unrestricted cash and cash equivalents not exceeding $100.0 million when calculating, and a fixed charge coverage ratio of not less than 1.75 to 1.00 (unchange</w:t>
      </w:r>
      <w:r>
        <w:rPr>
          <w:sz w:val="20"/>
          <w:szCs w:val="20"/>
        </w:rPr>
        <w:t>d from the Previous Bank Credit Facility).  As of June 30, 2022, CoreCivic was in compliance with all such covenants.  The New Bank Credit Facility is secured by a pledge of all of the capital stock (or other ownership interests) of CoreCivic's domestic re</w:t>
      </w:r>
      <w:r>
        <w:rPr>
          <w:sz w:val="20"/>
          <w:szCs w:val="20"/>
        </w:rPr>
        <w:t>stricted subsidiaries, 65% of the capital stock (or other ownership interests) of CoreCivic's "first-tier" foreign subsidiaries, all of the accounts receivable of the Company and its domestic restricted subsidiaries, and substantially all of the deposit ac</w:t>
      </w:r>
      <w:r>
        <w:rPr>
          <w:sz w:val="20"/>
          <w:szCs w:val="20"/>
        </w:rPr>
        <w:t>counts of the Company and its domestic restricted subsidiaries. In the event that (a) the consolidated total leverage equals or exceeds 4.00 to 1.00 or (b) the Company incurs certain debt above a specified threshold, certain intangible assets and unencumbe</w:t>
      </w:r>
      <w:r>
        <w:rPr>
          <w:sz w:val="20"/>
          <w:szCs w:val="20"/>
        </w:rPr>
        <w:t>red real estate assets that meet a 50% loan-to-value requirement are required to be added as collateral. In addition, the New Bank Credit Facility contains certain covenants that, among other things, limit the incurrence of additional indebtedness, payment</w:t>
      </w:r>
      <w:r>
        <w:rPr>
          <w:sz w:val="20"/>
          <w:szCs w:val="20"/>
        </w:rPr>
        <w:t xml:space="preserve"> of dividends and other customary restricted payments, permitted investments, transactions with affiliates, asset sales, mergers and consolidations, liquidations, prepayments and modifications of other indebtedness, liens and other encumbrances and other m</w:t>
      </w:r>
      <w:r>
        <w:rPr>
          <w:sz w:val="20"/>
          <w:szCs w:val="20"/>
        </w:rPr>
        <w:t>atters customarily restricted in such agreements.  The New Bank Credit Facility is subject to certain cross-default provisions with terms of CoreCivic's other unsecured indebtedness, and is subject to acceleration upon the occurrence of a change of control</w:t>
      </w:r>
      <w:r>
        <w:rPr>
          <w:sz w:val="20"/>
          <w:szCs w:val="20"/>
        </w:rPr>
        <w:t xml:space="preserve">. </w:t>
      </w:r>
    </w:p>
    <w:p w:rsidR="00000000" w:rsidRDefault="00E35CFB">
      <w:pPr>
        <w:pStyle w:val="a3"/>
        <w:spacing w:before="240" w:beforeAutospacing="0" w:after="0" w:afterAutospacing="0"/>
        <w:jc w:val="center"/>
        <w:rPr>
          <w:sz w:val="20"/>
          <w:szCs w:val="20"/>
        </w:rPr>
      </w:pPr>
      <w:r>
        <w:rPr>
          <w:sz w:val="20"/>
          <w:szCs w:val="20"/>
        </w:rPr>
        <w:t>11</w:t>
      </w:r>
    </w:p>
    <w:p w:rsidR="00000000" w:rsidRDefault="00E35CFB">
      <w:pPr>
        <w:rPr>
          <w:rFonts w:eastAsia="Times New Roman"/>
        </w:rPr>
      </w:pPr>
      <w:r>
        <w:rPr>
          <w:rFonts w:eastAsia="Times New Roman"/>
        </w:rPr>
        <w:pict>
          <v:rect id="_x0000_i1037"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i/>
          <w:iCs/>
          <w:sz w:val="20"/>
          <w:szCs w:val="20"/>
        </w:rPr>
      </w:pPr>
      <w:r>
        <w:rPr>
          <w:i/>
          <w:iCs/>
          <w:sz w:val="20"/>
          <w:szCs w:val="20"/>
        </w:rPr>
        <w:t xml:space="preserve">Senior Secured Term Loan B. </w:t>
      </w:r>
      <w:r>
        <w:rPr>
          <w:sz w:val="20"/>
          <w:szCs w:val="20"/>
        </w:rPr>
        <w:t xml:space="preserve">On December 18, 2019, CoreCivic entered into a new $250.0 </w:t>
      </w:r>
      <w:r>
        <w:rPr>
          <w:sz w:val="20"/>
          <w:szCs w:val="20"/>
        </w:rPr>
        <w:t>million Senior Secured Term Loan B (the "Term Loan B" and, together with the New Bank Credit Facility, the "Credit Agreements"), which required quarterly scheduled principal payments until the scheduled maturity on December 18, 2024.  During October 2021 a</w:t>
      </w:r>
      <w:r>
        <w:rPr>
          <w:sz w:val="20"/>
          <w:szCs w:val="20"/>
        </w:rPr>
        <w:t xml:space="preserve">nd in accordance with the terms of the Term Loan B, CoreCivic repaid $90.0 million of the then-outstanding balance of the Term Loan B using cash on hand.  As a result, the Company recorded a charge in the fourth quarter of 2021 of $4.1 million for the pro </w:t>
      </w:r>
      <w:r>
        <w:rPr>
          <w:sz w:val="20"/>
          <w:szCs w:val="20"/>
        </w:rPr>
        <w:t>rata write-off of unamortized debt issuance costs and the original issue discount.  On May 19, 2022, CoreCivic voluntarily repaid in full the outstanding principal balance under the Term Loan B amounting to $124.1 million, and satisfied all of the Company'</w:t>
      </w:r>
      <w:r>
        <w:rPr>
          <w:sz w:val="20"/>
          <w:szCs w:val="20"/>
        </w:rPr>
        <w:t xml:space="preserve">s outstanding obligations under the Term Loan B credit agreement.  The Company did not incur any prepayment penalties in connection with the repayment of the Term Loan B.  The prepayment was made in full with cash on hand. The Term Loan B bore interest at </w:t>
      </w:r>
      <w:r>
        <w:rPr>
          <w:sz w:val="20"/>
          <w:szCs w:val="20"/>
        </w:rPr>
        <w:t>the London Interbank Offered Rate ("LIBOR") plus 4.50%, with a 1.00% LIBOR floor (or, at CoreCivic's option, a base rate plus 3.50%).  The Term Loan B was secured by a first lien on certain specified real property assets, representing a loan-to-value of no</w:t>
      </w:r>
      <w:r>
        <w:rPr>
          <w:sz w:val="20"/>
          <w:szCs w:val="20"/>
        </w:rPr>
        <w:t xml:space="preserve"> greater than 80%.  The Term Loan B was originally issued at a price of 95% of the principal amount of the Term Loan B, resulting in a discount of $12.5 million, which was amortized into interest expense over the term of the Term Loan B.  CoreCivic capital</w:t>
      </w:r>
      <w:r>
        <w:rPr>
          <w:sz w:val="20"/>
          <w:szCs w:val="20"/>
        </w:rPr>
        <w:t>ized approximately $5.1 million of costs associated with the issuance of the Term Loan B.  During the second quarter of 2022, the Company recorded a charge of $6.0 million for the write-off of the remaining unamortized debt issuance costs, original issue d</w:t>
      </w:r>
      <w:r>
        <w:rPr>
          <w:sz w:val="20"/>
          <w:szCs w:val="20"/>
        </w:rPr>
        <w:t>iscount, and fees associated with the voluntary repayment of the Term Loan B.  </w:t>
      </w:r>
    </w:p>
    <w:p w:rsidR="00000000" w:rsidRDefault="00E35CFB">
      <w:pPr>
        <w:pStyle w:val="a3"/>
        <w:spacing w:before="240" w:beforeAutospacing="0" w:after="0" w:afterAutospacing="0"/>
        <w:ind w:left="476"/>
        <w:jc w:val="both"/>
        <w:rPr>
          <w:i/>
          <w:iCs/>
          <w:sz w:val="20"/>
          <w:szCs w:val="20"/>
        </w:rPr>
      </w:pPr>
      <w:r>
        <w:rPr>
          <w:i/>
          <w:iCs/>
          <w:sz w:val="20"/>
          <w:szCs w:val="20"/>
        </w:rPr>
        <w:t>Senior Notes</w:t>
      </w:r>
      <w:r>
        <w:rPr>
          <w:sz w:val="20"/>
          <w:szCs w:val="20"/>
        </w:rPr>
        <w:t xml:space="preserve">.  Interest on the $170.1 million remaining principal balance outstanding on CoreCivic's 4.625% senior notes issued in April 2013 with an original principal amount </w:t>
      </w:r>
      <w:r>
        <w:rPr>
          <w:sz w:val="20"/>
          <w:szCs w:val="20"/>
        </w:rPr>
        <w:t>of $350.0 million (the "4.625% Senior Notes") accrues at the stated rate and is payable in May and November of each year.  The 4.625% Senior Notes are scheduled to mature on May 1, 2023.  Interest on the $250.0 million aggregate principal amount of CoreCiv</w:t>
      </w:r>
      <w:r>
        <w:rPr>
          <w:sz w:val="20"/>
          <w:szCs w:val="20"/>
        </w:rPr>
        <w:t>ic's 4.75% senior notes issued in October 2017 (the "4.75% Senior Notes") accrues at the stated rate and is payable in April and October of each year.  The 4.75% Senior Notes are scheduled to mature on October 15, 2027.  Interest on the $675.0 million aggr</w:t>
      </w:r>
      <w:r>
        <w:rPr>
          <w:sz w:val="20"/>
          <w:szCs w:val="20"/>
        </w:rPr>
        <w:t>egate principal amount of CoreCivic's 8.25% senior notes issued in April and September 2021 (the "8.25% Senior Notes"), as further described hereinafter, accrues at the stated rate and is payable in April and October of each year.  The 8.25% Senior Notes a</w:t>
      </w:r>
      <w:r>
        <w:rPr>
          <w:sz w:val="20"/>
          <w:szCs w:val="20"/>
        </w:rPr>
        <w:t>re scheduled to mature on April 15, 2026.  </w:t>
      </w:r>
    </w:p>
    <w:p w:rsidR="00000000" w:rsidRDefault="00E35CFB">
      <w:pPr>
        <w:pStyle w:val="a3"/>
        <w:spacing w:before="240" w:beforeAutospacing="0" w:after="0" w:afterAutospacing="0"/>
        <w:ind w:left="476"/>
        <w:jc w:val="both"/>
        <w:rPr>
          <w:sz w:val="20"/>
          <w:szCs w:val="20"/>
        </w:rPr>
      </w:pPr>
      <w:r>
        <w:rPr>
          <w:sz w:val="20"/>
          <w:szCs w:val="20"/>
        </w:rPr>
        <w:t>The 4.625% Senior Notes, the 4.75% Senior Notes, and the 8.25% Senior Notes, collectively referred to herein as the "Senior Notes", are senior unsecured obligations of the Company and are guaranteed by all of the</w:t>
      </w:r>
      <w:r>
        <w:rPr>
          <w:sz w:val="20"/>
          <w:szCs w:val="20"/>
        </w:rPr>
        <w:t xml:space="preserve"> Company's existing and future subsidiaries that guarantee the New Bank Credit Facility.  CoreCivic may redeem all or part of the 4.625% Senior Notes and the 4.75% Senior Notes at any time prior to three months before their respective maturity date at a "m</w:t>
      </w:r>
      <w:r>
        <w:rPr>
          <w:sz w:val="20"/>
          <w:szCs w:val="20"/>
        </w:rPr>
        <w:t>ake-whole" redemption price, plus accrued and unpaid interest thereon to, but not including, the redemption date.  Thereafter, the 4.625% Senior Notes and the 4.75% Senior Notes are redeemable at CoreCivic's option, in whole or in part, at a redemption pri</w:t>
      </w:r>
      <w:r>
        <w:rPr>
          <w:sz w:val="20"/>
          <w:szCs w:val="20"/>
        </w:rPr>
        <w:t xml:space="preserve">ce equal to 100% of the aggregate principal amount of the notes to be redeemed plus accrued and unpaid interest thereon to, but not including, the redemption date. The Company may redeem all or part of the 8.25% Senior Notes at any time prior to April 15, </w:t>
      </w:r>
      <w:r>
        <w:rPr>
          <w:sz w:val="20"/>
          <w:szCs w:val="20"/>
        </w:rPr>
        <w:t>2024, in whole or in part, at a "make-whole" redemption price, plus accrued and unpaid interest thereon to, but not including, the redemption date.  Thereafter, the 8.25% Senior Notes are redeemable at CoreCivic's option, in whole or in part, at a redempti</w:t>
      </w:r>
      <w:r>
        <w:rPr>
          <w:sz w:val="20"/>
          <w:szCs w:val="20"/>
        </w:rPr>
        <w:t>on price expressed as a percentage of the principal amount thereof, which percentage is 104.125% beginning on April 15, 2024 and 100% beginning on April 15, 2025, plus, in each such case, accrued and unpaid interest thereon to, but not including, the redem</w:t>
      </w:r>
      <w:r>
        <w:rPr>
          <w:sz w:val="20"/>
          <w:szCs w:val="20"/>
        </w:rPr>
        <w:t xml:space="preserve">ption date. </w:t>
      </w:r>
    </w:p>
    <w:p w:rsidR="00000000" w:rsidRDefault="00E35CFB">
      <w:pPr>
        <w:pStyle w:val="a3"/>
        <w:spacing w:before="240" w:beforeAutospacing="0" w:after="0" w:afterAutospacing="0"/>
        <w:ind w:left="476"/>
        <w:jc w:val="both"/>
        <w:rPr>
          <w:sz w:val="20"/>
          <w:szCs w:val="20"/>
        </w:rPr>
      </w:pPr>
      <w:r>
        <w:rPr>
          <w:sz w:val="20"/>
          <w:szCs w:val="20"/>
        </w:rPr>
        <w:t>On April 14, 2021, the Company completed an underwritten registered offering of $450.0 million aggregate principal amount of 8.25% senior unsecured notes due 2026 (the "Original 8.25% Senior Notes"). The Original 8.25% Senior Notes were priced</w:t>
      </w:r>
      <w:r>
        <w:rPr>
          <w:sz w:val="20"/>
          <w:szCs w:val="20"/>
        </w:rPr>
        <w:t xml:space="preserve"> at 99.0% of face value and as a result have an effective yield to maturity of 8.50%. The net proceeds from the issuance of the Original 8.25% Senior Notes totaled approximately $435.1 million, after deducting the original issuance and underwriting discoun</w:t>
      </w:r>
      <w:r>
        <w:rPr>
          <w:sz w:val="20"/>
          <w:szCs w:val="20"/>
        </w:rPr>
        <w:t>ts and estimated offering expenses. The Company used a significant amount of the net proceeds from the offering of the Original 8.25% Senior Notes (i) to redeem all of the $250.0 million aggregate principal amount of CoreCivic's 5.0% senior notes issued in</w:t>
      </w:r>
      <w:r>
        <w:rPr>
          <w:sz w:val="20"/>
          <w:szCs w:val="20"/>
        </w:rPr>
        <w:t xml:space="preserve"> September 2015 (the "5.0% Senior Notes"), including the payment of the applicable "make-whole" redemption amount of $15.5 million and accrued interest, and (ii) to otherwise repay or reduce its other indebtedness, including repurchasing $149.0 million of </w:t>
      </w:r>
      <w:r>
        <w:rPr>
          <w:sz w:val="20"/>
          <w:szCs w:val="20"/>
        </w:rPr>
        <w:t>its 4.625% Senior Notes at an aggregate purchase price of $151.2 million in privately negotiated transactions, reducing the outstanding balance of the 4.625% Senior Notes, which was originally $350.0 million, to $201.0 million.  In the second and fourth qu</w:t>
      </w:r>
      <w:r>
        <w:rPr>
          <w:sz w:val="20"/>
          <w:szCs w:val="20"/>
        </w:rPr>
        <w:t>arters of 2021, the Company purchased an additional $27.3 million of its 4.625% Senior Notes, in the aggregate, at par in open market purchases, further reducing the outstanding balance of the 4.625% Senior Notes to $173.7 million. In addition, in the seco</w:t>
      </w:r>
      <w:r>
        <w:rPr>
          <w:sz w:val="20"/>
          <w:szCs w:val="20"/>
        </w:rPr>
        <w:t xml:space="preserve">nd quarter of 2022, the Company purchased an additional $3.6 million of the 4.625% Senior Notes at a weighted average purchase price approximately equal to par in open market purchases, reducing the outstanding balance of the 4.625% Senior Notes to $170.1 </w:t>
      </w:r>
      <w:r>
        <w:rPr>
          <w:sz w:val="20"/>
          <w:szCs w:val="20"/>
        </w:rPr>
        <w:t>million.</w:t>
      </w:r>
    </w:p>
    <w:p w:rsidR="00000000" w:rsidRDefault="00E35CFB">
      <w:pPr>
        <w:pStyle w:val="a3"/>
        <w:spacing w:before="240" w:beforeAutospacing="0" w:after="0" w:afterAutospacing="0"/>
        <w:jc w:val="center"/>
        <w:rPr>
          <w:sz w:val="20"/>
          <w:szCs w:val="20"/>
        </w:rPr>
      </w:pPr>
      <w:r>
        <w:rPr>
          <w:sz w:val="20"/>
          <w:szCs w:val="20"/>
        </w:rPr>
        <w:t>12</w:t>
      </w:r>
    </w:p>
    <w:p w:rsidR="00000000" w:rsidRDefault="00E35CFB">
      <w:pPr>
        <w:rPr>
          <w:rFonts w:eastAsia="Times New Roman"/>
        </w:rPr>
      </w:pPr>
      <w:r>
        <w:rPr>
          <w:rFonts w:eastAsia="Times New Roman"/>
        </w:rPr>
        <w:pict>
          <v:rect id="_x0000_i1038"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The "make-whole" redemption amount paid in connection with the redemption of the 5.0% Senior Notes, originally scheduled to mature on October 15, 2022, and the aggregate price paid for the 4.625% Senior Not</w:t>
      </w:r>
      <w:r>
        <w:rPr>
          <w:sz w:val="20"/>
          <w:szCs w:val="20"/>
        </w:rPr>
        <w:t>es in excess of the principal amount of the notes repurchased resulted in charges of $19.2 million during the second quarter of 2021, including costs associated with the repurchases and the proportionate write-off of existing debt issuance costs.  The rema</w:t>
      </w:r>
      <w:r>
        <w:rPr>
          <w:sz w:val="20"/>
          <w:szCs w:val="20"/>
        </w:rPr>
        <w:t>ining net proceeds were used to pay down a portion of the amounts outstanding under the Previous Bank Credit Facility and for general corporate purposes.  </w:t>
      </w:r>
    </w:p>
    <w:p w:rsidR="00000000" w:rsidRDefault="00E35CFB">
      <w:pPr>
        <w:pStyle w:val="a3"/>
        <w:spacing w:before="240" w:beforeAutospacing="0" w:after="0" w:afterAutospacing="0"/>
        <w:ind w:left="476"/>
        <w:jc w:val="both"/>
        <w:rPr>
          <w:sz w:val="20"/>
          <w:szCs w:val="20"/>
        </w:rPr>
      </w:pPr>
      <w:r>
        <w:rPr>
          <w:sz w:val="20"/>
          <w:szCs w:val="20"/>
        </w:rPr>
        <w:t>On September 29, 2021, CoreCivic completed an underwritten registered tack-on offering of $225.0 mil</w:t>
      </w:r>
      <w:r>
        <w:rPr>
          <w:sz w:val="20"/>
          <w:szCs w:val="20"/>
        </w:rPr>
        <w:t>lion in aggregate principal amount of 8.25% Senior Notes due 2026 (the "Additional 8.25% Senior Notes") at an issue price of 102.25% of their aggregate principal amount, plus accrued interest from the April 14, 2021 issue date for the Original 8.25% Senior</w:t>
      </w:r>
      <w:r>
        <w:rPr>
          <w:sz w:val="20"/>
          <w:szCs w:val="20"/>
        </w:rPr>
        <w:t xml:space="preserve"> Notes, resulting in an effective yield to maturity of 7.65% for the Additional 8.25% Senior Notes.  The Additional 8.25% Senior Notes and the Original 8.25% Senior Notes, together the 8.25% Senior Notes, constitute a single class of securities and have id</w:t>
      </w:r>
      <w:r>
        <w:rPr>
          <w:sz w:val="20"/>
          <w:szCs w:val="20"/>
        </w:rPr>
        <w:t>entical terms, other than issue date and issue price.  The issuance of the Additional 8.25% Senior Notes increased the total aggregate principal amount of 8.25% Senior Notes outstanding to $675.0 million.  The net proceeds from the issuance of the Addition</w:t>
      </w:r>
      <w:r>
        <w:rPr>
          <w:sz w:val="20"/>
          <w:szCs w:val="20"/>
        </w:rPr>
        <w:t>al 8.25% Senior Notes totaled approximately $225.5 million, after deducting the underwriting discounts and estimated offering expenses and including the original issuance premium. The net proceeds from the offering of the Additional 8.25% Senior Notes were</w:t>
      </w:r>
      <w:r>
        <w:rPr>
          <w:sz w:val="20"/>
          <w:szCs w:val="20"/>
        </w:rPr>
        <w:t xml:space="preserve"> used to pay down our Previous Revolving Credit Facility and for general corporate purposes.</w:t>
      </w:r>
    </w:p>
    <w:p w:rsidR="00000000" w:rsidRDefault="00E35CFB">
      <w:pPr>
        <w:pStyle w:val="a3"/>
        <w:spacing w:before="240" w:beforeAutospacing="0" w:after="0" w:afterAutospacing="0"/>
        <w:ind w:left="476"/>
        <w:jc w:val="both"/>
        <w:rPr>
          <w:i/>
          <w:iCs/>
          <w:sz w:val="20"/>
          <w:szCs w:val="20"/>
        </w:rPr>
      </w:pPr>
      <w:r>
        <w:rPr>
          <w:i/>
          <w:iCs/>
          <w:sz w:val="20"/>
          <w:szCs w:val="20"/>
        </w:rPr>
        <w:t>Lansing Correctional Facility Non-Recourse Mortgage Note.  </w:t>
      </w:r>
      <w:r>
        <w:rPr>
          <w:color w:val="000000"/>
          <w:sz w:val="20"/>
          <w:szCs w:val="20"/>
        </w:rPr>
        <w:t>On April 20, 2018, CoreCivic of Kansas, LLC (the "Issuer"), a wholly-owned unrestricted subsidiary of th</w:t>
      </w:r>
      <w:r>
        <w:rPr>
          <w:color w:val="000000"/>
          <w:sz w:val="20"/>
          <w:szCs w:val="20"/>
        </w:rPr>
        <w:t>e Company, priced $159.5 million in aggregate principal amount of non-recourse senior secured notes of the Issuer (the "Kansas Notes"), in a private placement pursuant to Section 4(a)(2) of the Securities Act of 1933, as amended.  The private placement clo</w:t>
      </w:r>
      <w:r>
        <w:rPr>
          <w:color w:val="000000"/>
          <w:sz w:val="20"/>
          <w:szCs w:val="20"/>
        </w:rPr>
        <w:t>sed on June 1, 2018.  The Company used the proceeds of the private placement, which were drawn on quarterly funding dates beginning in the second quarter of 2018, to fund construction of the Lansing Correctional Facility, along with costs and expenses of t</w:t>
      </w:r>
      <w:r>
        <w:rPr>
          <w:color w:val="000000"/>
          <w:sz w:val="20"/>
          <w:szCs w:val="20"/>
        </w:rPr>
        <w:t>he project.  The Kansas Notes have a yield to maturity of 4.43% and are scheduled to mature in January 2040, 20 years following completion of the project, which occurred in January 2020. Principal and interest on the Kansas Notes are payable in quarterly p</w:t>
      </w:r>
      <w:r>
        <w:rPr>
          <w:color w:val="000000"/>
          <w:sz w:val="20"/>
          <w:szCs w:val="20"/>
        </w:rPr>
        <w:t>ayments, which began in July 2020 and continue until maturity. CoreCivic may redeem all or part of the Kansas Notes at any time upon written notice of not less than 30 days and not more than 60 days prior to the date fixed for such prepayment, with a "make</w:t>
      </w:r>
      <w:r>
        <w:rPr>
          <w:color w:val="000000"/>
          <w:sz w:val="20"/>
          <w:szCs w:val="20"/>
        </w:rPr>
        <w:t>-whole" amount, together with interest on the Kansas Notes accrued to, but not including, the redemption date. CoreCivic capitalized approximately $3.4 million of costs associated with the private placement. Because the Issuer has been designated as an unr</w:t>
      </w:r>
      <w:r>
        <w:rPr>
          <w:color w:val="000000"/>
          <w:sz w:val="20"/>
          <w:szCs w:val="20"/>
        </w:rPr>
        <w:t>estricted subsidiary of the Company under terms of the Company's Credit Agreements, the issuance and service of the Kansas Notes, and the revenues and expenses associated with the facility lease, do not impact the financial covenants associated with the Co</w:t>
      </w:r>
      <w:r>
        <w:rPr>
          <w:color w:val="000000"/>
          <w:sz w:val="20"/>
          <w:szCs w:val="20"/>
        </w:rPr>
        <w:t>mpany's Credit Agreements.  As of June 30, 2022, the outstanding balance of the Kansas Notes was $152.7 million.</w:t>
      </w:r>
    </w:p>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June 30, 2022 for the remainder of 2022, the next five years, and thereafter were as fol</w:t>
      </w:r>
      <w:r>
        <w:rPr>
          <w:sz w:val="20"/>
          <w:szCs w:val="20"/>
        </w:rPr>
        <w:t>lows (in thousands):</w:t>
      </w:r>
    </w:p>
    <w:p w:rsidR="00000000" w:rsidRDefault="00E35CFB">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509371020"/>
        </w:trPr>
        <w:tc>
          <w:tcPr>
            <w:tcW w:w="401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2022 (remainder)</w:t>
            </w:r>
          </w:p>
        </w:tc>
        <w:tc>
          <w:tcPr>
            <w:tcW w:w="94"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4,786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2023</w:t>
            </w:r>
          </w:p>
        </w:tc>
        <w:tc>
          <w:tcPr>
            <w:tcW w:w="9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181,845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2024</w:t>
            </w:r>
          </w:p>
        </w:tc>
        <w:tc>
          <w:tcPr>
            <w:tcW w:w="94"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14,722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2025</w:t>
            </w:r>
          </w:p>
        </w:tc>
        <w:tc>
          <w:tcPr>
            <w:tcW w:w="9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17,698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2026</w:t>
            </w:r>
          </w:p>
        </w:tc>
        <w:tc>
          <w:tcPr>
            <w:tcW w:w="94"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749,450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2027</w:t>
            </w:r>
          </w:p>
        </w:tc>
        <w:tc>
          <w:tcPr>
            <w:tcW w:w="9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256,855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121,159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509371020"/>
        </w:trPr>
        <w:tc>
          <w:tcPr>
            <w:tcW w:w="401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debt</w:t>
            </w:r>
          </w:p>
        </w:tc>
        <w:tc>
          <w:tcPr>
            <w:tcW w:w="9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1,346,515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4984"/>
      </w:tblGrid>
      <w:tr w:rsidR="00000000">
        <w:trPr>
          <w:divId w:val="1235433208"/>
        </w:trPr>
        <w:tc>
          <w:tcPr>
            <w:tcW w:w="500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sz w:val="2"/>
                <w:szCs w:val="2"/>
              </w:rPr>
            </w:pPr>
            <w:r>
              <w:rPr>
                <w:sz w:val="2"/>
                <w:szCs w:val="2"/>
              </w:rPr>
              <w:t> </w:t>
            </w:r>
          </w:p>
        </w:tc>
      </w:tr>
    </w:tbl>
    <w:p w:rsidR="00000000" w:rsidRDefault="00E35CFB">
      <w:pPr>
        <w:pStyle w:val="a3"/>
        <w:spacing w:before="240" w:beforeAutospacing="0" w:after="0" w:afterAutospacing="0"/>
        <w:jc w:val="center"/>
        <w:rPr>
          <w:sz w:val="20"/>
          <w:szCs w:val="20"/>
        </w:rPr>
      </w:pPr>
      <w:r>
        <w:rPr>
          <w:sz w:val="20"/>
          <w:szCs w:val="20"/>
        </w:rPr>
        <w:t>13</w:t>
      </w:r>
    </w:p>
    <w:p w:rsidR="00000000" w:rsidRDefault="00E35CFB">
      <w:pPr>
        <w:rPr>
          <w:rFonts w:eastAsia="Times New Roman"/>
        </w:rPr>
      </w:pPr>
      <w:r>
        <w:rPr>
          <w:rFonts w:eastAsia="Times New Roman"/>
        </w:rPr>
        <w:pict>
          <v:rect id="_x0000_i1039"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22643280"/>
        </w:trPr>
        <w:tc>
          <w:tcPr>
            <w:tcW w:w="227" w:type="pct"/>
            <w:noWrap/>
            <w:hideMark/>
          </w:tcPr>
          <w:p w:rsidR="00000000" w:rsidRDefault="00E35CFB">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E35CFB">
            <w:pPr>
              <w:pStyle w:val="a3"/>
              <w:spacing w:before="160" w:beforeAutospacing="0" w:after="0" w:afterAutospacing="0"/>
              <w:jc w:val="both"/>
              <w:rPr>
                <w:b/>
                <w:bCs/>
                <w:sz w:val="20"/>
                <w:szCs w:val="20"/>
              </w:rPr>
            </w:pPr>
            <w:r>
              <w:rPr>
                <w:b/>
                <w:bCs/>
                <w:sz w:val="20"/>
                <w:szCs w:val="20"/>
              </w:rPr>
              <w:t>STOCKHOLDERS' EQUITY</w:t>
            </w:r>
            <w:r>
              <w:rPr>
                <w:sz w:val="20"/>
                <w:szCs w:val="20"/>
              </w:rPr>
              <w:t>  </w:t>
            </w:r>
          </w:p>
        </w:tc>
      </w:tr>
    </w:tbl>
    <w:p w:rsidR="00000000" w:rsidRDefault="00E35CFB">
      <w:pPr>
        <w:pStyle w:val="a3"/>
        <w:spacing w:before="360" w:beforeAutospacing="0" w:after="0" w:afterAutospacing="0"/>
        <w:ind w:left="476"/>
        <w:jc w:val="both"/>
        <w:rPr>
          <w:b/>
          <w:bCs/>
          <w:sz w:val="20"/>
          <w:szCs w:val="20"/>
        </w:rPr>
      </w:pPr>
      <w:r>
        <w:rPr>
          <w:b/>
          <w:bCs/>
          <w:sz w:val="20"/>
          <w:szCs w:val="20"/>
        </w:rPr>
        <w:t>Share Repurchase Program</w:t>
      </w:r>
    </w:p>
    <w:p w:rsidR="00000000" w:rsidRDefault="00E35CFB">
      <w:pPr>
        <w:pStyle w:val="a3"/>
        <w:spacing w:before="120" w:beforeAutospacing="0" w:after="0" w:afterAutospacing="0"/>
        <w:ind w:left="476"/>
        <w:jc w:val="both"/>
        <w:rPr>
          <w:sz w:val="20"/>
          <w:szCs w:val="20"/>
        </w:rPr>
      </w:pPr>
      <w:r>
        <w:rPr>
          <w:sz w:val="20"/>
          <w:szCs w:val="20"/>
        </w:rPr>
        <w:t>On May 12, 2022, the Board of Directors ("BOD") approved a share repurchase program to repurchase up to $150.0 million of the Company's common stock.  On August 2, 2022, the BOD increased the authorization to repurchase under the share repurchase program b</w:t>
      </w:r>
      <w:r>
        <w:rPr>
          <w:sz w:val="20"/>
          <w:szCs w:val="20"/>
        </w:rPr>
        <w:t>y up to an additional $75.0 million of the Company's common stock, or a total aggregate authorized amount to repurchase of up to $225.0 million of the Company's common stock.  Repurchases of the Company's outstanding common stock will be made in accordance</w:t>
      </w:r>
      <w:r>
        <w:rPr>
          <w:sz w:val="20"/>
          <w:szCs w:val="20"/>
        </w:rPr>
        <w:t xml:space="preserve"> with applicable securities laws and may be made at the Company's discretion based on parameters set by the BOD from time to time in the open market, through privately negotiated transactions, or otherwise.  The share repurchase program has no time limit a</w:t>
      </w:r>
      <w:r>
        <w:rPr>
          <w:sz w:val="20"/>
          <w:szCs w:val="20"/>
        </w:rPr>
        <w:t>nd does not obligate the Company to purchase any particular amount of its common stock.  The authorization for the share repurchase program may be terminated, suspended, increased or decreased by the BOD in its discretion at any time. Through June 30, 2022</w:t>
      </w:r>
      <w:r>
        <w:rPr>
          <w:sz w:val="20"/>
          <w:szCs w:val="20"/>
        </w:rPr>
        <w:t>, the Company completed the repurchase of 3.0 million shares at a total cost of $37.5 million, excluding the cost of broker commissions. The Company has utilized cash on hand and net cash provided by operations to fund the repurchases.</w:t>
      </w:r>
    </w:p>
    <w:p w:rsidR="00000000" w:rsidRDefault="00E35CFB">
      <w:pPr>
        <w:pStyle w:val="a3"/>
        <w:spacing w:before="360" w:beforeAutospacing="0" w:after="0" w:afterAutospacing="0"/>
        <w:ind w:left="476"/>
        <w:jc w:val="both"/>
        <w:rPr>
          <w:b/>
          <w:bCs/>
          <w:sz w:val="20"/>
          <w:szCs w:val="20"/>
        </w:rPr>
      </w:pPr>
      <w:r>
        <w:rPr>
          <w:b/>
          <w:bCs/>
          <w:sz w:val="20"/>
          <w:szCs w:val="20"/>
        </w:rPr>
        <w:t>Restricted Stock Uni</w:t>
      </w:r>
      <w:r>
        <w:rPr>
          <w:b/>
          <w:bCs/>
          <w:sz w:val="20"/>
          <w:szCs w:val="20"/>
        </w:rPr>
        <w:t>ts</w:t>
      </w:r>
    </w:p>
    <w:p w:rsidR="00000000" w:rsidRDefault="00E35CFB">
      <w:pPr>
        <w:pStyle w:val="a3"/>
        <w:spacing w:before="120" w:beforeAutospacing="0" w:after="0" w:afterAutospacing="0"/>
        <w:ind w:left="476"/>
        <w:jc w:val="both"/>
        <w:rPr>
          <w:sz w:val="20"/>
          <w:szCs w:val="20"/>
        </w:rPr>
      </w:pPr>
      <w:r>
        <w:rPr>
          <w:sz w:val="20"/>
          <w:szCs w:val="20"/>
        </w:rPr>
        <w:t>During the first six months of 2022, CoreCivic issued approximately 2.1 million restricted common stock units ("RSUs") to certain of its employees and non-employee directors, with an aggregate value of $21.5 million, including 1.9 million RSUs to employ</w:t>
      </w:r>
      <w:r>
        <w:rPr>
          <w:sz w:val="20"/>
          <w:szCs w:val="20"/>
        </w:rPr>
        <w:t>ees and non-employee directors whose compensation is charged to general and administrative expense and 0.2 million RSUs to employees whose compensation is charged to operating expense. During 2021, CoreCivic issued approximately 2.7 million RSUs to certain</w:t>
      </w:r>
      <w:r>
        <w:rPr>
          <w:sz w:val="20"/>
          <w:szCs w:val="20"/>
        </w:rPr>
        <w:t xml:space="preserve"> of its employees and non-employee directors, with an aggregate value of $21.8 million, including 2.5 million RSUs to employees and non-employee directors whose compensation is charged to general and administrative expense and 0.2 million RSUs to employees</w:t>
      </w:r>
      <w:r>
        <w:rPr>
          <w:sz w:val="20"/>
          <w:szCs w:val="20"/>
        </w:rPr>
        <w:t xml:space="preserve"> whose compensation is charged to operating expense. </w:t>
      </w:r>
    </w:p>
    <w:p w:rsidR="00000000" w:rsidRDefault="00E35CFB">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performance-based vesting conditions on the RSUs awarded to its officers and executive officers that, unless earlier vested under the terms of the agreements, are s</w:t>
      </w:r>
      <w:r>
        <w:rPr>
          <w:sz w:val="20"/>
          <w:szCs w:val="20"/>
        </w:rPr>
        <w:t>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certain annual performance criteria, and no more than</w:t>
      </w:r>
      <w:r>
        <w:rPr>
          <w:sz w:val="20"/>
          <w:szCs w:val="20"/>
        </w:rPr>
        <w:t xml:space="preserve"> </w:t>
      </w:r>
      <w:r>
        <w:rPr>
          <w:sz w:val="20"/>
          <w:szCs w:val="20"/>
        </w:rPr>
        <w:t>one-thir</w:t>
      </w:r>
      <w:r>
        <w:rPr>
          <w:sz w:val="20"/>
          <w:szCs w:val="20"/>
        </w:rPr>
        <w:t>d</w:t>
      </w:r>
      <w:r>
        <w:rPr>
          <w:sz w:val="20"/>
          <w:szCs w:val="20"/>
        </w:rPr>
        <w:t xml:space="preserve"> of the RSUs can vest in any one performance period.  The RSUs awarded to officers and executive officers in 2020, 2021</w:t>
      </w:r>
      <w:r>
        <w:rPr>
          <w:sz w:val="20"/>
          <w:szCs w:val="20"/>
        </w:rPr>
        <w:t xml:space="preserve"> and 2022 consist of a combination of awards with performance-based conditions and time-based conditions.  Unless earlier vested under the terms of the RSU agreements, the RSUs with time-based vesting conditions vest in equal amounts over three years on th</w:t>
      </w:r>
      <w:r>
        <w:rPr>
          <w:sz w:val="20"/>
          <w:szCs w:val="20"/>
        </w:rPr>
        <w:t>e later of (i) the anniversary date of the grant or (ii) the delivery of the audited financial statements by the Company’s independent registered public accountant for the applicable fiscal year. The RSUs with performance-based vesting conditions are divid</w:t>
      </w:r>
      <w:r>
        <w:rPr>
          <w:sz w:val="20"/>
          <w:szCs w:val="20"/>
        </w:rPr>
        <w:t>ed into one-third increments, each of which is subject to vesting based upon satisfaction of certain annual performance criteria established at the beginning of the fiscal years ending December 31, 2020, 2021, and 2022 for the 2020 awards, December 31, 202</w:t>
      </w:r>
      <w:r>
        <w:rPr>
          <w:sz w:val="20"/>
          <w:szCs w:val="20"/>
        </w:rPr>
        <w:t xml:space="preserve">1, 2022, and 2023 for the 2021 awards, and December 31, 2022, 2023, and 2024 for the 2022 awards, and which can be increased up to 150% or decreased to 0% based on performance relative to the annual performance criteria, and further increased or decreased </w:t>
      </w:r>
      <w:r>
        <w:rPr>
          <w:sz w:val="20"/>
          <w:szCs w:val="20"/>
        </w:rPr>
        <w:t>using a modifier of 80% to 120% based on CoreCivic's total shareholder return relative to a peer group.  Because the performance criteria for the fiscal years ending December 31, 2023 and 2024 have not yet been established, the values of the third RSU incr</w:t>
      </w:r>
      <w:r>
        <w:rPr>
          <w:sz w:val="20"/>
          <w:szCs w:val="20"/>
        </w:rPr>
        <w:t>ement of the 2021 awards and of the second and third increments of the 2022 awards for financial reporting purposes will not be determined until such criteria are established.  Time-based RSUs issued to other employees, unless earlier vested under the term</w:t>
      </w:r>
      <w:r>
        <w:rPr>
          <w:sz w:val="20"/>
          <w:szCs w:val="20"/>
        </w:rPr>
        <w:t>s of the agreements, generally vest in equal amounts over three years on the later of (i) the anniversary date of the grant or (ii) the delivery of the audited financial statements by the Company’s independent registered public accountant for the applicabl</w:t>
      </w:r>
      <w:r>
        <w:rPr>
          <w:sz w:val="20"/>
          <w:szCs w:val="20"/>
        </w:rPr>
        <w:t>e fiscal year. RSUs issued to non-employee directors generally vest one year from the date of award.  </w:t>
      </w:r>
    </w:p>
    <w:p w:rsidR="00000000" w:rsidRDefault="00E35CFB">
      <w:pPr>
        <w:pStyle w:val="a3"/>
        <w:spacing w:before="240" w:beforeAutospacing="0" w:after="0" w:afterAutospacing="0"/>
        <w:ind w:left="476"/>
        <w:jc w:val="both"/>
        <w:rPr>
          <w:sz w:val="20"/>
          <w:szCs w:val="20"/>
        </w:rPr>
      </w:pPr>
      <w:r>
        <w:rPr>
          <w:sz w:val="20"/>
          <w:szCs w:val="20"/>
        </w:rPr>
        <w:t>During the three months ended June 30, 2022, CoreCivic expensed $4.5 million, net of forfeitures, relating to RSUs ($0.4 million of which was recorded in</w:t>
      </w:r>
      <w:r>
        <w:rPr>
          <w:sz w:val="20"/>
          <w:szCs w:val="20"/>
        </w:rPr>
        <w:t xml:space="preserve"> operating expenses and $4.1 million of which was recorded in general and administrative expenses).  During the three months ended June 30, 2021, CoreCivic expensed $4.3 million, net of forfeitures, relating to RSUs ($0.3 million of which was recorded in o</w:t>
      </w:r>
      <w:r>
        <w:rPr>
          <w:sz w:val="20"/>
          <w:szCs w:val="20"/>
        </w:rPr>
        <w:t xml:space="preserve">perating expenses and $4.0 million of which was recorded in general and administrative expenses). </w:t>
      </w:r>
    </w:p>
    <w:p w:rsidR="00000000" w:rsidRDefault="00E35CFB">
      <w:pPr>
        <w:pStyle w:val="a3"/>
        <w:spacing w:before="240" w:beforeAutospacing="0" w:after="0" w:afterAutospacing="0"/>
        <w:ind w:left="476"/>
        <w:jc w:val="both"/>
        <w:rPr>
          <w:sz w:val="20"/>
          <w:szCs w:val="20"/>
        </w:rPr>
      </w:pPr>
      <w:r>
        <w:rPr>
          <w:sz w:val="20"/>
          <w:szCs w:val="20"/>
        </w:rPr>
        <w:t>During the six months ended June 30, 2022, CoreCivic expensed $9.7 million, net of forfeitures, relating to RSUs ($0.8 million of which was recorded in opera</w:t>
      </w:r>
      <w:r>
        <w:rPr>
          <w:sz w:val="20"/>
          <w:szCs w:val="20"/>
        </w:rPr>
        <w:t xml:space="preserve">ting expenses and $8.9 million of which was recorded in general and administrative expenses). During the six months ended June 30, 2021, CoreCivic expensed $8.5 million, net of forfeitures, relating to RSUs ($0.8 million of which was recorded in operating </w:t>
      </w:r>
      <w:r>
        <w:rPr>
          <w:sz w:val="20"/>
          <w:szCs w:val="20"/>
        </w:rPr>
        <w:t>expenses and $7.7 million of which was recorded in general and administrative expenses). As of June 30, 2022, approximately 4.0 million RSUs remained outstanding and subject to vesting.</w:t>
      </w:r>
    </w:p>
    <w:p w:rsidR="00000000" w:rsidRDefault="00E35CFB">
      <w:pPr>
        <w:pStyle w:val="a3"/>
        <w:spacing w:before="240" w:beforeAutospacing="0" w:after="0" w:afterAutospacing="0"/>
        <w:jc w:val="center"/>
        <w:rPr>
          <w:sz w:val="20"/>
          <w:szCs w:val="20"/>
        </w:rPr>
      </w:pPr>
      <w:r>
        <w:rPr>
          <w:sz w:val="20"/>
          <w:szCs w:val="20"/>
        </w:rPr>
        <w:t>14</w:t>
      </w:r>
    </w:p>
    <w:p w:rsidR="00000000" w:rsidRDefault="00E35CFB">
      <w:pPr>
        <w:rPr>
          <w:rFonts w:eastAsia="Times New Roman"/>
        </w:rPr>
      </w:pPr>
      <w:r>
        <w:rPr>
          <w:rFonts w:eastAsia="Times New Roman"/>
        </w:rPr>
        <w:pict>
          <v:rect id="_x0000_i1040"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ind w:left="476"/>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43778264"/>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EARNINGS PER SHARE</w:t>
            </w:r>
          </w:p>
        </w:tc>
      </w:tr>
    </w:tbl>
    <w:p w:rsidR="00000000" w:rsidRDefault="00E35CFB">
      <w:pPr>
        <w:pStyle w:val="a3"/>
        <w:spacing w:before="120" w:beforeAutospacing="0" w:after="0" w:afterAutospacing="0"/>
        <w:ind w:left="476"/>
        <w:jc w:val="both"/>
        <w:rPr>
          <w:sz w:val="20"/>
          <w:szCs w:val="20"/>
        </w:rPr>
      </w:pPr>
      <w:r>
        <w:rPr>
          <w:sz w:val="20"/>
          <w:szCs w:val="20"/>
        </w:rPr>
        <w:t>Basic earnings per share is computed by dividing net income by the weighted average number of common shares outstanding during the year.  Diluted earnings per share reflects the potential dilution that could occur if securities or other</w:t>
      </w:r>
      <w:r>
        <w:rPr>
          <w:sz w:val="20"/>
          <w:szCs w:val="20"/>
        </w:rPr>
        <w:t xml:space="preserve"> contracts to issue common stock were exercised or converted into common stock or resulted in the issuance of common stock that then shared in the earnings of the entity.  For CoreCivic, diluted earnings per share is computed by dividing net income by the </w:t>
      </w:r>
      <w:r>
        <w:rPr>
          <w:sz w:val="20"/>
          <w:szCs w:val="20"/>
        </w:rPr>
        <w:t>weighted average number of common shares after considering the additional dilution related to restricted stock-based awards, stock options, and Operating Partnership Units.</w:t>
      </w:r>
    </w:p>
    <w:p w:rsidR="00000000" w:rsidRDefault="00E35CFB">
      <w:pPr>
        <w:pStyle w:val="a3"/>
        <w:spacing w:before="240" w:beforeAutospacing="0" w:after="0" w:afterAutospacing="0"/>
        <w:ind w:left="476"/>
        <w:jc w:val="both"/>
        <w:rPr>
          <w:sz w:val="20"/>
          <w:szCs w:val="20"/>
        </w:rPr>
      </w:pPr>
      <w:r>
        <w:rPr>
          <w:sz w:val="20"/>
          <w:szCs w:val="20"/>
        </w:rPr>
        <w:t>A reconciliation of the numerator and denominator of the basic earnings per share c</w:t>
      </w:r>
      <w:r>
        <w:rPr>
          <w:sz w:val="20"/>
          <w:szCs w:val="20"/>
        </w:rPr>
        <w:t>omputation to the numerator and denominator of the diluted earnings per share computation is as follows (in thousands, except per share data):</w:t>
      </w:r>
    </w:p>
    <w:p w:rsidR="00000000" w:rsidRDefault="00E35CFB">
      <w:pPr>
        <w:pStyle w:val="a3"/>
        <w:spacing w:before="240" w:beforeAutospacing="0" w:after="0" w:afterAutospacing="0"/>
        <w:ind w:left="476"/>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1"/>
        <w:gridCol w:w="65"/>
        <w:gridCol w:w="115"/>
        <w:gridCol w:w="665"/>
        <w:gridCol w:w="65"/>
        <w:gridCol w:w="65"/>
        <w:gridCol w:w="115"/>
        <w:gridCol w:w="665"/>
        <w:gridCol w:w="65"/>
        <w:gridCol w:w="65"/>
        <w:gridCol w:w="115"/>
        <w:gridCol w:w="665"/>
        <w:gridCol w:w="65"/>
        <w:gridCol w:w="65"/>
        <w:gridCol w:w="115"/>
        <w:gridCol w:w="732"/>
        <w:gridCol w:w="82"/>
      </w:tblGrid>
      <w:tr w:rsidR="00000000">
        <w:trPr>
          <w:divId w:val="205724339"/>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205724339"/>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NUMERATOR</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Net income (loss)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10,562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29,565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Net income (loss)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10,562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29,565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DENOMINATOR</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120,529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120,283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120,662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120,098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120,529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120,283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120,662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120,098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Effect of dilutive securities: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Restricted stock-based awards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817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Non-controlling interest - Operating Partnership</w:t>
            </w:r>
          </w:p>
          <w:p w:rsidR="00000000" w:rsidRDefault="00E35CFB">
            <w:pPr>
              <w:pStyle w:val="a3"/>
              <w:spacing w:before="0" w:beforeAutospacing="0" w:after="0" w:afterAutospacing="0"/>
              <w:ind w:left="547"/>
              <w:rPr>
                <w:color w:val="000000"/>
                <w:sz w:val="20"/>
                <w:szCs w:val="20"/>
              </w:rPr>
            </w:pPr>
            <w:r>
              <w:rPr>
                <w:color w:val="000000"/>
                <w:sz w:val="20"/>
                <w:szCs w:val="20"/>
              </w:rPr>
              <w:t>     Units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121,346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122,059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121,383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120,098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205724339"/>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BASIC EARNINGS (LOSS) PER SHARE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0.25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(0.92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205724339"/>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DILUTED EARNINGS (LOSS) PER SHARE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r>
              <w:rPr>
                <w:color w:val="000000"/>
                <w:sz w:val="20"/>
                <w:szCs w:val="20"/>
              </w:rPr>
              <w:t>0.92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0" w:beforeAutospacing="0" w:after="0" w:afterAutospacing="0"/>
        <w:ind w:left="595" w:hanging="612"/>
        <w:jc w:val="both"/>
        <w:rPr>
          <w:sz w:val="20"/>
          <w:szCs w:val="20"/>
        </w:rPr>
      </w:pPr>
      <w:r>
        <w:rPr>
          <w:sz w:val="20"/>
          <w:szCs w:val="20"/>
        </w:rPr>
        <w:t> </w:t>
      </w:r>
    </w:p>
    <w:p w:rsidR="00000000" w:rsidRDefault="00E35CFB">
      <w:pPr>
        <w:pStyle w:val="a3"/>
        <w:spacing w:before="0" w:beforeAutospacing="0" w:after="0" w:afterAutospacing="0"/>
        <w:ind w:left="476"/>
        <w:jc w:val="both"/>
        <w:rPr>
          <w:sz w:val="20"/>
          <w:szCs w:val="20"/>
        </w:rPr>
      </w:pPr>
      <w:r>
        <w:rPr>
          <w:sz w:val="20"/>
          <w:szCs w:val="20"/>
        </w:rPr>
        <w:t xml:space="preserve">For the six months ended June 30, 2021, 0.3 million restricted stock-based awards and 1.3 </w:t>
      </w:r>
      <w:r>
        <w:rPr>
          <w:sz w:val="20"/>
          <w:szCs w:val="20"/>
        </w:rPr>
        <w:t>million non-controlling interest - operating partnership units were excluded from the computation of diluted loss per share because they were anti-dilutive.  In addition, approximately 16,000 and 0.3 million of stock options were excluded from the computat</w:t>
      </w:r>
      <w:r>
        <w:rPr>
          <w:sz w:val="20"/>
          <w:szCs w:val="20"/>
        </w:rPr>
        <w:t>ion of diluted earnings per share for the three months ended June 30, 2022 and 2021, respectively, because they were anti-dilutive. Approximately 0.1 million and 0.4 million stock options were excluded from the computation of diluted earnings (loss) per sh</w:t>
      </w:r>
      <w:r>
        <w:rPr>
          <w:sz w:val="20"/>
          <w:szCs w:val="20"/>
        </w:rPr>
        <w:t>are for the six months ended June 30, 2022 and 2021, respectively, because they were anti-dilutive.</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73632356"/>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COMMITMENTS AND CONTINGENCIES</w:t>
            </w:r>
          </w:p>
        </w:tc>
      </w:tr>
    </w:tbl>
    <w:p w:rsidR="00000000" w:rsidRDefault="00E35CFB">
      <w:pPr>
        <w:pStyle w:val="a3"/>
        <w:spacing w:before="120" w:beforeAutospacing="0" w:after="0" w:afterAutospacing="0"/>
        <w:ind w:left="476"/>
        <w:jc w:val="both"/>
        <w:rPr>
          <w:b/>
          <w:bCs/>
          <w:sz w:val="20"/>
          <w:szCs w:val="20"/>
        </w:rPr>
      </w:pPr>
      <w:r>
        <w:rPr>
          <w:b/>
          <w:bCs/>
          <w:sz w:val="20"/>
          <w:szCs w:val="20"/>
        </w:rPr>
        <w:t>Legal Proceedings</w:t>
      </w:r>
    </w:p>
    <w:p w:rsidR="00000000" w:rsidRDefault="00E35CFB">
      <w:pPr>
        <w:pStyle w:val="a3"/>
        <w:spacing w:before="120" w:beforeAutospacing="0" w:after="0" w:afterAutospacing="0"/>
        <w:ind w:left="476"/>
        <w:jc w:val="both"/>
        <w:rPr>
          <w:sz w:val="20"/>
          <w:szCs w:val="20"/>
        </w:rPr>
      </w:pPr>
      <w:r>
        <w:rPr>
          <w:sz w:val="20"/>
          <w:szCs w:val="20"/>
        </w:rPr>
        <w:t>The nature of CoreCivic's business results in claims and litigation alleging that it is liable for damag</w:t>
      </w:r>
      <w:r>
        <w:rPr>
          <w:sz w:val="20"/>
          <w:szCs w:val="20"/>
        </w:rPr>
        <w:t xml:space="preserve">es arising from the conduct of its employees, offenders or others.  The nature of such claims includes, but is not limited to, claims arising from employee or offender misconduct, medical malpractice, employment matters, property loss, contractual claims, </w:t>
      </w:r>
      <w:r>
        <w:rPr>
          <w:sz w:val="20"/>
          <w:szCs w:val="20"/>
        </w:rPr>
        <w:t>including claims regarding compliance with contract performance requirements, and personal injury or other damages resulting from contact with CoreCivic's facilities, personnel or offenders, including damages arising from an offender's escape or from a dis</w:t>
      </w:r>
      <w:r>
        <w:rPr>
          <w:sz w:val="20"/>
          <w:szCs w:val="20"/>
        </w:rPr>
        <w:t>turbance at a facility.  CoreCivic maintains insurance to cover many of these claims, which may mitigate the risk that any single claim would have a material effect on CoreCivic's consolidated financial position, results of operations, or cash flows, provi</w:t>
      </w:r>
      <w:r>
        <w:rPr>
          <w:sz w:val="20"/>
          <w:szCs w:val="20"/>
        </w:rPr>
        <w:t>ded the claim is one for which coverage is available.  The combination of self-insured retentions and deductible amounts means that, in the aggregate, CoreCivic is subject to substantial self-insurance risk.  </w:t>
      </w:r>
    </w:p>
    <w:p w:rsidR="00000000" w:rsidRDefault="00E35CFB">
      <w:pPr>
        <w:pStyle w:val="a3"/>
        <w:spacing w:before="240" w:beforeAutospacing="0" w:after="0" w:afterAutospacing="0"/>
        <w:jc w:val="center"/>
        <w:rPr>
          <w:sz w:val="20"/>
          <w:szCs w:val="20"/>
        </w:rPr>
      </w:pPr>
      <w:r>
        <w:rPr>
          <w:sz w:val="20"/>
          <w:szCs w:val="20"/>
        </w:rPr>
        <w:t>15</w:t>
      </w:r>
    </w:p>
    <w:p w:rsidR="00000000" w:rsidRDefault="00E35CFB">
      <w:pPr>
        <w:rPr>
          <w:rFonts w:eastAsia="Times New Roman"/>
        </w:rPr>
      </w:pPr>
      <w:r>
        <w:rPr>
          <w:rFonts w:eastAsia="Times New Roman"/>
        </w:rPr>
        <w:pict>
          <v:rect id="_x0000_i1041"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Base</w:t>
      </w:r>
      <w:r>
        <w:rPr>
          <w:sz w:val="20"/>
          <w:szCs w:val="20"/>
        </w:rPr>
        <w:t xml:space="preserve">d upon management's review of the potential claims and outstanding litigation, and based upon management's experience and history of estimating losses, and taking into consideration CoreCivic's self-insured retention amounts, management believes a loss in </w:t>
      </w:r>
      <w:r>
        <w:rPr>
          <w:sz w:val="20"/>
          <w:szCs w:val="20"/>
        </w:rPr>
        <w:t xml:space="preserve">excess of amounts already recognized would not be material to CoreCivic's financial statements.  Adversarial proceedings and litigation are, however, subject to inherent uncertainties, and unfavorable decisions and rulings resulting from legal proceedings </w:t>
      </w:r>
      <w:r>
        <w:rPr>
          <w:sz w:val="20"/>
          <w:szCs w:val="20"/>
        </w:rPr>
        <w:t xml:space="preserve">could occur which could have a material impact on CoreCivic's consolidated financial position, results of operations, or cash flows for the period in which such decisions or rulings occur, or future periods.  Expenses associated with legal proceedings may </w:t>
      </w:r>
      <w:r>
        <w:rPr>
          <w:sz w:val="20"/>
          <w:szCs w:val="20"/>
        </w:rPr>
        <w:t>also fluctuate from quarter to quarter based on changes in CoreCivic's assumptions, new developments, or by the effectiveness of CoreCivic's litigation and settlement strategies.  </w:t>
      </w:r>
    </w:p>
    <w:p w:rsidR="00000000" w:rsidRDefault="00E35CFB">
      <w:pPr>
        <w:pStyle w:val="a3"/>
        <w:spacing w:before="240" w:beforeAutospacing="0" w:after="0" w:afterAutospacing="0"/>
        <w:ind w:left="476"/>
        <w:jc w:val="both"/>
        <w:rPr>
          <w:sz w:val="20"/>
          <w:szCs w:val="20"/>
        </w:rPr>
      </w:pPr>
      <w:r>
        <w:rPr>
          <w:sz w:val="20"/>
          <w:szCs w:val="20"/>
        </w:rPr>
        <w:t xml:space="preserve">CoreCivic records a liability in the consolidated financial statements for </w:t>
      </w:r>
      <w:r>
        <w:rPr>
          <w:sz w:val="20"/>
          <w:szCs w:val="20"/>
        </w:rPr>
        <w:t xml:space="preserve">loss contingencies when a loss is known or considered probable, and the amount can be reasonably estimated.  If the reasonable estimate of a known or probable loss is a range, and no amount within the range is a better estimate than any other, the minimum </w:t>
      </w:r>
      <w:r>
        <w:rPr>
          <w:sz w:val="20"/>
          <w:szCs w:val="20"/>
        </w:rPr>
        <w:t>amount of the range is accrued.  If a loss is reasonably possible but not known or probable, and can be reasonably estimated, the estimated loss or range of loss is disclosed.  When determining the estimated loss or range of loss, significant judgment is r</w:t>
      </w:r>
      <w:r>
        <w:rPr>
          <w:sz w:val="20"/>
          <w:szCs w:val="20"/>
        </w:rPr>
        <w:t>equired to estimate the amount and timing of a loss to be recorded.  Any receivable for insurance recoveries is recorded separately from the corresponding litigation reserve, and only if recovery is determined to be probable and the amount of payment can b</w:t>
      </w:r>
      <w:r>
        <w:rPr>
          <w:sz w:val="20"/>
          <w:szCs w:val="20"/>
        </w:rPr>
        <w:t>e determined.  CoreCivic does not accrue for anticipated legal fees and costs but expenses those items as incurred.  </w:t>
      </w:r>
    </w:p>
    <w:p w:rsidR="00000000" w:rsidRDefault="00E35CFB">
      <w:pPr>
        <w:pStyle w:val="a3"/>
        <w:spacing w:before="360" w:beforeAutospacing="0" w:after="0" w:afterAutospacing="0"/>
        <w:ind w:left="476"/>
        <w:jc w:val="both"/>
        <w:rPr>
          <w:i/>
          <w:iCs/>
          <w:sz w:val="20"/>
          <w:szCs w:val="20"/>
        </w:rPr>
      </w:pPr>
      <w:r>
        <w:rPr>
          <w:i/>
          <w:iCs/>
          <w:sz w:val="20"/>
          <w:szCs w:val="20"/>
        </w:rPr>
        <w:t>ICE Detainee Labor and Related Matters.</w:t>
      </w:r>
    </w:p>
    <w:p w:rsidR="00000000" w:rsidRDefault="00E35CFB">
      <w:pPr>
        <w:pStyle w:val="a3"/>
        <w:spacing w:before="120" w:beforeAutospacing="0" w:after="0" w:afterAutospacing="0"/>
        <w:ind w:left="476"/>
        <w:jc w:val="both"/>
        <w:rPr>
          <w:sz w:val="20"/>
          <w:szCs w:val="20"/>
        </w:rPr>
      </w:pPr>
      <w:r>
        <w:rPr>
          <w:sz w:val="20"/>
          <w:szCs w:val="20"/>
        </w:rPr>
        <w:t>On May 31, 2017, two former ICE detainees, who were detained at the Company's Otay Mesa Detention Center ("OMDC") in San Diego, California, filed a class action lawsuit against the Company in the United States District Court for the Southern District of Ca</w:t>
      </w:r>
      <w:r>
        <w:rPr>
          <w:sz w:val="20"/>
          <w:szCs w:val="20"/>
        </w:rPr>
        <w:t>lifornia. The complaint alleged that the Company forces detainees to perform labor under threat of punishment in violation of state and federal anti-trafficking laws and that OMDC’s Voluntary Work Program ("VWP") violates state labor laws including state m</w:t>
      </w:r>
      <w:r>
        <w:rPr>
          <w:sz w:val="20"/>
          <w:szCs w:val="20"/>
        </w:rPr>
        <w:t>inimum wage law. ICE requires that CoreCivic offer and operate the VWP in conformance with ICE standards and ICE prescribes the minimum rate of pay for VWP participants. The Plaintiffs seek compensatory damages, exemplary damages, restitution, penalties, a</w:t>
      </w:r>
      <w:r>
        <w:rPr>
          <w:sz w:val="20"/>
          <w:szCs w:val="20"/>
        </w:rPr>
        <w:t>nd interest as well as declaratory and injunctive relief on behalf of former and current detainees. On April 1, 2020, the district court certified a nationwide anti-trafficking claims class of former and current detainees at all CoreCivic ICE detention fac</w:t>
      </w:r>
      <w:r>
        <w:rPr>
          <w:sz w:val="20"/>
          <w:szCs w:val="20"/>
        </w:rPr>
        <w:t>ilities. It also certified a state law class of former and current detainees at the Company's ICE detention facilities in California. The court did not certify any claims for injunctive or declaratory relief. On March 10, 2021, the Ninth Circuit Court of A</w:t>
      </w:r>
      <w:r>
        <w:rPr>
          <w:sz w:val="20"/>
          <w:szCs w:val="20"/>
        </w:rPr>
        <w:t xml:space="preserve">ppeals granted CoreCivic's petition to appeal the class certification ruling.  On June 3, 2022, a three-judge panel of the Ninth Circuit affirmed the class certification ruling.  Since this case was filed, four similar lawsuits have been filed. </w:t>
      </w:r>
      <w:r>
        <w:rPr>
          <w:sz w:val="20"/>
          <w:szCs w:val="20"/>
          <w:shd w:val="clear" w:color="auto" w:fill="FFFFFF"/>
        </w:rPr>
        <w:t xml:space="preserve">A Maryland </w:t>
      </w:r>
      <w:r>
        <w:rPr>
          <w:sz w:val="20"/>
          <w:szCs w:val="20"/>
          <w:shd w:val="clear" w:color="auto" w:fill="FFFFFF"/>
        </w:rPr>
        <w:t xml:space="preserve">case was dismissed on September 27, 2019, and the dismissal was affirmed on appeal. Two suits filed in Georgia and Texas do not allege minimum wage violations; and the Texas case was voluntarily dismissed. A second </w:t>
      </w:r>
      <w:r>
        <w:rPr>
          <w:sz w:val="20"/>
          <w:szCs w:val="20"/>
        </w:rPr>
        <w:t>California suit concerning</w:t>
      </w:r>
      <w:r>
        <w:rPr>
          <w:sz w:val="20"/>
          <w:szCs w:val="20"/>
          <w:shd w:val="clear" w:color="auto" w:fill="FFFFFF"/>
        </w:rPr>
        <w:t xml:space="preserve"> the Otay Mesa </w:t>
      </w:r>
      <w:r>
        <w:rPr>
          <w:sz w:val="20"/>
          <w:szCs w:val="20"/>
          <w:shd w:val="clear" w:color="auto" w:fill="FFFFFF"/>
        </w:rPr>
        <w:t>facility has been stayed pending the outcome of class proceedings in the first. </w:t>
      </w:r>
      <w:r>
        <w:rPr>
          <w:sz w:val="20"/>
          <w:szCs w:val="20"/>
        </w:rPr>
        <w:t>The Company disputes these allegations and intends to take all necessary steps to vigorously defend itself against all claims.</w:t>
      </w:r>
    </w:p>
    <w:p w:rsidR="00000000" w:rsidRDefault="00E35CFB">
      <w:pPr>
        <w:pStyle w:val="a3"/>
        <w:spacing w:before="240" w:beforeAutospacing="0" w:after="0" w:afterAutospacing="0"/>
        <w:ind w:left="476"/>
        <w:jc w:val="both"/>
        <w:rPr>
          <w:sz w:val="20"/>
          <w:szCs w:val="20"/>
        </w:rPr>
      </w:pPr>
      <w:r>
        <w:rPr>
          <w:sz w:val="20"/>
          <w:szCs w:val="20"/>
        </w:rPr>
        <w:t xml:space="preserve">Due to the stage of this proceeding, the Company </w:t>
      </w:r>
      <w:r>
        <w:rPr>
          <w:sz w:val="20"/>
          <w:szCs w:val="20"/>
        </w:rPr>
        <w:t>cannot reasonably predict the outcome, nor can it estimate the amount of loss or range of loss, if any, that may result.  As a result, the Company has not recorded an accrual relating to this matter at this time, as losses are not considered probable or re</w:t>
      </w:r>
      <w:r>
        <w:rPr>
          <w:sz w:val="20"/>
          <w:szCs w:val="20"/>
        </w:rPr>
        <w:t>asonably estimable at this stage of these lawsuits.</w:t>
      </w:r>
    </w:p>
    <w:p w:rsidR="00000000" w:rsidRDefault="00E35CFB">
      <w:pPr>
        <w:pStyle w:val="a3"/>
        <w:spacing w:before="360" w:beforeAutospacing="0" w:after="0" w:afterAutospacing="0"/>
        <w:ind w:left="476"/>
        <w:jc w:val="both"/>
        <w:rPr>
          <w:i/>
          <w:iCs/>
          <w:sz w:val="20"/>
          <w:szCs w:val="20"/>
        </w:rPr>
      </w:pPr>
      <w:r>
        <w:rPr>
          <w:i/>
          <w:iCs/>
          <w:sz w:val="20"/>
          <w:szCs w:val="20"/>
        </w:rPr>
        <w:t>Securities and Derivative Litigation.</w:t>
      </w:r>
    </w:p>
    <w:p w:rsidR="00000000" w:rsidRDefault="00E35CFB">
      <w:pPr>
        <w:pStyle w:val="a3"/>
        <w:spacing w:before="120" w:beforeAutospacing="0" w:after="0" w:afterAutospacing="0"/>
        <w:ind w:left="476"/>
        <w:jc w:val="both"/>
        <w:rPr>
          <w:sz w:val="20"/>
          <w:szCs w:val="20"/>
        </w:rPr>
      </w:pPr>
      <w:r>
        <w:rPr>
          <w:sz w:val="20"/>
          <w:szCs w:val="20"/>
        </w:rPr>
        <w:t xml:space="preserve">In a memorandum to the BOP dated August 18, 2016, the DOJ directed that, as each contract with privately operated prisons reaches the end of its term, the BOP should </w:t>
      </w:r>
      <w:r>
        <w:rPr>
          <w:sz w:val="20"/>
          <w:szCs w:val="20"/>
        </w:rPr>
        <w:t>either decline to renew that contract or substantially reduce its scope in a manner consistent with law and the overall decline of the BOP's inmate population. Following the release of the August 18, 2016 DOJ memorandum, a securities class action lawsuit w</w:t>
      </w:r>
      <w:r>
        <w:rPr>
          <w:sz w:val="20"/>
          <w:szCs w:val="20"/>
        </w:rPr>
        <w:t xml:space="preserve">as filed on August 23, 2016 against the Company and certain of its current and former officers in the United States District Court for the Middle District of Tennessee (the "District Court"), captioned </w:t>
      </w:r>
      <w:r>
        <w:rPr>
          <w:i/>
          <w:iCs/>
          <w:sz w:val="20"/>
          <w:szCs w:val="20"/>
        </w:rPr>
        <w:t>Grae v. Corrections Corporation of America et al.</w:t>
      </w:r>
      <w:r>
        <w:rPr>
          <w:sz w:val="20"/>
          <w:szCs w:val="20"/>
        </w:rPr>
        <w:t>, Cas</w:t>
      </w:r>
      <w:r>
        <w:rPr>
          <w:sz w:val="20"/>
          <w:szCs w:val="20"/>
        </w:rPr>
        <w:t>e No. 3:16-cv-02267. The Company settled this lawsuit in April 2021.  The settlement, which was approved by the District Court on November 8, 2021, contains no admission of liability, wrongdoing, or responsibility by any of the defendants including the Com</w:t>
      </w:r>
      <w:r>
        <w:rPr>
          <w:sz w:val="20"/>
          <w:szCs w:val="20"/>
        </w:rPr>
        <w:t>pany. The Company paid the settlement amount of $56.0 million in May 2021.  As a result of the settlement, the Company recognized an expense of $54.3 million during the year ended December 31, 2021 ($51.7 million of which was recognized in the first quarte</w:t>
      </w:r>
      <w:r>
        <w:rPr>
          <w:sz w:val="20"/>
          <w:szCs w:val="20"/>
        </w:rPr>
        <w:t>r of 2021), which was net of the remaining insurance available under the Company’s policies.  </w:t>
      </w:r>
    </w:p>
    <w:p w:rsidR="00000000" w:rsidRDefault="00E35CFB">
      <w:pPr>
        <w:pStyle w:val="a3"/>
        <w:spacing w:before="240" w:beforeAutospacing="0" w:after="0" w:afterAutospacing="0"/>
        <w:jc w:val="center"/>
        <w:rPr>
          <w:sz w:val="20"/>
          <w:szCs w:val="20"/>
        </w:rPr>
      </w:pPr>
      <w:r>
        <w:rPr>
          <w:sz w:val="20"/>
          <w:szCs w:val="20"/>
        </w:rPr>
        <w:t>16</w:t>
      </w:r>
    </w:p>
    <w:p w:rsidR="00000000" w:rsidRDefault="00E35CFB">
      <w:pPr>
        <w:rPr>
          <w:rFonts w:eastAsia="Times New Roman"/>
        </w:rPr>
      </w:pPr>
      <w:r>
        <w:rPr>
          <w:rFonts w:eastAsia="Times New Roman"/>
        </w:rPr>
        <w:pict>
          <v:rect id="_x0000_i1042"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 xml:space="preserve">The </w:t>
      </w:r>
      <w:r>
        <w:rPr>
          <w:color w:val="000000"/>
          <w:sz w:val="20"/>
          <w:szCs w:val="20"/>
          <w:shd w:val="clear" w:color="auto" w:fill="FFFFFF"/>
        </w:rPr>
        <w:t>Company is also named along with several of its directors in six derivative lawsuits which raise similar allegations</w:t>
      </w:r>
      <w:r>
        <w:rPr>
          <w:color w:val="000000"/>
          <w:sz w:val="20"/>
          <w:szCs w:val="20"/>
          <w:shd w:val="clear" w:color="auto" w:fill="FFFFFF"/>
        </w:rPr>
        <w:t xml:space="preserve"> to those raised in the </w:t>
      </w:r>
      <w:r>
        <w:rPr>
          <w:i/>
          <w:iCs/>
          <w:color w:val="000000"/>
          <w:sz w:val="20"/>
          <w:szCs w:val="20"/>
          <w:shd w:val="clear" w:color="auto" w:fill="FFFFFF"/>
        </w:rPr>
        <w:t>Grae</w:t>
      </w:r>
      <w:r>
        <w:rPr>
          <w:color w:val="000000"/>
          <w:sz w:val="20"/>
          <w:szCs w:val="20"/>
          <w:shd w:val="clear" w:color="auto" w:fill="FFFFFF"/>
        </w:rPr>
        <w:t xml:space="preserve"> securities litigation, </w:t>
      </w:r>
      <w:r>
        <w:rPr>
          <w:sz w:val="20"/>
          <w:szCs w:val="20"/>
          <w:shd w:val="clear" w:color="auto" w:fill="FFFFFF"/>
        </w:rPr>
        <w:t>which are currently stayed by agreement of the parties. On June 17, 2022, the Company and derivative plaintiffs informed the federal District Court for the Middle District of Tennessee that the parties ha</w:t>
      </w:r>
      <w:r>
        <w:rPr>
          <w:sz w:val="20"/>
          <w:szCs w:val="20"/>
          <w:shd w:val="clear" w:color="auto" w:fill="FFFFFF"/>
        </w:rPr>
        <w:t xml:space="preserve">d reached an agreement as to the plaintiffs' attorneys' fees and expenses.  Further, the parties informed the Court that they expect to seek Court approval of a settlement of the derivative matters within approximately 90 days.  While </w:t>
      </w:r>
      <w:r>
        <w:rPr>
          <w:color w:val="000000"/>
          <w:sz w:val="20"/>
          <w:szCs w:val="20"/>
          <w:shd w:val="clear" w:color="auto" w:fill="FFFFFF"/>
        </w:rPr>
        <w:t xml:space="preserve">the Company believes </w:t>
      </w:r>
      <w:r>
        <w:rPr>
          <w:color w:val="000000"/>
          <w:sz w:val="20"/>
          <w:szCs w:val="20"/>
          <w:shd w:val="clear" w:color="auto" w:fill="FFFFFF"/>
        </w:rPr>
        <w:t>these lawsuits are entirely without merit, the Company acknowledges the costs and risks of extensive and complex litigation regarding these matters are substantial and subject to an unpredictable outcome.  </w:t>
      </w:r>
      <w:r>
        <w:rPr>
          <w:sz w:val="20"/>
          <w:szCs w:val="20"/>
        </w:rPr>
        <w:t>In the second quarter of 2022, the Company recogni</w:t>
      </w:r>
      <w:r>
        <w:rPr>
          <w:sz w:val="20"/>
          <w:szCs w:val="20"/>
        </w:rPr>
        <w:t>zed an expense of $1.9 million associated with these derivative matters.  The Company expects its reserve to cover the settlement.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25764871"/>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INCOME TAXES</w:t>
            </w:r>
          </w:p>
        </w:tc>
      </w:tr>
    </w:tbl>
    <w:p w:rsidR="00000000" w:rsidRDefault="00E35CFB">
      <w:pPr>
        <w:pStyle w:val="a3"/>
        <w:spacing w:before="120" w:beforeAutospacing="0" w:after="0" w:afterAutospacing="0"/>
        <w:ind w:left="476"/>
        <w:jc w:val="both"/>
        <w:rPr>
          <w:sz w:val="20"/>
          <w:szCs w:val="20"/>
        </w:rPr>
      </w:pPr>
      <w:r>
        <w:rPr>
          <w:sz w:val="20"/>
          <w:szCs w:val="20"/>
        </w:rPr>
        <w:t>Income taxes are accounted for under the provisions of ASC 740, "Income Taxes". ASC 740 generally requires CoreCivic to record deferred income taxes for the tax effect of differences between book and tax bases of its assets and liabilities. Deferred income</w:t>
      </w:r>
      <w:r>
        <w:rPr>
          <w:sz w:val="20"/>
          <w:szCs w:val="20"/>
        </w:rPr>
        <w:t xml:space="preserve"> taxes reflect the available net operating losses and the net tax effect of temporary differences between the carrying amounts of assets and liabilities for financial reporting purposes and the amounts used for income tax purposes using enacted tax rates i</w:t>
      </w:r>
      <w:r>
        <w:rPr>
          <w:sz w:val="20"/>
          <w:szCs w:val="20"/>
        </w:rPr>
        <w:t xml:space="preserve">n effect for the year in which the differences are expected to reverse. The effect of a change in tax rates on deferred tax assets and liabilities is recognized in the statement of operations in the period that includes the enactment date.  Realization of </w:t>
      </w:r>
      <w:r>
        <w:rPr>
          <w:sz w:val="20"/>
          <w:szCs w:val="20"/>
        </w:rPr>
        <w:t>the future tax benefits related to deferred tax assets is dependent on many factors, including CoreCivic's past earnings history, expected future earnings, the character and jurisdiction of such earnings, unsettled circumstances that, if unfavorably resolv</w:t>
      </w:r>
      <w:r>
        <w:rPr>
          <w:sz w:val="20"/>
          <w:szCs w:val="20"/>
        </w:rPr>
        <w:t>ed, would adversely affect utilization of its deferred tax assets, carryback and carryforward periods, and tax strategies that could potentially enhance the likelihood of realization of a deferred tax asset.</w:t>
      </w:r>
    </w:p>
    <w:p w:rsidR="00000000" w:rsidRDefault="00E35CFB">
      <w:pPr>
        <w:pStyle w:val="a3"/>
        <w:spacing w:before="240" w:beforeAutospacing="0" w:after="0" w:afterAutospacing="0"/>
        <w:ind w:left="476"/>
        <w:jc w:val="both"/>
        <w:rPr>
          <w:color w:val="000000"/>
          <w:sz w:val="20"/>
          <w:szCs w:val="20"/>
        </w:rPr>
      </w:pPr>
      <w:r>
        <w:rPr>
          <w:color w:val="000000"/>
          <w:sz w:val="20"/>
          <w:szCs w:val="20"/>
        </w:rPr>
        <w:t>The Company operated in compliance with real est</w:t>
      </w:r>
      <w:r>
        <w:rPr>
          <w:color w:val="000000"/>
          <w:sz w:val="20"/>
          <w:szCs w:val="20"/>
        </w:rPr>
        <w:t>ate investment trust ("REIT") requirements for federal income tax purposes from January 1, 2013 through December 31, 2020.  During the years the Company elected REIT status, the Company was required to distribute at least 90% of its taxable income (includi</w:t>
      </w:r>
      <w:r>
        <w:rPr>
          <w:color w:val="000000"/>
          <w:sz w:val="20"/>
          <w:szCs w:val="20"/>
        </w:rPr>
        <w:t>ng dividends paid to it by its taxable REIT subsidiaries ("TRSs")) and did not pay federal income taxes on the amount distributed to its stockholders.  In addition, the Company was required to meet a number of other organizational and operational requireme</w:t>
      </w:r>
      <w:r>
        <w:rPr>
          <w:color w:val="000000"/>
          <w:sz w:val="20"/>
          <w:szCs w:val="20"/>
        </w:rPr>
        <w:t>nts, which the Company continued to meet through the year ended December 31, 2020.  Most states where CoreCivic holds investments in real estate conform to the federal rules recognizing REITs. Certain subsidiaries made an election with the Company to be tr</w:t>
      </w:r>
      <w:r>
        <w:rPr>
          <w:color w:val="000000"/>
          <w:sz w:val="20"/>
          <w:szCs w:val="20"/>
        </w:rPr>
        <w:t>eated as TRSs in conjunction with the Company's REIT election.  The TRS elections permitted CoreCivic to engage in certain business activities in which the REIT could not engage directly. A TRS is subject to federal and state income taxes on the income fro</w:t>
      </w:r>
      <w:r>
        <w:rPr>
          <w:color w:val="000000"/>
          <w:sz w:val="20"/>
          <w:szCs w:val="20"/>
        </w:rPr>
        <w:t>m these activities and therefore, CoreCivic included a provision for taxes in its consolidated financial statements even during periods it operated as a REIT.</w:t>
      </w:r>
    </w:p>
    <w:p w:rsidR="00000000" w:rsidRDefault="00E35CFB">
      <w:pPr>
        <w:pStyle w:val="a3"/>
        <w:spacing w:before="240" w:beforeAutospacing="0" w:after="0" w:afterAutospacing="0"/>
        <w:ind w:left="476"/>
        <w:jc w:val="both"/>
        <w:rPr>
          <w:sz w:val="20"/>
          <w:szCs w:val="20"/>
        </w:rPr>
      </w:pPr>
      <w:r>
        <w:rPr>
          <w:sz w:val="20"/>
          <w:szCs w:val="20"/>
        </w:rPr>
        <w:t>On August 5, 2020, the Company announced that the BOD unanimously approved a plan to revoke its R</w:t>
      </w:r>
      <w:r>
        <w:rPr>
          <w:sz w:val="20"/>
          <w:szCs w:val="20"/>
        </w:rPr>
        <w:t>EIT election and become a taxable C Corporation, effective January 1, 2021.  As a result, the Company is no longer required to operate under REIT rules, including the requirement to distribute at least 90% of its taxable income to its stockholders, which p</w:t>
      </w:r>
      <w:r>
        <w:rPr>
          <w:sz w:val="20"/>
          <w:szCs w:val="20"/>
        </w:rPr>
        <w:t>rovides the Company with greater flexibility to use its free cash flow.  Effective January 1, 2021, the Company became subject to federal and state income taxes on its taxable income at applicable tax rates, and is no longer entitled to a tax deduction for</w:t>
      </w:r>
      <w:r>
        <w:rPr>
          <w:sz w:val="20"/>
          <w:szCs w:val="20"/>
        </w:rPr>
        <w:t xml:space="preserve"> dividends paid. </w:t>
      </w:r>
    </w:p>
    <w:p w:rsidR="00000000" w:rsidRDefault="00E35CFB">
      <w:pPr>
        <w:pStyle w:val="a3"/>
        <w:spacing w:before="240" w:beforeAutospacing="0" w:after="0" w:afterAutospacing="0"/>
        <w:ind w:left="476"/>
        <w:jc w:val="both"/>
        <w:rPr>
          <w:sz w:val="20"/>
          <w:szCs w:val="20"/>
        </w:rPr>
      </w:pPr>
      <w:r>
        <w:rPr>
          <w:sz w:val="20"/>
          <w:szCs w:val="20"/>
        </w:rPr>
        <w:t>CoreCivic recorded an income tax expense of $4.0 million and $6.5 million for the three months ended June 30, 2022 and 2021, respectively.  CoreCivic recorded an income tax expense of $10.6 million and $120.1 million for the six months en</w:t>
      </w:r>
      <w:r>
        <w:rPr>
          <w:sz w:val="20"/>
          <w:szCs w:val="20"/>
        </w:rPr>
        <w:t>ded June 30, 2022 and 2021, respectively.  Income tax expense for the six months ended June 30, 2021 included $114.2 million primarily resulting from the revaluation of the Company's net deferred tax liabilities due to the completion of all significant act</w:t>
      </w:r>
      <w:r>
        <w:rPr>
          <w:sz w:val="20"/>
          <w:szCs w:val="20"/>
        </w:rPr>
        <w:t>ions necessary to revoke its REIT election. No catch-up tax payments or penalties resulted from the revocation of the Company's REIT election.   </w:t>
      </w:r>
    </w:p>
    <w:p w:rsidR="00000000" w:rsidRDefault="00E35CFB">
      <w:pPr>
        <w:pStyle w:val="a3"/>
        <w:spacing w:before="240" w:beforeAutospacing="0" w:after="0" w:afterAutospacing="0"/>
        <w:ind w:left="476"/>
        <w:jc w:val="both"/>
        <w:rPr>
          <w:sz w:val="20"/>
          <w:szCs w:val="20"/>
        </w:rPr>
      </w:pPr>
      <w:r>
        <w:rPr>
          <w:sz w:val="20"/>
          <w:szCs w:val="20"/>
        </w:rPr>
        <w:t xml:space="preserve">On March 27, 2020, President Trump signed into law the Coronavirus Aid, Relief and Economic Security Act (the “CARES Act”). The CARES Act, among other things, includes provisions relating to refundable payroll tax credits, deferral of employer side social </w:t>
      </w:r>
      <w:r>
        <w:rPr>
          <w:sz w:val="20"/>
          <w:szCs w:val="20"/>
        </w:rPr>
        <w:t>security payments, net operating loss carryback periods, alternative minimum tax credit refunds, modifications to the net interest deduction limitations and technical corrections to tax depreciation methods for qualified improvement property. The accelerat</w:t>
      </w:r>
      <w:r>
        <w:rPr>
          <w:sz w:val="20"/>
          <w:szCs w:val="20"/>
        </w:rPr>
        <w:t>ed depreciation methods for qualified improvement property significantly reduced the Company's taxable income and, therefore, its distribution requirement as a REIT for 2020.  During 2020, the Company deferred payment of $29.6 million of employer-side soci</w:t>
      </w:r>
      <w:r>
        <w:rPr>
          <w:sz w:val="20"/>
          <w:szCs w:val="20"/>
        </w:rPr>
        <w:t>al security payments. Half of this deferred amount was paid in December 2021.   The other half, amounting to $14.8 million, will be due by December 31, 2022.</w:t>
      </w:r>
    </w:p>
    <w:p w:rsidR="00000000" w:rsidRDefault="00E35CFB">
      <w:pPr>
        <w:pStyle w:val="a3"/>
        <w:spacing w:before="240" w:beforeAutospacing="0" w:after="0" w:afterAutospacing="0"/>
        <w:jc w:val="center"/>
        <w:rPr>
          <w:sz w:val="20"/>
          <w:szCs w:val="20"/>
        </w:rPr>
      </w:pPr>
      <w:r>
        <w:rPr>
          <w:sz w:val="20"/>
          <w:szCs w:val="20"/>
        </w:rPr>
        <w:t>17</w:t>
      </w:r>
    </w:p>
    <w:p w:rsidR="00000000" w:rsidRDefault="00E35CFB">
      <w:pPr>
        <w:rPr>
          <w:rFonts w:eastAsia="Times New Roman"/>
        </w:rPr>
      </w:pPr>
      <w:r>
        <w:rPr>
          <w:rFonts w:eastAsia="Times New Roman"/>
        </w:rPr>
        <w:pict>
          <v:rect id="_x0000_i1043"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ind w:left="476"/>
        <w:jc w:val="both"/>
        <w:rPr>
          <w:b/>
          <w:bCs/>
          <w:sz w:val="20"/>
          <w:szCs w:val="20"/>
        </w:rPr>
      </w:pPr>
      <w:r>
        <w:rPr>
          <w:b/>
          <w:bCs/>
          <w:sz w:val="20"/>
          <w:szCs w:val="20"/>
        </w:rPr>
        <w:t>Income Tax Contingencies</w:t>
      </w:r>
    </w:p>
    <w:p w:rsidR="00000000" w:rsidRDefault="00E35CFB">
      <w:pPr>
        <w:pStyle w:val="a3"/>
        <w:spacing w:before="120" w:beforeAutospacing="0" w:after="0" w:afterAutospacing="0"/>
        <w:ind w:left="476"/>
        <w:jc w:val="both"/>
        <w:rPr>
          <w:sz w:val="20"/>
          <w:szCs w:val="20"/>
        </w:rPr>
      </w:pPr>
      <w:r>
        <w:rPr>
          <w:sz w:val="20"/>
          <w:szCs w:val="20"/>
        </w:rPr>
        <w:t>ASC 740 prescribes a recognitio</w:t>
      </w:r>
      <w:r>
        <w:rPr>
          <w:sz w:val="20"/>
          <w:szCs w:val="20"/>
        </w:rPr>
        <w:t xml:space="preserve">n threshold and measurement attribute for the financial statement recognition and measurement of a tax position taken or expected to be taken in a tax return. </w:t>
      </w:r>
      <w:r>
        <w:rPr>
          <w:color w:val="000000"/>
          <w:sz w:val="20"/>
          <w:szCs w:val="20"/>
        </w:rPr>
        <w:t>The guidance prescribed in ASC 740 establishes a recognition threshold of more likely than not th</w:t>
      </w:r>
      <w:r>
        <w:rPr>
          <w:color w:val="000000"/>
          <w:sz w:val="20"/>
          <w:szCs w:val="20"/>
        </w:rPr>
        <w:t>at a tax position will be sustained upon examination.  The measurement attribute requires that a tax position be measured at the largest amount of benefit that is greater than 50% likely of being realized upon ultimate settlement.</w:t>
      </w:r>
    </w:p>
    <w:p w:rsidR="00000000" w:rsidRDefault="00E35CFB">
      <w:pPr>
        <w:pStyle w:val="a3"/>
        <w:spacing w:before="240" w:beforeAutospacing="0" w:after="0" w:afterAutospacing="0"/>
        <w:ind w:left="476"/>
        <w:jc w:val="both"/>
        <w:rPr>
          <w:sz w:val="20"/>
          <w:szCs w:val="20"/>
        </w:rPr>
      </w:pPr>
      <w:r>
        <w:rPr>
          <w:sz w:val="20"/>
          <w:szCs w:val="20"/>
        </w:rPr>
        <w:t>CoreCivic had no liabilit</w:t>
      </w:r>
      <w:r>
        <w:rPr>
          <w:sz w:val="20"/>
          <w:szCs w:val="20"/>
        </w:rPr>
        <w:t>ies recorded for uncertain tax positions as of June 30, 2022 and December 31, 2021.  CoreCivic recognizes interest and penalties related to unrecognized tax positions in income tax expense. CoreCivic does not currently anticipate that the total amount of u</w:t>
      </w:r>
      <w:r>
        <w:rPr>
          <w:sz w:val="20"/>
          <w:szCs w:val="20"/>
        </w:rPr>
        <w:t>nrecognized tax positions will significantly change in the next twelve months.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72912368"/>
        </w:trPr>
        <w:tc>
          <w:tcPr>
            <w:tcW w:w="227" w:type="pct"/>
            <w:noWrap/>
            <w:hideMark/>
          </w:tcPr>
          <w:p w:rsidR="00000000" w:rsidRDefault="00E35CFB">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SEGMENT REPORTING</w:t>
            </w:r>
          </w:p>
        </w:tc>
      </w:tr>
    </w:tbl>
    <w:p w:rsidR="00000000" w:rsidRDefault="00E35CFB">
      <w:pPr>
        <w:pStyle w:val="a3"/>
        <w:spacing w:before="120" w:beforeAutospacing="0" w:after="0" w:afterAutospacing="0"/>
        <w:ind w:left="476"/>
        <w:jc w:val="both"/>
        <w:rPr>
          <w:sz w:val="20"/>
          <w:szCs w:val="20"/>
        </w:rPr>
      </w:pPr>
      <w:r>
        <w:rPr>
          <w:sz w:val="20"/>
          <w:szCs w:val="20"/>
        </w:rPr>
        <w:t>As of June 30, 2022, CoreCivic operated 45 correctional and detention facilities, 41 of which the Company owned.  In addition, CoreCivic owned and opera</w:t>
      </w:r>
      <w:r>
        <w:rPr>
          <w:sz w:val="20"/>
          <w:szCs w:val="20"/>
        </w:rPr>
        <w:t xml:space="preserve">ted 24 residential reentry centers and owned 10 properties for lease to third parties.  Management views CoreCivic's operating results in three operating segments, CoreCivic Safety, CoreCivic Community, and CoreCivic Properties.  CoreCivic Safety includes </w:t>
      </w:r>
      <w:r>
        <w:rPr>
          <w:sz w:val="20"/>
          <w:szCs w:val="20"/>
        </w:rPr>
        <w:t>the operating results of those correctional and detention facilities placed into service that were owned, or controlled via a long-term lease, and managed by CoreCivic, as well as those correctional and detention facilities owned by a third party and manag</w:t>
      </w:r>
      <w:r>
        <w:rPr>
          <w:sz w:val="20"/>
          <w:szCs w:val="20"/>
        </w:rPr>
        <w:t>ed by CoreCivic.  CoreCivic Safety also includes the operating results of TransCor America, LLC, a subsidiary of the Company that provides transportation services to governmental agencies.  CoreCivic Community includes the operating results of those reside</w:t>
      </w:r>
      <w:r>
        <w:rPr>
          <w:sz w:val="20"/>
          <w:szCs w:val="20"/>
        </w:rPr>
        <w:t>ntial reentry centers placed into service that were owned, or controlled via a long-term lease, and managed by CoreCivic.  CoreCivic Community also includes the operating results of the Company's electronic monitoring and case management services. CoreCivi</w:t>
      </w:r>
      <w:r>
        <w:rPr>
          <w:sz w:val="20"/>
          <w:szCs w:val="20"/>
        </w:rPr>
        <w:t xml:space="preserve">c Properties includes the operating results of those properties leased to third parties.  The operating performance of the three segments can be measured based on their net operating income.  CoreCivic defines facility net operating income as a facility's </w:t>
      </w:r>
      <w:r>
        <w:rPr>
          <w:sz w:val="20"/>
          <w:szCs w:val="20"/>
        </w:rPr>
        <w:t>revenues less operating expenses.  </w:t>
      </w:r>
    </w:p>
    <w:p w:rsidR="00000000" w:rsidRDefault="00E35CFB">
      <w:pPr>
        <w:pStyle w:val="a3"/>
        <w:spacing w:before="240" w:beforeAutospacing="0" w:after="0" w:afterAutospacing="0"/>
        <w:jc w:val="center"/>
        <w:rPr>
          <w:sz w:val="20"/>
          <w:szCs w:val="20"/>
        </w:rPr>
      </w:pPr>
      <w:r>
        <w:rPr>
          <w:sz w:val="20"/>
          <w:szCs w:val="20"/>
        </w:rPr>
        <w:t>18</w:t>
      </w:r>
    </w:p>
    <w:p w:rsidR="00000000" w:rsidRDefault="00E35CFB">
      <w:pPr>
        <w:rPr>
          <w:rFonts w:eastAsia="Times New Roman"/>
        </w:rPr>
      </w:pPr>
      <w:r>
        <w:rPr>
          <w:rFonts w:eastAsia="Times New Roman"/>
        </w:rPr>
        <w:pict>
          <v:rect id="_x0000_i1044"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ind w:left="476"/>
        <w:jc w:val="both"/>
        <w:rPr>
          <w:sz w:val="20"/>
          <w:szCs w:val="20"/>
        </w:rPr>
      </w:pPr>
      <w:r>
        <w:rPr>
          <w:sz w:val="20"/>
          <w:szCs w:val="20"/>
        </w:rPr>
        <w:t>The revenue and facility net operating income for each of the three segments and a reconciliation to CoreCivic's income before income taxes is as follows for the three and six mo</w:t>
      </w:r>
      <w:r>
        <w:rPr>
          <w:sz w:val="20"/>
          <w:szCs w:val="20"/>
        </w:rPr>
        <w:t>nths ended June 30, 2022 and 2021 (in thousands):</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165706502"/>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65706502"/>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416,354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419,880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830,602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829,649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25,775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24,929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49,890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48,587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14,526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19,732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29,117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40,987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segment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456,655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464,541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909,609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919,223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324,261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307,280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645,282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612,707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21,282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20,024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41,509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41,124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3,377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5,668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6,659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11,942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segment operating expenses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348,920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332,972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693,450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665,773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Facility net operating income: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92,093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112,600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185,320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216,942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4,493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8,381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7,463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11,149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14,064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22,458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29,045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facility net operating income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107,735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131,569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216,159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253,450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Other revenue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 operating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(179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(31,513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(33,228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(62,614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(62,758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(32,259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(34,084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(64,287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(66,796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Shareholder litigation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(54,295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(21,668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(44,588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(41,650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Expenses associated with debt repayments</w:t>
            </w:r>
          </w:p>
          <w:p w:rsidR="00000000" w:rsidRDefault="00E35CFB">
            <w:pPr>
              <w:pStyle w:val="a3"/>
              <w:spacing w:before="0" w:beforeAutospacing="0" w:after="0" w:afterAutospacing="0"/>
              <w:ind w:left="274"/>
              <w:rPr>
                <w:color w:val="000000"/>
                <w:sz w:val="20"/>
                <w:szCs w:val="20"/>
              </w:rPr>
            </w:pPr>
            <w:r>
              <w:rPr>
                <w:color w:val="000000"/>
                <w:sz w:val="20"/>
                <w:szCs w:val="20"/>
              </w:rPr>
              <w:t>      and refinancing transactions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Gain on sale of real estate assets, net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1,060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5706502"/>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5706502"/>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before income taxes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14,575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22,142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40,188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10,105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120" w:beforeAutospacing="0" w:after="0" w:afterAutospacing="0"/>
        <w:ind w:left="476"/>
        <w:jc w:val="both"/>
        <w:rPr>
          <w:sz w:val="20"/>
          <w:szCs w:val="20"/>
        </w:rPr>
      </w:pPr>
      <w:r>
        <w:rPr>
          <w:sz w:val="20"/>
          <w:szCs w:val="20"/>
        </w:rPr>
        <w:t>The following table summarizes capital expenditures including accrued amounts for the three and six months ended June 30, 2022 and 2021 (in thousands):</w:t>
      </w:r>
    </w:p>
    <w:tbl>
      <w:tblPr>
        <w:tblW w:w="4500" w:type="pct"/>
        <w:tblCellMar>
          <w:left w:w="0" w:type="dxa"/>
          <w:right w:w="0" w:type="dxa"/>
        </w:tblCellMar>
        <w:tblLook w:val="04A0" w:firstRow="1" w:lastRow="0" w:firstColumn="1" w:lastColumn="0" w:noHBand="0" w:noVBand="1"/>
      </w:tblPr>
      <w:tblGrid>
        <w:gridCol w:w="3731"/>
        <w:gridCol w:w="76"/>
        <w:gridCol w:w="115"/>
        <w:gridCol w:w="669"/>
        <w:gridCol w:w="65"/>
        <w:gridCol w:w="74"/>
        <w:gridCol w:w="115"/>
        <w:gridCol w:w="670"/>
        <w:gridCol w:w="65"/>
        <w:gridCol w:w="76"/>
        <w:gridCol w:w="115"/>
        <w:gridCol w:w="691"/>
        <w:gridCol w:w="65"/>
        <w:gridCol w:w="76"/>
        <w:gridCol w:w="115"/>
        <w:gridCol w:w="692"/>
        <w:gridCol w:w="65"/>
      </w:tblGrid>
      <w:tr w:rsidR="00000000">
        <w:trPr>
          <w:divId w:val="1327126488"/>
        </w:trPr>
        <w:tc>
          <w:tcPr>
            <w:tcW w:w="25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327126488"/>
        </w:trPr>
        <w:tc>
          <w:tcPr>
            <w:tcW w:w="25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327126488"/>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Capital expenditures:</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327126488"/>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15,419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13,398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29,746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18,921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327126488"/>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327126488"/>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1,194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2,290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1,194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327126488"/>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Corporate and other</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1,457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1,032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2,473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9,550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327126488"/>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capital expenditures</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18,478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17,214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34,093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32,860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120" w:beforeAutospacing="0" w:after="0" w:afterAutospacing="0"/>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48261336"/>
        </w:trPr>
        <w:tc>
          <w:tcPr>
            <w:tcW w:w="287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 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48261336"/>
        </w:trPr>
        <w:tc>
          <w:tcPr>
            <w:tcW w:w="287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8261336"/>
        </w:trPr>
        <w:tc>
          <w:tcPr>
            <w:tcW w:w="287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2,473,917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2,532,319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8261336"/>
        </w:trPr>
        <w:tc>
          <w:tcPr>
            <w:tcW w:w="287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221,698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233,179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8261336"/>
        </w:trPr>
        <w:tc>
          <w:tcPr>
            <w:tcW w:w="287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373,820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352,681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8261336"/>
        </w:trPr>
        <w:tc>
          <w:tcPr>
            <w:tcW w:w="287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207,095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380,759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8261336"/>
        </w:trPr>
        <w:tc>
          <w:tcPr>
            <w:tcW w:w="287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3,276,530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3"/>
          <w:szCs w:val="23"/>
        </w:rPr>
      </w:pPr>
      <w:r>
        <w:rPr>
          <w:sz w:val="23"/>
          <w:szCs w:val="23"/>
        </w:rPr>
        <w:t> </w:t>
      </w:r>
    </w:p>
    <w:p w:rsidR="00000000" w:rsidRDefault="00E35CFB">
      <w:pPr>
        <w:pStyle w:val="a3"/>
        <w:spacing w:before="240" w:beforeAutospacing="0" w:after="0" w:afterAutospacing="0"/>
        <w:jc w:val="center"/>
        <w:rPr>
          <w:sz w:val="20"/>
          <w:szCs w:val="20"/>
        </w:rPr>
      </w:pPr>
      <w:r>
        <w:rPr>
          <w:sz w:val="20"/>
          <w:szCs w:val="20"/>
        </w:rPr>
        <w:t>19</w:t>
      </w:r>
    </w:p>
    <w:p w:rsidR="00000000" w:rsidRDefault="00E35CFB">
      <w:pPr>
        <w:rPr>
          <w:rFonts w:eastAsia="Times New Roman"/>
        </w:rPr>
      </w:pPr>
      <w:r>
        <w:rPr>
          <w:rFonts w:eastAsia="Times New Roman"/>
        </w:rPr>
        <w:pict>
          <v:rect id="_x0000_i1045"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both"/>
        <w:rPr>
          <w:b/>
          <w:bCs/>
          <w:sz w:val="20"/>
          <w:szCs w:val="20"/>
        </w:rPr>
      </w:pPr>
      <w:r>
        <w:rPr>
          <w:b/>
          <w:bCs/>
          <w:sz w:val="20"/>
          <w:szCs w:val="20"/>
        </w:rPr>
        <w:t>ITEM 2.MANAGEMENT'S DISCUSSION AND ANALYSIS OF FINANCIAL CONDITION AND RESULTS OF OPERATIONS.</w:t>
      </w:r>
    </w:p>
    <w:p w:rsidR="00000000" w:rsidRDefault="00E35CFB">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 thereto appearing elsewhere</w:t>
      </w:r>
      <w:r>
        <w:rPr>
          <w:spacing w:val="-2"/>
          <w:sz w:val="20"/>
          <w:szCs w:val="20"/>
        </w:rPr>
        <w:t xml:space="preserve"> in this quarterly report on Form 10-Q, or Quarterly Report.  In this Quarterly Report we use the terms, the "Company," "CoreCivic," "we," "us," and "our" to refer to CoreCivic, Inc. and its subsidiaries unless context indicates otherwise.  </w:t>
      </w:r>
    </w:p>
    <w:p w:rsidR="00000000" w:rsidRDefault="00E35CFB">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statements as defined within the meaning of the Private Securities Litigation Reform Act of 1995, as amended.  All stateme</w:t>
      </w:r>
      <w:r>
        <w:rPr>
          <w:sz w:val="20"/>
          <w:szCs w:val="20"/>
        </w:rPr>
        <w:t>nts other than statements of current or historical fact contained herein, including statements regarding our future financial position, business strategy, budgets, projected costs and plans, and objectives of management for future operations, are forward-l</w:t>
      </w:r>
      <w:r>
        <w:rPr>
          <w:sz w:val="20"/>
          <w:szCs w:val="20"/>
        </w:rPr>
        <w:t>ooking statements.  The words "anticipate," "believe," "continue," "could," "estimate," "expect," "intend," "may," "plan," "projects," "will," and similar expressions, as they relate to us, are intended to identify forward-looking statements.  These forwar</w:t>
      </w:r>
      <w:r>
        <w:rPr>
          <w:sz w:val="20"/>
          <w:szCs w:val="20"/>
        </w:rPr>
        <w:t>d-looking statements are subject to risks and uncertainties that could cause actual results to differ materially from the statements made.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38754133"/>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changes in government policy</w:t>
            </w:r>
            <w:r>
              <w:rPr>
                <w:color w:val="000000"/>
                <w:sz w:val="20"/>
                <w:szCs w:val="20"/>
              </w:rPr>
              <w:t xml:space="preserve"> (including the United States Department of Justice, or DOJ, not renewing contracts as a result of President Biden’s Executive Order on Reforming Our Incarceration System to Eliminate the Use of Privately Operated Criminal Detention Facilities, or the Priv</w:t>
            </w:r>
            <w:r>
              <w:rPr>
                <w:color w:val="000000"/>
                <w:sz w:val="20"/>
                <w:szCs w:val="20"/>
              </w:rPr>
              <w:t>ate Prison EO) (two agencies of the DOJ, the United States Federal Bureau of Prisons, or BOP, and the United States Marshals Service, or USMS, utilize our services), legislation and regulations that affect utilization of the private sector for corrections,</w:t>
            </w:r>
            <w:r>
              <w:rPr>
                <w:color w:val="000000"/>
                <w:sz w:val="20"/>
                <w:szCs w:val="20"/>
              </w:rPr>
              <w:t xml:space="preserve"> detention, and residential reentry services, in general, or our business, in particular, including, but not limited to, the continued utilization of our correctional and detention facilities by the federal government, and the impact of any changes to immi</w:t>
            </w:r>
            <w:r>
              <w:rPr>
                <w:color w:val="000000"/>
                <w:sz w:val="20"/>
                <w:szCs w:val="20"/>
              </w:rPr>
              <w:t xml:space="preserve">gration reform and sentencing laws (we do not, under longstanding policy, lobby for or against policies or legislation that would determine the basis for, or duration of, an individual's incarceration or detention);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our ability to obtain and maintai</w:t>
            </w:r>
            <w:r>
              <w:rPr>
                <w:color w:val="000000"/>
                <w:sz w:val="20"/>
                <w:szCs w:val="20"/>
              </w:rPr>
              <w:t>n correctional, detention, and residential reentry facility management contracts because of reasons including, but not limited to, sufficient governmental appropriations, contract compliance, negative publicity and effects of inmate disturbances;</w:t>
            </w:r>
          </w:p>
        </w:tc>
      </w:tr>
    </w:tbl>
    <w:p w:rsidR="00000000" w:rsidRDefault="00E35CFB">
      <w:pPr>
        <w:divId w:val="207758866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077588668"/>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cha</w:t>
            </w:r>
            <w:r>
              <w:rPr>
                <w:color w:val="000000"/>
                <w:sz w:val="20"/>
                <w:szCs w:val="20"/>
              </w:rPr>
              <w:t>nges in the privatization of the corrections and detention industry, the acceptance of our services, the timing of the opening of new facilities and the commencement of new management contracts (including the extent and pace at which new contracts are util</w:t>
            </w:r>
            <w:r>
              <w:rPr>
                <w:color w:val="000000"/>
                <w:sz w:val="20"/>
                <w:szCs w:val="20"/>
              </w:rPr>
              <w:t>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general economic and market conditions, including, but not limited to, the impact governmental budgets can have on our contract renewals and renegotiations, per diem rates, and occupancy;</w:t>
            </w:r>
          </w:p>
        </w:tc>
      </w:tr>
    </w:tbl>
    <w:p w:rsidR="00000000" w:rsidRDefault="00E35CFB">
      <w:pPr>
        <w:divId w:val="115699515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56995156"/>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fluctuations in our operating results because of, among other things, changes in occupancy levels; competition; contract renegotiations or terminations; inflation and other increases in costs of operations, including a continuing rise in labor costs; fluct</w:t>
            </w:r>
            <w:r>
              <w:rPr>
                <w:color w:val="000000"/>
                <w:sz w:val="20"/>
                <w:szCs w:val="20"/>
              </w:rPr>
              <w: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the duration of the federal government's denial of entry at the United States southern border to asylum-seekers and anyone crossing the southern border without proper documentation or authority in an</w:t>
            </w:r>
            <w:r>
              <w:rPr>
                <w:color w:val="000000"/>
                <w:sz w:val="20"/>
                <w:szCs w:val="20"/>
              </w:rPr>
              <w:t xml:space="preserve"> effort to contain the spread of the novel coronavirus and related variants, or COVID-19, a policy known as Title 42 (On April 1, 2022, the Center for Disease Control and Prevention, or CDC, terminated Title 42, and began preparing for a resumption of regu</w:t>
            </w:r>
            <w:r>
              <w:rPr>
                <w:color w:val="000000"/>
                <w:sz w:val="20"/>
                <w:szCs w:val="20"/>
              </w:rPr>
              <w:t>lar migration at the United States southern border, effective May 23, 2022; however, on April 25, 2022, a judge issued a temporary restraining order blocking the termination of Title 42 and on May 20, 2022, ruled that the administration violated administra</w:t>
            </w:r>
            <w:r>
              <w:rPr>
                <w:color w:val="000000"/>
                <w:sz w:val="20"/>
                <w:szCs w:val="20"/>
              </w:rPr>
              <w:t>tive law when it announced that it planned to cease Title 42.);</w:t>
            </w:r>
          </w:p>
        </w:tc>
      </w:tr>
    </w:tbl>
    <w:p w:rsidR="00000000" w:rsidRDefault="00E35CFB">
      <w:pPr>
        <w:divId w:val="86332763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63327637"/>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government and staff responses to staff or residents testing positive for COVID-19 within public and private correctional, detention and reentry facilities, including the facilities we o</w:t>
            </w:r>
            <w:r>
              <w:rPr>
                <w:color w:val="000000"/>
                <w:sz w:val="20"/>
                <w:szCs w:val="20"/>
              </w:rPr>
              <w:t>perate;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restrictions associated with COVID-19 that disrupt the criminal justice system, along with government policies on prosecutions and newly ordered legal restrictions that affect the number of people placed in correctional, detention, and reentr</w:t>
            </w:r>
            <w:r>
              <w:rPr>
                <w:color w:val="000000"/>
                <w:sz w:val="20"/>
                <w:szCs w:val="20"/>
              </w:rPr>
              <w:t>y facilities, including those associated with a resurgence of COVID-19;</w:t>
            </w:r>
          </w:p>
        </w:tc>
      </w:tr>
    </w:tbl>
    <w:p w:rsidR="00000000" w:rsidRDefault="00E35CFB">
      <w:pPr>
        <w:divId w:val="46393695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63936959"/>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whether revoking our real estate investment trust, or REIT, election, effective January 1, 2021, and our revised capital allocation strategy can be implemented in a cost effectiv</w:t>
            </w:r>
            <w:r>
              <w:rPr>
                <w:color w:val="000000"/>
                <w:sz w:val="20"/>
                <w:szCs w:val="20"/>
              </w:rPr>
              <w:t>e manner that provides the expected benefits, including facilitating our planned debt reduction initiative and planned return of capital to shareholders;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our ability to successfully identify and consummate future development and acquisition opportunities and realize projected returns resulting therefrom;</w:t>
            </w:r>
          </w:p>
        </w:tc>
      </w:tr>
    </w:tbl>
    <w:p w:rsidR="00000000" w:rsidRDefault="00E35CFB">
      <w:pPr>
        <w:divId w:val="157628412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76284123"/>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our ability to have met and maintained qualification for taxation as a REIT for the years we elect</w:t>
            </w:r>
            <w:r>
              <w:rPr>
                <w:color w:val="000000"/>
                <w:sz w:val="20"/>
                <w:szCs w:val="20"/>
              </w:rPr>
              <w:t>ed REIT status; and</w:t>
            </w:r>
          </w:p>
        </w:tc>
      </w:tr>
    </w:tbl>
    <w:p w:rsidR="00000000" w:rsidRDefault="00E35CFB">
      <w:pPr>
        <w:pStyle w:val="a3"/>
        <w:spacing w:before="240" w:beforeAutospacing="0" w:after="0" w:afterAutospacing="0"/>
        <w:jc w:val="center"/>
        <w:rPr>
          <w:sz w:val="20"/>
          <w:szCs w:val="20"/>
        </w:rPr>
      </w:pPr>
      <w:r>
        <w:rPr>
          <w:sz w:val="20"/>
          <w:szCs w:val="20"/>
        </w:rPr>
        <w:t>20</w:t>
      </w:r>
    </w:p>
    <w:p w:rsidR="00000000" w:rsidRDefault="00E35CFB">
      <w:pPr>
        <w:rPr>
          <w:rFonts w:eastAsia="Times New Roman"/>
        </w:rPr>
      </w:pPr>
      <w:r>
        <w:rPr>
          <w:rFonts w:eastAsia="Times New Roman"/>
        </w:rPr>
        <w:pict>
          <v:rect id="_x0000_i1046"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0245404"/>
        </w:trPr>
        <w:tc>
          <w:tcPr>
            <w:tcW w:w="227" w:type="pct"/>
            <w:noWrap/>
            <w:hideMark/>
          </w:tcPr>
          <w:p w:rsidR="00000000" w:rsidRDefault="00E35CFB">
            <w:pPr>
              <w:pStyle w:val="a3"/>
              <w:spacing w:before="120" w:beforeAutospacing="0" w:after="0" w:afterAutospacing="0"/>
              <w:jc w:val="both"/>
            </w:pPr>
            <w:r>
              <w:t> </w:t>
            </w:r>
          </w:p>
        </w:tc>
        <w:tc>
          <w:tcPr>
            <w:tcW w:w="227"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the availability of debt and equity financing on terms that are favorable to us, or at all.</w:t>
            </w:r>
          </w:p>
        </w:tc>
      </w:tr>
    </w:tbl>
    <w:p w:rsidR="00000000" w:rsidRDefault="00E35CFB">
      <w:pPr>
        <w:pStyle w:val="a3"/>
        <w:spacing w:before="240" w:beforeAutospacing="0" w:after="0" w:afterAutospacing="0"/>
        <w:jc w:val="both"/>
        <w:rPr>
          <w:sz w:val="20"/>
          <w:szCs w:val="20"/>
        </w:rPr>
      </w:pPr>
      <w:r>
        <w:rPr>
          <w:sz w:val="20"/>
          <w:szCs w:val="20"/>
        </w:rPr>
        <w:t>Any or all of our forward-looking statements in this Quarterly Report may turn out to be inaccu</w:t>
      </w:r>
      <w:r>
        <w:rPr>
          <w:sz w:val="20"/>
          <w:szCs w:val="20"/>
        </w:rPr>
        <w:t>rate. We have based these forward-looking statements largely on our current expectations and projections about future events and financial trends that we believe may affect our financial condition, results of operations, business strategy, and financial ne</w:t>
      </w:r>
      <w:r>
        <w:rPr>
          <w:sz w:val="20"/>
          <w:szCs w:val="20"/>
        </w:rPr>
        <w:t>eds.  Our statements can be affected by inaccurate assumptions we might make or by known or unknown risks, uncertainties and assumptions, including the risks, uncertainties, and assumptions described in our Annual Report on Form 10-K for the year ended Dec</w:t>
      </w:r>
      <w:r>
        <w:rPr>
          <w:sz w:val="20"/>
          <w:szCs w:val="20"/>
        </w:rPr>
        <w:t>ember 31, 2021 filed with the Securities and Exchange Commission, or the SEC, on February 18, 2022, or the 2021 Form 10-K, and in other reports, documents, and other information we file with the SEC from time to time.  Readers are cautioned not to place un</w:t>
      </w:r>
      <w:r>
        <w:rPr>
          <w:sz w:val="20"/>
          <w:szCs w:val="20"/>
        </w:rPr>
        <w:t>due reliance on these forward-looking statements, which speak only as of the date hereof.  New risks and uncertainties arise from time to time, and it is impossible for us to predict these events or how they may affect us. We undertake no obligation to pub</w:t>
      </w:r>
      <w:r>
        <w:rPr>
          <w:sz w:val="20"/>
          <w:szCs w:val="20"/>
        </w:rPr>
        <w:t xml:space="preserve">licly update or revise any forward-looking statements made in this Quarterly Report, except as may be required by law. All subsequent written and oral forward-looking statements attributable to us or persons acting on our behalf are expressly qualified in </w:t>
      </w:r>
      <w:r>
        <w:rPr>
          <w:sz w:val="20"/>
          <w:szCs w:val="20"/>
        </w:rPr>
        <w:t>their entirety by the cautionary statements.</w:t>
      </w:r>
    </w:p>
    <w:p w:rsidR="00000000" w:rsidRDefault="00E35CFB">
      <w:pPr>
        <w:pStyle w:val="a3"/>
        <w:spacing w:before="360" w:beforeAutospacing="0" w:after="0" w:afterAutospacing="0"/>
        <w:jc w:val="both"/>
        <w:rPr>
          <w:b/>
          <w:bCs/>
          <w:sz w:val="20"/>
          <w:szCs w:val="20"/>
        </w:rPr>
      </w:pPr>
      <w:r>
        <w:rPr>
          <w:b/>
          <w:bCs/>
          <w:sz w:val="20"/>
          <w:szCs w:val="20"/>
        </w:rPr>
        <w:t>OVERVIEW</w:t>
      </w:r>
    </w:p>
    <w:p w:rsidR="00000000" w:rsidRDefault="00E35CFB">
      <w:pPr>
        <w:pStyle w:val="a3"/>
        <w:spacing w:before="120" w:beforeAutospacing="0" w:after="0" w:afterAutospacing="0"/>
        <w:jc w:val="both"/>
        <w:rPr>
          <w:b/>
          <w:bCs/>
          <w:sz w:val="20"/>
          <w:szCs w:val="20"/>
        </w:rPr>
      </w:pPr>
      <w:r>
        <w:rPr>
          <w:b/>
          <w:bCs/>
          <w:sz w:val="20"/>
          <w:szCs w:val="20"/>
        </w:rPr>
        <w:t>The Company</w:t>
      </w:r>
    </w:p>
    <w:p w:rsidR="00000000" w:rsidRDefault="00E35CFB">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w:t>
      </w:r>
      <w:r>
        <w:rPr>
          <w:sz w:val="20"/>
          <w:szCs w:val="20"/>
        </w:rPr>
        <w:t>de a broad range of solutions to government partners that serve the public good through corrections and detention management, a network of residential reentry centers to help address America's recidivism crisis, and government real estate solutions.  We ha</w:t>
      </w:r>
      <w:r>
        <w:rPr>
          <w:sz w:val="20"/>
          <w:szCs w:val="20"/>
        </w:rPr>
        <w:t>ve been a flexible and dependable partner for government for nearly 40 years.  Our employees are driven by a deep sense of service, high standards of professionalism and a responsibility to help government better the public good.</w:t>
      </w:r>
    </w:p>
    <w:p w:rsidR="00000000" w:rsidRDefault="00E35CFB">
      <w:pPr>
        <w:pStyle w:val="a3"/>
        <w:spacing w:before="240" w:beforeAutospacing="0" w:after="0" w:afterAutospacing="0"/>
        <w:jc w:val="both"/>
        <w:rPr>
          <w:sz w:val="20"/>
          <w:szCs w:val="20"/>
        </w:rPr>
      </w:pPr>
      <w:r>
        <w:rPr>
          <w:sz w:val="20"/>
          <w:szCs w:val="20"/>
        </w:rPr>
        <w:t>We are the nation's larges</w:t>
      </w:r>
      <w:r>
        <w:rPr>
          <w:sz w:val="20"/>
          <w:szCs w:val="20"/>
        </w:rPr>
        <w:t xml:space="preserve">t owner of partnership correctional, detention, and residential reentry facilities and one of the largest prison operators in the United States.  We also believe we are the largest private owner of real estate used by government agencies in the U.S. As of </w:t>
      </w:r>
      <w:r>
        <w:rPr>
          <w:sz w:val="20"/>
          <w:szCs w:val="20"/>
        </w:rPr>
        <w:t>June 30, 2022, through our CoreCivic Safety segment, we operated 45 correctional and detention facilities, 41 of which we owned, with a total design capacity of approximately 68,000 beds. Through our CoreCivic Community segment, we owned and operated 24 re</w:t>
      </w:r>
      <w:r>
        <w:rPr>
          <w:sz w:val="20"/>
          <w:szCs w:val="20"/>
        </w:rPr>
        <w:t>sidential reentry centers with a total design capacity of approximately 5,000 beds.  In addition, through our CoreCivic Properties segment, we owned 10 properties for lease to third parties and used by government agencies, totaling 1.8 million square feet.</w:t>
      </w:r>
      <w:r>
        <w:rPr>
          <w:sz w:val="20"/>
          <w:szCs w:val="20"/>
        </w:rPr>
        <w:t>  </w:t>
      </w:r>
    </w:p>
    <w:p w:rsidR="00000000" w:rsidRDefault="00E35CFB">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faith-based services, life skills and emplo</w:t>
      </w:r>
      <w:r>
        <w:rPr>
          <w:sz w:val="20"/>
          <w:szCs w:val="20"/>
        </w:rPr>
        <w:t>yment training, and substance abuse treatment.  These services are intended to help reduce recidivism and to prepare offenders for their successful reentry into society upon their release.  We also provide or make available to offenders certain health care</w:t>
      </w:r>
      <w:r>
        <w:rPr>
          <w:sz w:val="20"/>
          <w:szCs w:val="20"/>
        </w:rPr>
        <w:t xml:space="preserve"> (including medical, dental, and mental health services), food services, and work and recreational programs. </w:t>
      </w:r>
    </w:p>
    <w:p w:rsidR="00000000" w:rsidRDefault="00E35CFB">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Tennessee, 37027, and o</w:t>
      </w:r>
      <w:r>
        <w:rPr>
          <w:sz w:val="20"/>
          <w:szCs w:val="20"/>
        </w:rPr>
        <w:t>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statements, and amendments to those r</w:t>
      </w:r>
      <w:r>
        <w:rPr>
          <w:sz w:val="20"/>
          <w:szCs w:val="20"/>
        </w:rPr>
        <w:t>eports under the Securities Exchange Act of 1934, as amended, or the Exchange Act, available on our website, free of charge, as soon as reasonably practicable after these reports are filed with or furnished to the SEC.  Information contained on our website</w:t>
      </w:r>
      <w:r>
        <w:rPr>
          <w:sz w:val="20"/>
          <w:szCs w:val="20"/>
        </w:rPr>
        <w:t xml:space="preserve"> is not part of this Quarterly Report.  </w:t>
      </w:r>
    </w:p>
    <w:p w:rsidR="00000000" w:rsidRDefault="00E35CFB">
      <w:pPr>
        <w:pStyle w:val="a3"/>
        <w:spacing w:before="240" w:beforeAutospacing="0" w:after="0" w:afterAutospacing="0"/>
        <w:jc w:val="both"/>
        <w:rPr>
          <w:sz w:val="20"/>
          <w:szCs w:val="20"/>
        </w:rPr>
      </w:pPr>
      <w:r>
        <w:rPr>
          <w:sz w:val="20"/>
          <w:szCs w:val="20"/>
        </w:rPr>
        <w:t xml:space="preserve">We operated as a REIT from January 1, 2013 through December 31, 2020.  As a REIT, we provided services and conducted other business activities through taxable REIT subsidiaries, or TRSs.  A TRS is a subsidiary of a </w:t>
      </w:r>
      <w:r>
        <w:rPr>
          <w:sz w:val="20"/>
          <w:szCs w:val="20"/>
        </w:rPr>
        <w:t>REIT that is subject to applicable corporate income tax rates and certain qualification requirements.  Our use of TRSs enabled us to comply with REIT qualification requirements while providing correctional services at facilities we own and at facilities ow</w:t>
      </w:r>
      <w:r>
        <w:rPr>
          <w:sz w:val="20"/>
          <w:szCs w:val="20"/>
        </w:rPr>
        <w:t>ned by our government partners and to engage in certain other business operations.  </w:t>
      </w:r>
    </w:p>
    <w:p w:rsidR="00000000" w:rsidRDefault="00E35CFB">
      <w:pPr>
        <w:pStyle w:val="a3"/>
        <w:spacing w:before="240" w:beforeAutospacing="0" w:after="0" w:afterAutospacing="0"/>
        <w:jc w:val="both"/>
        <w:rPr>
          <w:sz w:val="20"/>
          <w:szCs w:val="20"/>
        </w:rPr>
      </w:pPr>
      <w:r>
        <w:rPr>
          <w:sz w:val="20"/>
          <w:szCs w:val="20"/>
        </w:rPr>
        <w:t>As a REIT, we generally were not subject to federal income taxes on our REIT taxable income and gains that we distributed to our stockholders, including the income derived</w:t>
      </w:r>
      <w:r>
        <w:rPr>
          <w:sz w:val="20"/>
          <w:szCs w:val="20"/>
        </w:rPr>
        <w:t xml:space="preserve"> from our real estate and dividends we earned from our TRSs. However, our TRSs were required to pay income taxes on their earnings at regular corporate income tax rates.  As a REIT, we generally were required to distribute annually to our stockholders at l</w:t>
      </w:r>
      <w:r>
        <w:rPr>
          <w:sz w:val="20"/>
          <w:szCs w:val="20"/>
        </w:rPr>
        <w:t>east 90% of our REIT taxable income (determined without regard to the dividends paid deduction and excluding net capital gains). Our REIT taxable income did not typically include income earned by our TRSs except to the extent our TRSs paid dividends to the</w:t>
      </w:r>
      <w:r>
        <w:rPr>
          <w:sz w:val="20"/>
          <w:szCs w:val="20"/>
        </w:rPr>
        <w:t xml:space="preserve"> REIT. </w:t>
      </w:r>
    </w:p>
    <w:p w:rsidR="00000000" w:rsidRDefault="00E35CFB">
      <w:pPr>
        <w:pStyle w:val="a3"/>
        <w:spacing w:before="240" w:beforeAutospacing="0" w:after="0" w:afterAutospacing="0"/>
        <w:jc w:val="center"/>
        <w:rPr>
          <w:sz w:val="20"/>
          <w:szCs w:val="20"/>
        </w:rPr>
      </w:pPr>
      <w:r>
        <w:rPr>
          <w:sz w:val="20"/>
          <w:szCs w:val="20"/>
        </w:rPr>
        <w:t>21</w:t>
      </w:r>
    </w:p>
    <w:p w:rsidR="00000000" w:rsidRDefault="00E35CFB">
      <w:pPr>
        <w:rPr>
          <w:rFonts w:eastAsia="Times New Roman"/>
        </w:rPr>
      </w:pPr>
      <w:r>
        <w:rPr>
          <w:rFonts w:eastAsia="Times New Roman"/>
        </w:rPr>
        <w:pict>
          <v:rect id="_x0000_i1047"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On August 5, 2020, we announced that our Board of Directors, or BOD, unanimously approved a plan to revoke our REIT election and become a taxable C Corporation, effective January 1, 2021.  The BOD also vote</w:t>
      </w:r>
      <w:r>
        <w:rPr>
          <w:sz w:val="20"/>
          <w:szCs w:val="20"/>
        </w:rPr>
        <w:t>d unanimously to discontinue our quarterly dividend and prioritize allocating our free cash flow to reduce debt levels.  As a result, we are no longer required to operate under REIT rules, including the requirement to distribute at least 90% of our taxable</w:t>
      </w:r>
      <w:r>
        <w:rPr>
          <w:sz w:val="20"/>
          <w:szCs w:val="20"/>
        </w:rPr>
        <w:t xml:space="preserve"> income to our stockholders, which provides us with greater flexibility to use our free cash flow.  Beginning January 1, 2021, we became subject to federal and state income taxes on our taxable income at applicable tax rates, and are no longer entitled to </w:t>
      </w:r>
      <w:r>
        <w:rPr>
          <w:sz w:val="20"/>
          <w:szCs w:val="20"/>
        </w:rPr>
        <w:t xml:space="preserve">a tax deduction for dividends paid. However, we believe this conversion improves our overall credit profile and will lower our overall cost of capital.  Following our first priority of reducing debt, we expect to allocate a substantial portion of our free </w:t>
      </w:r>
      <w:r>
        <w:rPr>
          <w:sz w:val="20"/>
          <w:szCs w:val="20"/>
        </w:rPr>
        <w:t>cash flow to returning capital to our shareholders and pursuing alternative growth opportunities.  On May 12, 2022, our BOD approved a share repurchase program to repurchase up to $150.0 million of our common stock. On August 2, 2022, the BOD increased the</w:t>
      </w:r>
      <w:r>
        <w:rPr>
          <w:sz w:val="20"/>
          <w:szCs w:val="20"/>
        </w:rPr>
        <w:t xml:space="preserve"> authorization to repurchase under the share repurchase program by up to an additional $75.0 million of our common stock, or a total aggregate authorized amount to purchase of up to $225.0 million of our common stock.  For more information about the repurc</w:t>
      </w:r>
      <w:r>
        <w:rPr>
          <w:sz w:val="20"/>
          <w:szCs w:val="20"/>
        </w:rPr>
        <w:t>hases made under our share repurchase program, see "</w:t>
      </w:r>
      <w:r>
        <w:rPr>
          <w:i/>
          <w:iCs/>
          <w:sz w:val="20"/>
          <w:szCs w:val="20"/>
        </w:rPr>
        <w:t>Part II – Other Information – Item 2. Unregistered Sales of Equity Securities and Use of Proceeds – Issuer Purchases of Equity Securities</w:t>
      </w:r>
      <w:r>
        <w:rPr>
          <w:sz w:val="20"/>
          <w:szCs w:val="20"/>
        </w:rPr>
        <w:t>."  The conversion to a taxable C Corporation also provides us with</w:t>
      </w:r>
      <w:r>
        <w:rPr>
          <w:sz w:val="20"/>
          <w:szCs w:val="20"/>
        </w:rPr>
        <w:t xml:space="preserve"> significantly more liquidity, which enables us to reduce our reliance on the capital markets and enabled us to reduce the size of our Bank Credit Facility, as further described hereinafter.  We continued to operate as a REIT for the 2020 tax year, and exi</w:t>
      </w:r>
      <w:r>
        <w:rPr>
          <w:sz w:val="20"/>
          <w:szCs w:val="20"/>
        </w:rPr>
        <w:t xml:space="preserve">sting REIT requirements and limitations, including those established by our organizational documents, remained in place until January 1, 2021.   </w:t>
      </w:r>
    </w:p>
    <w:p w:rsidR="00000000" w:rsidRDefault="00E35CFB">
      <w:pPr>
        <w:pStyle w:val="a3"/>
        <w:spacing w:before="240" w:beforeAutospacing="0" w:after="0" w:afterAutospacing="0"/>
        <w:jc w:val="both"/>
        <w:rPr>
          <w:sz w:val="20"/>
          <w:szCs w:val="20"/>
        </w:rPr>
      </w:pPr>
      <w:r>
        <w:rPr>
          <w:sz w:val="20"/>
          <w:szCs w:val="20"/>
        </w:rPr>
        <w:t xml:space="preserve">On January 26, 2021, President Biden issued the Private Prison EO. The Private Prison EO directs the Attorney </w:t>
      </w:r>
      <w:r>
        <w:rPr>
          <w:sz w:val="20"/>
          <w:szCs w:val="20"/>
        </w:rPr>
        <w:t>General to not renew DOJ contracts with privately operated criminal detention facilities.  Two agencies of the DOJ, the BOP and the USMS utilize our services.  The BOP houses inmates who have been convicted, and the USMS is generally responsible for detain</w:t>
      </w:r>
      <w:r>
        <w:rPr>
          <w:sz w:val="20"/>
          <w:szCs w:val="20"/>
        </w:rPr>
        <w:t>ees who are awaiting trial.  The BOP has experienced a steady decline in inmate populations over the last eight years, a trend that has been accelerated by the COVID-19 pandemic.  We currently have one prison contract with the BOP at our 1,978-bed McRae Co</w:t>
      </w:r>
      <w:r>
        <w:rPr>
          <w:sz w:val="20"/>
          <w:szCs w:val="20"/>
        </w:rPr>
        <w:t xml:space="preserve">rrectional Facility, accounting for 2% ($40.6 million) of our total revenue for the twelve months ended December 31, 2021, which expires in November 2022.  The Private Prison EO only applies to agencies that are part of the DOJ, which includes the BOP and </w:t>
      </w:r>
      <w:r>
        <w:rPr>
          <w:sz w:val="20"/>
          <w:szCs w:val="20"/>
        </w:rPr>
        <w:t xml:space="preserve">USMS.  U.S. Immigration and Customs Enforcement, or ICE, facilities are not covered by the Private Prison EO, as ICE is an agency of the Department of Homeland Security, or DHS, not the DOJ, although it is possible that the federal government could choose </w:t>
      </w:r>
      <w:r>
        <w:rPr>
          <w:sz w:val="20"/>
          <w:szCs w:val="20"/>
        </w:rPr>
        <w:t>to take similar action on ICE facilities in the future.  </w:t>
      </w:r>
      <w:r>
        <w:rPr>
          <w:color w:val="000000"/>
          <w:spacing w:val="3"/>
          <w:sz w:val="20"/>
          <w:szCs w:val="20"/>
        </w:rPr>
        <w:t>For the twelve months ended December 31, 2021, USMS and ICE accounted for 23% ($433.6 million) and 30% ($552.2 million), respectively, of our total revenue.  </w:t>
      </w:r>
    </w:p>
    <w:p w:rsidR="00000000" w:rsidRDefault="00E35CFB">
      <w:pPr>
        <w:pStyle w:val="a3"/>
        <w:spacing w:before="240" w:beforeAutospacing="0" w:after="0" w:afterAutospacing="0"/>
        <w:jc w:val="both"/>
        <w:rPr>
          <w:sz w:val="20"/>
          <w:szCs w:val="20"/>
        </w:rPr>
      </w:pPr>
      <w:r>
        <w:rPr>
          <w:sz w:val="20"/>
          <w:szCs w:val="20"/>
        </w:rPr>
        <w:t>Unlike the BOP, the USMS does not own de</w:t>
      </w:r>
      <w:r>
        <w:rPr>
          <w:sz w:val="20"/>
          <w:szCs w:val="20"/>
        </w:rPr>
        <w:t xml:space="preserve">tention capacity and relies on the private sector, along with various government agencies, for its detainee population. </w:t>
      </w:r>
      <w:r>
        <w:rPr>
          <w:color w:val="000000"/>
          <w:spacing w:val="3"/>
          <w:sz w:val="20"/>
          <w:szCs w:val="20"/>
        </w:rPr>
        <w:t xml:space="preserve">The USMS has been advised by the Office of the Deputy Attorney General not to renew existing contracts, or enter into new contracts for </w:t>
      </w:r>
      <w:r>
        <w:rPr>
          <w:color w:val="000000"/>
          <w:spacing w:val="3"/>
          <w:sz w:val="20"/>
          <w:szCs w:val="20"/>
        </w:rPr>
        <w:t>private detention facilities. During the second quarter of 2021, we had direct contracts with the USMS for up to 992 detainees at our 2016-bed Northeast Ohio Correctional Center and for up to approximately 96 detainees at our 664-bed Crossroads Correctiona</w:t>
      </w:r>
      <w:r>
        <w:rPr>
          <w:color w:val="000000"/>
          <w:spacing w:val="3"/>
          <w:sz w:val="20"/>
          <w:szCs w:val="20"/>
        </w:rPr>
        <w:t>l Center in Montana that expired and were not renewed.  On May 28, 2021, we entered into a new three-year contract with Mahoning County, Ohio to utilize up to 990 beds at our Northeast Ohio Correctional Center.  Mahoning County is responsible for County in</w:t>
      </w:r>
      <w:r>
        <w:rPr>
          <w:color w:val="000000"/>
          <w:spacing w:val="3"/>
          <w:sz w:val="20"/>
          <w:szCs w:val="20"/>
        </w:rPr>
        <w:t>mates and federal detainees, including USMS detainees, and the County is using the Northeast Ohio facility to address its population needs.  During the third quarter of 2021, we entered into an amendment to the contract with the state of Montana to utilize</w:t>
      </w:r>
      <w:r>
        <w:rPr>
          <w:color w:val="000000"/>
          <w:spacing w:val="3"/>
          <w:sz w:val="20"/>
          <w:szCs w:val="20"/>
        </w:rPr>
        <w:t xml:space="preserve"> all of the capacity at the Crossroads Correctional Center, including the space vacated by the USMS, and to extend the existing contract to June 30, 2023, with additional renewal options by mutual agreement through August 31, 2029.  We had a direct contrac</w:t>
      </w:r>
      <w:r>
        <w:rPr>
          <w:color w:val="000000"/>
          <w:spacing w:val="3"/>
          <w:sz w:val="20"/>
          <w:szCs w:val="20"/>
        </w:rPr>
        <w:t>t with the USMS to care for detainees at our 600-bed West Tennessee Detention Facility that expired on September 30, 2021 and was not renewed.  In addition, we had a direct contract with the USMS to care for detainees at our 1,033-bed Leavenworth Detention</w:t>
      </w:r>
      <w:r>
        <w:rPr>
          <w:color w:val="000000"/>
          <w:spacing w:val="3"/>
          <w:sz w:val="20"/>
          <w:szCs w:val="20"/>
        </w:rPr>
        <w:t xml:space="preserve"> Center that expired on December 31, 2021 and was not renewed. We are actively marketing the West Tennessee and Leavenworth facilities to other government agencies, and in August 2021, we submitted a formal response to a government agency's request for pro</w:t>
      </w:r>
      <w:r>
        <w:rPr>
          <w:color w:val="000000"/>
          <w:spacing w:val="3"/>
          <w:sz w:val="20"/>
          <w:szCs w:val="20"/>
        </w:rPr>
        <w:t>posal to utilize the West Tennessee facility.  However, we can provide no assurance that we will be able to reach agreements for the utilization of the West Tennessee or Leavenworth facilities.</w:t>
      </w:r>
    </w:p>
    <w:p w:rsidR="00000000" w:rsidRDefault="00E35CFB">
      <w:pPr>
        <w:pStyle w:val="a3"/>
        <w:spacing w:before="240" w:beforeAutospacing="0" w:after="0" w:afterAutospacing="0"/>
        <w:jc w:val="both"/>
        <w:rPr>
          <w:color w:val="000000"/>
          <w:spacing w:val="3"/>
          <w:sz w:val="20"/>
          <w:szCs w:val="20"/>
        </w:rPr>
      </w:pPr>
      <w:r>
        <w:rPr>
          <w:color w:val="000000"/>
          <w:spacing w:val="3"/>
          <w:sz w:val="20"/>
          <w:szCs w:val="20"/>
        </w:rPr>
        <w:t xml:space="preserve">We currently have six detention facilities that have separate </w:t>
      </w:r>
      <w:r>
        <w:rPr>
          <w:color w:val="000000"/>
          <w:spacing w:val="3"/>
          <w:sz w:val="20"/>
          <w:szCs w:val="20"/>
        </w:rPr>
        <w:t>contracts where the USMS is the primary customer within the facility that all expire at various times over the next several years, with the exception of two contracts that have indefinite terms. Non-renewal of these contracts, or the expansion of the Priva</w:t>
      </w:r>
      <w:r>
        <w:rPr>
          <w:color w:val="000000"/>
          <w:spacing w:val="3"/>
          <w:sz w:val="20"/>
          <w:szCs w:val="20"/>
        </w:rPr>
        <w:t>te Prison EO to ICE, could have a material adverse effect on our business, financial condition, and results of operations if we are unable to replace the cash flows with new management contracts like we did at our Northeast Ohio and Crossroads facilities.</w:t>
      </w:r>
      <w:r>
        <w:rPr>
          <w:b/>
          <w:bCs/>
          <w:color w:val="000000"/>
          <w:spacing w:val="3"/>
          <w:sz w:val="20"/>
          <w:szCs w:val="20"/>
        </w:rPr>
        <w:t xml:space="preserve"> </w:t>
      </w:r>
      <w:r>
        <w:rPr>
          <w:color w:val="000000"/>
          <w:spacing w:val="3"/>
          <w:sz w:val="20"/>
          <w:szCs w:val="20"/>
        </w:rPr>
        <w:t>During the third quarter of 2022, we renewed one of these contracts that expired on June 30, 2022, a contract with a local government agency at our 2,672-bed Tallahatchie County Correctional Facility in Mississippi that allows the USMS to utilize available</w:t>
      </w:r>
      <w:r>
        <w:rPr>
          <w:color w:val="000000"/>
          <w:spacing w:val="3"/>
          <w:sz w:val="20"/>
          <w:szCs w:val="20"/>
        </w:rPr>
        <w:t xml:space="preserve"> capacity, through June 30, 2024.  This contract also has an indefinite number of two-year extension options.  </w:t>
      </w:r>
    </w:p>
    <w:p w:rsidR="00000000" w:rsidRDefault="00E35CFB">
      <w:pPr>
        <w:pStyle w:val="a3"/>
        <w:spacing w:before="240" w:beforeAutospacing="0" w:after="0" w:afterAutospacing="0"/>
        <w:jc w:val="both"/>
        <w:rPr>
          <w:sz w:val="20"/>
          <w:szCs w:val="20"/>
        </w:rPr>
      </w:pPr>
      <w:r>
        <w:rPr>
          <w:sz w:val="20"/>
          <w:szCs w:val="20"/>
        </w:rPr>
        <w:t>In March 2020, the World Health Organization declared the outbreak of COVID-19 as a pandemic.  As a result, in the first quarter of 2020, the fe</w:t>
      </w:r>
      <w:r>
        <w:rPr>
          <w:sz w:val="20"/>
          <w:szCs w:val="20"/>
        </w:rPr>
        <w:t>deral government decided to deny entry at the United States southern border to asylum-seekers and anyone crossing the southern border without proper documentation or authority in an effort to contain the spread of COVID-19, a policy known as Title 42, cont</w:t>
      </w:r>
      <w:r>
        <w:rPr>
          <w:sz w:val="20"/>
          <w:szCs w:val="20"/>
        </w:rPr>
        <w:t xml:space="preserve">inued by the Biden administration. This policy resulted in a reduction to the number of people ICE detained, including in our </w:t>
      </w:r>
    </w:p>
    <w:p w:rsidR="00000000" w:rsidRDefault="00E35CFB">
      <w:pPr>
        <w:pStyle w:val="a3"/>
        <w:spacing w:before="240" w:beforeAutospacing="0" w:after="0" w:afterAutospacing="0"/>
        <w:jc w:val="center"/>
        <w:rPr>
          <w:sz w:val="20"/>
          <w:szCs w:val="20"/>
        </w:rPr>
      </w:pPr>
      <w:r>
        <w:rPr>
          <w:sz w:val="20"/>
          <w:szCs w:val="20"/>
        </w:rPr>
        <w:t>22</w:t>
      </w:r>
    </w:p>
    <w:p w:rsidR="00000000" w:rsidRDefault="00E35CFB">
      <w:pPr>
        <w:rPr>
          <w:rFonts w:eastAsia="Times New Roman"/>
        </w:rPr>
      </w:pPr>
      <w:r>
        <w:rPr>
          <w:rFonts w:eastAsia="Times New Roman"/>
        </w:rPr>
        <w:pict>
          <v:rect id="_x0000_i1048"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detention facilities.  On April 1, 2022, the CDC issued a Public Health Determination te</w:t>
      </w:r>
      <w:r>
        <w:rPr>
          <w:sz w:val="20"/>
          <w:szCs w:val="20"/>
        </w:rPr>
        <w:t>rminating Title 42 with an effective date of May 23, 2022. However, on April 25, 2022, a federal judge issued a temporary restraining order blocking the termination of Title 42, and on May 20, 2022, ruled that the administration violated administrative law</w:t>
      </w:r>
      <w:r>
        <w:rPr>
          <w:sz w:val="20"/>
          <w:szCs w:val="20"/>
        </w:rPr>
        <w:t xml:space="preserve"> when it announced that it planned to cease Title 42. If Title 42 is terminated, such action may result in an increase in the number of undocumented people permitted to enter the United States claiming asylum, and could result in an increase in the number </w:t>
      </w:r>
      <w:r>
        <w:rPr>
          <w:sz w:val="20"/>
          <w:szCs w:val="20"/>
        </w:rPr>
        <w:t>of people apprehended and detained by ICE.</w:t>
      </w:r>
    </w:p>
    <w:p w:rsidR="00000000" w:rsidRDefault="00E35CFB">
      <w:pPr>
        <w:pStyle w:val="a3"/>
        <w:spacing w:before="240" w:beforeAutospacing="0" w:after="0" w:afterAutospacing="0"/>
        <w:jc w:val="both"/>
        <w:rPr>
          <w:sz w:val="20"/>
          <w:szCs w:val="20"/>
        </w:rPr>
      </w:pPr>
      <w:r>
        <w:rPr>
          <w:sz w:val="20"/>
          <w:szCs w:val="20"/>
        </w:rPr>
        <w:t>In February 2021, President Biden announced plans to allow certain migrants to pursue asylum in the United States while awaiting their proceedings in immigration courts, reversing a policy known as the Migrant Pro</w:t>
      </w:r>
      <w:r>
        <w:rPr>
          <w:sz w:val="20"/>
          <w:szCs w:val="20"/>
        </w:rPr>
        <w:t xml:space="preserve">tection Protocols, or MPP, commonly referred to as the "Remain in Mexico Policy," enacted by the Trump administration. The MPP required asylum seekers to wait in Mexico during the pendency of their immigration court proceedings. </w:t>
      </w:r>
    </w:p>
    <w:p w:rsidR="00000000" w:rsidRDefault="00E35CFB">
      <w:pPr>
        <w:pStyle w:val="a3"/>
        <w:spacing w:before="240" w:beforeAutospacing="0" w:after="0" w:afterAutospacing="0"/>
        <w:jc w:val="both"/>
        <w:rPr>
          <w:sz w:val="20"/>
          <w:szCs w:val="20"/>
        </w:rPr>
      </w:pPr>
      <w:r>
        <w:rPr>
          <w:sz w:val="20"/>
          <w:szCs w:val="20"/>
        </w:rPr>
        <w:t>MPP has been subject to le</w:t>
      </w:r>
      <w:r>
        <w:rPr>
          <w:sz w:val="20"/>
          <w:szCs w:val="20"/>
        </w:rPr>
        <w:t xml:space="preserve">gal challenges.  On August 13, 2021, a federal court ordered the Biden administration to reinstate the MPP finding that terminating MPP would be illegal "until the Department of Homeland Security has the capacity and willingness to detain immigrants."  On </w:t>
      </w:r>
      <w:r>
        <w:rPr>
          <w:sz w:val="20"/>
          <w:szCs w:val="20"/>
        </w:rPr>
        <w:t>August 24, 2021, the Supreme Court refused to block implementation of that order.  On October 29, 2021, Secretary of Homeland Security Alejandro N. Mayorkas issued a memorandum asserting the termination of MPP, which was structured to be implemented if the</w:t>
      </w:r>
      <w:r>
        <w:rPr>
          <w:sz w:val="20"/>
          <w:szCs w:val="20"/>
        </w:rPr>
        <w:t xml:space="preserve"> decision reinstating MPP is vacated. The memorandum also provides that the Biden administration will continue to comply with the injunction requiring the reinstatement and enforcement of MPP until a final judicial decision, if any, to vacate such injuncti</w:t>
      </w:r>
      <w:r>
        <w:rPr>
          <w:sz w:val="20"/>
          <w:szCs w:val="20"/>
        </w:rPr>
        <w:t>on is issued. In early December 2021, the Department of Homeland Security began the court-ordered re-implementation of the MPP, and on December 13, 2021, a federal appeals court rejected the Biden administration’s attempts to terminate MPP.  On December 29</w:t>
      </w:r>
      <w:r>
        <w:rPr>
          <w:sz w:val="20"/>
          <w:szCs w:val="20"/>
        </w:rPr>
        <w:t>, 2021, the Biden administration appealed this decision to the Supreme Court.  On April 26, 2022, the Supreme Court heard arguments on MPP, and on June 30, 2022, the Supreme Court ruled that immigration law gives the federal government the discretion to en</w:t>
      </w:r>
      <w:r>
        <w:rPr>
          <w:sz w:val="20"/>
          <w:szCs w:val="20"/>
        </w:rPr>
        <w:t>d MPP.  The Supreme Court also indicated that lower courts must now determine whether issuing the memorandum asserting the termination of MPP complied with administrative law, although the Supreme Court found that the order was a proper agency action.  The</w:t>
      </w:r>
      <w:r>
        <w:rPr>
          <w:sz w:val="20"/>
          <w:szCs w:val="20"/>
        </w:rPr>
        <w:t xml:space="preserve"> number of people apprehended by ICE could increase if the Biden administration prevails in its efforts to terminate MPP.</w:t>
      </w:r>
    </w:p>
    <w:p w:rsidR="00000000" w:rsidRDefault="00E35CFB">
      <w:pPr>
        <w:pStyle w:val="a3"/>
        <w:spacing w:before="240" w:beforeAutospacing="0" w:after="0" w:afterAutospacing="0"/>
        <w:jc w:val="both"/>
        <w:rPr>
          <w:sz w:val="20"/>
          <w:szCs w:val="20"/>
        </w:rPr>
      </w:pPr>
      <w:r>
        <w:rPr>
          <w:sz w:val="20"/>
          <w:szCs w:val="20"/>
        </w:rPr>
        <w:t>We cannot predict government responses to an increase in staff or residents testing positive for COVID-19 within public and private correctional, detention and reentry facilities, nor can we predict COVID-19 related restrictions on individuals, businesses,</w:t>
      </w:r>
      <w:r>
        <w:rPr>
          <w:sz w:val="20"/>
          <w:szCs w:val="20"/>
        </w:rPr>
        <w:t xml:space="preserve"> and services that disrupt the criminal justice system.  Further, we cannot predict government policies on prosecutions and legal restrictions as a result of COVID-19 that affect the number of people placed in correctional, detention, and reentry facilitie</w:t>
      </w:r>
      <w:r>
        <w:rPr>
          <w:sz w:val="20"/>
          <w:szCs w:val="20"/>
        </w:rPr>
        <w:t xml:space="preserve">s. </w:t>
      </w:r>
    </w:p>
    <w:p w:rsidR="00000000" w:rsidRDefault="00E35CFB">
      <w:pPr>
        <w:pStyle w:val="a3"/>
        <w:spacing w:before="240" w:beforeAutospacing="0" w:after="0" w:afterAutospacing="0"/>
        <w:jc w:val="both"/>
        <w:rPr>
          <w:sz w:val="20"/>
          <w:szCs w:val="20"/>
        </w:rPr>
      </w:pPr>
      <w:r>
        <w:rPr>
          <w:sz w:val="20"/>
          <w:szCs w:val="20"/>
        </w:rPr>
        <w:t>COVID-19 notwithstanding, we believe the long-term growth opportunities of our business remain attractive as government agencies consider their emergent needs (including capacity to help mitigate the spread of infectious disease), as well as the effici</w:t>
      </w:r>
      <w:r>
        <w:rPr>
          <w:sz w:val="20"/>
          <w:szCs w:val="20"/>
        </w:rPr>
        <w:t>ency and offender programming opportunities we provide as flexible solutions to satisfy our partners' needs.  Further, although disrupted by the COVID-19 pandemic, several of our existing federal and state partners, as well as prospective state partners, h</w:t>
      </w:r>
      <w:r>
        <w:rPr>
          <w:sz w:val="20"/>
          <w:szCs w:val="20"/>
        </w:rPr>
        <w:t>ave been experiencing growth in offender populations and overcrowded conditions, as well as an increase in violent crime.  Governments are now assessing their need for correctional space in light of COVID-19, and several are considering alternative correct</w:t>
      </w:r>
      <w:r>
        <w:rPr>
          <w:sz w:val="20"/>
          <w:szCs w:val="20"/>
        </w:rPr>
        <w:t>ional capacity for their aged or inefficient infrastructure, or are seeking cost savings by utilizing the private sector, which could result in increased future demand for the solutions we provide.  For example, in December 2021, the state of Arizona award</w:t>
      </w:r>
      <w:r>
        <w:rPr>
          <w:sz w:val="20"/>
          <w:szCs w:val="20"/>
        </w:rPr>
        <w:t>ed us a new contract for up to 2,706 inmates at our 3,060-bed La Palma Correctional Center in Arizona, which commenced in April 2022.  We are not aware of a larger prison contract awarded to the private sector by any state in over a decade. In July 2022, w</w:t>
      </w:r>
      <w:r>
        <w:rPr>
          <w:sz w:val="20"/>
          <w:szCs w:val="20"/>
        </w:rPr>
        <w:t>e entered into a Purchase &amp; Sale Agreement with the Georgia Building Authority to purchase our 1,978-bed McRae Correctional Facility in order to update their aged and inefficient public sector correctional infrastructure. We currently have a management con</w:t>
      </w:r>
      <w:r>
        <w:rPr>
          <w:sz w:val="20"/>
          <w:szCs w:val="20"/>
        </w:rPr>
        <w:t>tract with the BOP at this facility, which expires November 30, 2022.  In connection with the entry into the Purchase &amp; Sale Agreement, we entered into an agreement to lease the McRae facility from the Georgia Building Authority, which extends through Nove</w:t>
      </w:r>
      <w:r>
        <w:rPr>
          <w:sz w:val="20"/>
          <w:szCs w:val="20"/>
        </w:rPr>
        <w:t xml:space="preserve">mber 30, 2022.  The BOP is expected to transfer the BOP inmates to alternative federal capacity prior to expiration of the contract, and the McRae Correctional Facility will convert to a facility owned and operated by the State of Georgia upon termination </w:t>
      </w:r>
      <w:r>
        <w:rPr>
          <w:sz w:val="20"/>
          <w:szCs w:val="20"/>
        </w:rPr>
        <w:t>of our lease with the Georgia Building Authority.  Competing budget priorities often impede our customers' ability to construct new prison beds of their own or update their older facilities, which we believe could result in further demand for private secto</w:t>
      </w:r>
      <w:r>
        <w:rPr>
          <w:sz w:val="20"/>
          <w:szCs w:val="20"/>
        </w:rPr>
        <w:t xml:space="preserve">r prison capacity solutions in the long-term. </w:t>
      </w:r>
    </w:p>
    <w:p w:rsidR="00000000" w:rsidRDefault="00E35CFB">
      <w:pPr>
        <w:pStyle w:val="a3"/>
        <w:spacing w:before="240" w:beforeAutospacing="0" w:after="0" w:afterAutospacing="0"/>
        <w:jc w:val="center"/>
        <w:rPr>
          <w:sz w:val="20"/>
          <w:szCs w:val="20"/>
        </w:rPr>
      </w:pPr>
      <w:r>
        <w:rPr>
          <w:sz w:val="20"/>
          <w:szCs w:val="20"/>
        </w:rPr>
        <w:t>23</w:t>
      </w:r>
    </w:p>
    <w:p w:rsidR="00000000" w:rsidRDefault="00E35CFB">
      <w:pPr>
        <w:rPr>
          <w:rFonts w:eastAsia="Times New Roman"/>
        </w:rPr>
      </w:pPr>
      <w:r>
        <w:rPr>
          <w:rFonts w:eastAsia="Times New Roman"/>
        </w:rPr>
        <w:pict>
          <v:rect id="_x0000_i1049"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rPr>
          <w:b/>
          <w:bCs/>
          <w:sz w:val="20"/>
          <w:szCs w:val="20"/>
        </w:rPr>
      </w:pPr>
      <w:r>
        <w:rPr>
          <w:b/>
          <w:bCs/>
          <w:sz w:val="20"/>
          <w:szCs w:val="20"/>
        </w:rPr>
        <w:t>CRITICAL ACCOUNTING POLICIES AND ESTIMATES</w:t>
      </w:r>
    </w:p>
    <w:p w:rsidR="00000000" w:rsidRDefault="00E35CFB">
      <w:pPr>
        <w:pStyle w:val="a3"/>
        <w:spacing w:before="120" w:beforeAutospacing="0" w:after="0" w:afterAutospacing="0"/>
        <w:jc w:val="both"/>
        <w:rPr>
          <w:sz w:val="20"/>
          <w:szCs w:val="20"/>
        </w:rPr>
      </w:pPr>
      <w:r>
        <w:rPr>
          <w:sz w:val="20"/>
          <w:szCs w:val="20"/>
        </w:rPr>
        <w:t>The consolidated financial statements in this Quarterly Report are prepared in conformity with U.S. generally accepted accoun</w:t>
      </w:r>
      <w:r>
        <w:rPr>
          <w:sz w:val="20"/>
          <w:szCs w:val="20"/>
        </w:rPr>
        <w:t>ting principles, or GAAP.  As such, we are required to make certain estimates, judgments, and assumptions that we believe are reasonable based upon the information available which, by their nature, are subject to an inherent degree of uncertainty.  These e</w:t>
      </w:r>
      <w:r>
        <w:rPr>
          <w:sz w:val="20"/>
          <w:szCs w:val="20"/>
        </w:rPr>
        <w:t>stimates and assumptions affect the reported amounts of assets and liabilities at the date of the consolidated financial statements and the reported amounts of revenue and expenses during the reporting period.  There can be no assurance that actual results</w:t>
      </w:r>
      <w:r>
        <w:rPr>
          <w:sz w:val="20"/>
          <w:szCs w:val="20"/>
        </w:rPr>
        <w:t xml:space="preserve"> will not differ from our estimates.  A summary of our significant accounting policies is described in our 2021 Form 10-K.  The significant accounting policies and estimates which we believe are the most critical to aid in fully understanding and evaluatin</w:t>
      </w:r>
      <w:r>
        <w:rPr>
          <w:sz w:val="20"/>
          <w:szCs w:val="20"/>
        </w:rPr>
        <w:t xml:space="preserve">g our reported financial results include those related to idle facilities and asset impairments, self-funded insurance reserves, and legal reserves.  For a discussion of our critical accounting policies and estimates, please refer to Item 7, "Management's </w:t>
      </w:r>
      <w:r>
        <w:rPr>
          <w:sz w:val="20"/>
          <w:szCs w:val="20"/>
        </w:rPr>
        <w:t>Discussion and Analysis of Financial Condition and Results of Operations" and "Notes to Consolidated Financial Statements" presented in our 2021 Form 10-K.  There were no newly identified critical accounting policies during the first six months of 2022, no</w:t>
      </w:r>
      <w:r>
        <w:rPr>
          <w:sz w:val="20"/>
          <w:szCs w:val="20"/>
        </w:rPr>
        <w:t>r were there any material changes to the critical accounting policies and estimates discussed in our 2021 Form 10-K.</w:t>
      </w:r>
    </w:p>
    <w:p w:rsidR="00000000" w:rsidRDefault="00E35CFB">
      <w:pPr>
        <w:pStyle w:val="a3"/>
        <w:spacing w:before="360" w:beforeAutospacing="0" w:after="0" w:afterAutospacing="0"/>
        <w:jc w:val="both"/>
        <w:rPr>
          <w:b/>
          <w:bCs/>
          <w:sz w:val="20"/>
          <w:szCs w:val="20"/>
        </w:rPr>
      </w:pPr>
      <w:r>
        <w:rPr>
          <w:b/>
          <w:bCs/>
          <w:sz w:val="20"/>
          <w:szCs w:val="20"/>
        </w:rPr>
        <w:t>RESULTS OF OPERATIONS</w:t>
      </w:r>
    </w:p>
    <w:p w:rsidR="00000000" w:rsidRDefault="00E35CFB">
      <w:pPr>
        <w:pStyle w:val="a3"/>
        <w:spacing w:before="120" w:beforeAutospacing="0" w:after="0" w:afterAutospacing="0"/>
        <w:jc w:val="both"/>
        <w:rPr>
          <w:sz w:val="20"/>
          <w:szCs w:val="20"/>
        </w:rPr>
      </w:pPr>
      <w:r>
        <w:rPr>
          <w:sz w:val="20"/>
          <w:szCs w:val="20"/>
        </w:rPr>
        <w:t xml:space="preserve">Our results of operations are impacted by the number of correctional and detention facilities we operated, including </w:t>
      </w:r>
      <w:r>
        <w:rPr>
          <w:sz w:val="20"/>
          <w:szCs w:val="20"/>
        </w:rPr>
        <w:t>41 we owned and four owned by our government partners (CoreCivic Safety), the number of residential reentry centers we owned and operated (CoreCivic Community), the number of facilities we leased to other operators (CoreCivic Properties), and the facilitie</w:t>
      </w:r>
      <w:r>
        <w:rPr>
          <w:sz w:val="20"/>
          <w:szCs w:val="20"/>
        </w:rPr>
        <w:t xml:space="preserve">s we owned that were not in operation.  The following table sets forth the changes in the number of facilities in operation for the periods presented: </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1708292014"/>
        </w:trPr>
        <w:tc>
          <w:tcPr>
            <w:tcW w:w="217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r>
      <w:tr w:rsidR="00000000">
        <w:trPr>
          <w:divId w:val="1708292014"/>
        </w:trPr>
        <w:tc>
          <w:tcPr>
            <w:tcW w:w="217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32" w:type="pct"/>
            <w:gridSpan w:val="2"/>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r>
      <w:tr w:rsidR="00000000">
        <w:trPr>
          <w:divId w:val="1708292014"/>
        </w:trPr>
        <w:tc>
          <w:tcPr>
            <w:tcW w:w="217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Facilities as of December 31, 2020</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E35CFB">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January 2021</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an idled government-leased</w:t>
            </w:r>
          </w:p>
          <w:p w:rsidR="00000000" w:rsidRDefault="00E35CFB">
            <w:pPr>
              <w:pStyle w:val="a3"/>
              <w:spacing w:before="0" w:beforeAutospacing="0" w:after="0" w:afterAutospacing="0"/>
              <w:rPr>
                <w:color w:val="000000"/>
                <w:sz w:val="20"/>
                <w:szCs w:val="20"/>
              </w:rPr>
            </w:pPr>
            <w:r>
              <w:rPr>
                <w:color w:val="000000"/>
                <w:sz w:val="20"/>
                <w:szCs w:val="20"/>
              </w:rPr>
              <w:t>   property in Missouri</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two leased properties in</w:t>
            </w:r>
          </w:p>
          <w:p w:rsidR="00000000" w:rsidRDefault="00E35CFB">
            <w:pPr>
              <w:pStyle w:val="a3"/>
              <w:spacing w:before="0" w:beforeAutospacing="0" w:after="0" w:afterAutospacing="0"/>
              <w:rPr>
                <w:color w:val="000000"/>
                <w:sz w:val="20"/>
                <w:szCs w:val="20"/>
              </w:rPr>
            </w:pPr>
            <w:r>
              <w:rPr>
                <w:color w:val="000000"/>
                <w:sz w:val="20"/>
                <w:szCs w:val="20"/>
              </w:rPr>
              <w:t>   Florida and Ohio</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a government-leased</w:t>
            </w:r>
          </w:p>
          <w:p w:rsidR="00000000" w:rsidRDefault="00E35CFB">
            <w:pPr>
              <w:pStyle w:val="a3"/>
              <w:spacing w:before="0" w:beforeAutospacing="0" w:after="0" w:afterAutospacing="0"/>
              <w:rPr>
                <w:color w:val="000000"/>
                <w:sz w:val="20"/>
                <w:szCs w:val="20"/>
              </w:rPr>
            </w:pPr>
            <w:r>
              <w:rPr>
                <w:color w:val="000000"/>
                <w:sz w:val="20"/>
                <w:szCs w:val="20"/>
              </w:rPr>
              <w:t>   property in Maryland</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an idled property in Pennsylvania</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Termination of GRES partnership (Detroit, Michigan)</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September 2021</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Lease of Northwest New Mexico Correctional</w:t>
            </w:r>
          </w:p>
          <w:p w:rsidR="00000000" w:rsidRDefault="00E35CFB">
            <w:pPr>
              <w:pStyle w:val="a3"/>
              <w:spacing w:before="0" w:beforeAutospacing="0" w:after="0" w:afterAutospacing="0"/>
              <w:rPr>
                <w:color w:val="000000"/>
                <w:sz w:val="20"/>
                <w:szCs w:val="20"/>
              </w:rPr>
            </w:pPr>
            <w:r>
              <w:rPr>
                <w:color w:val="000000"/>
                <w:sz w:val="20"/>
                <w:szCs w:val="20"/>
              </w:rPr>
              <w:t>   Center</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November 2021</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08292014"/>
        </w:trPr>
        <w:tc>
          <w:tcPr>
            <w:tcW w:w="2176"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Facilities as of December 31, 2021</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Expiration of a managed-only contract in Indiana</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January 2022</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a residential reentry facility in Colorado</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February 2022</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Sale of a residential reentry facility in Colorado</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color w:val="000000"/>
                <w:sz w:val="20"/>
                <w:szCs w:val="20"/>
              </w:rPr>
            </w:pPr>
            <w:r>
              <w:rPr>
                <w:color w:val="000000"/>
                <w:sz w:val="20"/>
                <w:szCs w:val="20"/>
              </w:rPr>
              <w:t>March 2022</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08292014"/>
        </w:trPr>
        <w:tc>
          <w:tcPr>
            <w:tcW w:w="217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Facilities as of June 30, 2022</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
                <w:szCs w:val="2"/>
              </w:rPr>
            </w:pPr>
            <w:r>
              <w:rPr>
                <w:b/>
                <w:bCs/>
                <w:color w:val="000000"/>
                <w:sz w:val="2"/>
                <w:szCs w:val="2"/>
              </w:rPr>
              <w:t> </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160" w:beforeAutospacing="0" w:after="0" w:afterAutospacing="0"/>
        <w:jc w:val="both"/>
        <w:rPr>
          <w:b/>
          <w:bCs/>
          <w:sz w:val="20"/>
          <w:szCs w:val="20"/>
        </w:rPr>
      </w:pPr>
      <w:r>
        <w:rPr>
          <w:b/>
          <w:bCs/>
          <w:sz w:val="20"/>
          <w:szCs w:val="20"/>
        </w:rPr>
        <w:t>Three and Six Months Ended June 30, 2022 Compared to the Three and Six Months Ended June 30, 2021</w:t>
      </w:r>
    </w:p>
    <w:p w:rsidR="00000000" w:rsidRDefault="00E35CFB">
      <w:pPr>
        <w:pStyle w:val="a3"/>
        <w:spacing w:before="120" w:beforeAutospacing="0" w:after="0" w:afterAutospacing="0"/>
        <w:jc w:val="both"/>
        <w:rPr>
          <w:sz w:val="20"/>
          <w:szCs w:val="20"/>
        </w:rPr>
      </w:pPr>
      <w:r>
        <w:rPr>
          <w:sz w:val="20"/>
          <w:szCs w:val="20"/>
        </w:rPr>
        <w:t>Net income was $10.6 million, or $0.09 per diluted share, for the three months ended June 30, 2022, compared with net income of $15.6 million, or $0.13 per di</w:t>
      </w:r>
      <w:r>
        <w:rPr>
          <w:sz w:val="20"/>
          <w:szCs w:val="20"/>
        </w:rPr>
        <w:t>luted share, for the three months ended June 30, 2021. Net income was $29.6 million, or $0.24 per diluted share, for the six months ended June 30, 2022, compared with a net loss of $109.9 million, or $0.92 per diluted share, for the six months ended June 3</w:t>
      </w:r>
      <w:r>
        <w:rPr>
          <w:sz w:val="20"/>
          <w:szCs w:val="20"/>
        </w:rPr>
        <w:t>0, 2021.   Financial results for the three months ended June 30, 2022 reflected a $1.1 million gain on the sale of real estate assets, $6.8 million of expenses associated with debt repayments and refinancing transactions, and $1.9 million associated with s</w:t>
      </w:r>
      <w:r>
        <w:rPr>
          <w:sz w:val="20"/>
          <w:szCs w:val="20"/>
        </w:rPr>
        <w:t>hareholder litigation expense.  Financial results for the six months ended June 30, 2022 also reflected a $3.3 million gain on the sale of real estate assets in addition to the items listed in the prior sentence for the three months ended June 30, 2022. Co</w:t>
      </w:r>
      <w:r>
        <w:rPr>
          <w:sz w:val="20"/>
          <w:szCs w:val="20"/>
        </w:rPr>
        <w:t xml:space="preserve">llectively, these special items were partially offset by an income tax benefit of $2.0 million and $1.4 million during the three and six months ended June 30, 2022, respectively, associated with these special items. </w:t>
      </w:r>
    </w:p>
    <w:p w:rsidR="00000000" w:rsidRDefault="00E35CFB">
      <w:pPr>
        <w:pStyle w:val="a3"/>
        <w:spacing w:before="120" w:beforeAutospacing="0" w:after="0" w:afterAutospacing="0"/>
        <w:jc w:val="both"/>
        <w:rPr>
          <w:sz w:val="20"/>
          <w:szCs w:val="20"/>
        </w:rPr>
      </w:pPr>
      <w:r>
        <w:rPr>
          <w:sz w:val="20"/>
          <w:szCs w:val="20"/>
        </w:rPr>
        <w:t>Financial results for the three months ended June 30, 2021 reflected a gain on the sale of real estate assets amounting to $38.8 million, $52.2 million of expenses associated with debt repayments and refinancing transactions, $2.9 million of asset impairme</w:t>
      </w:r>
      <w:r>
        <w:rPr>
          <w:sz w:val="20"/>
          <w:szCs w:val="20"/>
        </w:rPr>
        <w:t xml:space="preserve">nts, $2.6 million of additional charges related to the settlement agreement reached during April 2021 in connection with shareholder litigation, and $0.8 </w:t>
      </w:r>
    </w:p>
    <w:p w:rsidR="00000000" w:rsidRDefault="00E35CFB">
      <w:pPr>
        <w:pStyle w:val="a3"/>
        <w:spacing w:before="240" w:beforeAutospacing="0" w:after="0" w:afterAutospacing="0"/>
        <w:jc w:val="center"/>
        <w:rPr>
          <w:sz w:val="20"/>
          <w:szCs w:val="20"/>
        </w:rPr>
      </w:pPr>
      <w:r>
        <w:rPr>
          <w:sz w:val="20"/>
          <w:szCs w:val="20"/>
        </w:rPr>
        <w:t>24</w:t>
      </w:r>
    </w:p>
    <w:p w:rsidR="00000000" w:rsidRDefault="00E35CFB">
      <w:pPr>
        <w:rPr>
          <w:rFonts w:eastAsia="Times New Roman"/>
        </w:rPr>
      </w:pPr>
      <w:r>
        <w:rPr>
          <w:rFonts w:eastAsia="Times New Roman"/>
        </w:rPr>
        <w:pict>
          <v:rect id="_x0000_i1050"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120" w:beforeAutospacing="0" w:after="0" w:afterAutospacing="0"/>
        <w:jc w:val="both"/>
        <w:rPr>
          <w:sz w:val="20"/>
          <w:szCs w:val="20"/>
        </w:rPr>
      </w:pPr>
      <w:r>
        <w:rPr>
          <w:sz w:val="20"/>
          <w:szCs w:val="20"/>
        </w:rPr>
        <w:t>million of incremental expenses directly associated with COVID-19 (reflected in operating expenses). Financial results for the six months ended June 30, 2021 also included charges of $54.3 million related to the shareholder litigation settlement, $2.4 mill</w:t>
      </w:r>
      <w:r>
        <w:rPr>
          <w:sz w:val="20"/>
          <w:szCs w:val="20"/>
        </w:rPr>
        <w:t>ion of incremental expenses directly associated with COVID-19 (reflected in operating expenses), and $4.2 million of asset impairments in addition to the items listed in the prior sentence for the three months ended June 30, 2021.  Collectively, these spec</w:t>
      </w:r>
      <w:r>
        <w:rPr>
          <w:sz w:val="20"/>
          <w:szCs w:val="20"/>
        </w:rPr>
        <w:t>ial items were partially offset by an income tax benefit of $4.2 million and $18.2 million during the three and six months ended June 30, 2021, respectively, associated with these special items.  In addition, financial results for the six months ended June</w:t>
      </w:r>
      <w:r>
        <w:rPr>
          <w:sz w:val="20"/>
          <w:szCs w:val="20"/>
        </w:rPr>
        <w:t xml:space="preserve"> 30, 2021 reflected an income tax charge of $120.1 million, including $114.2 million for income taxes associated with the change in corporate tax structure and other special tax items. </w:t>
      </w:r>
    </w:p>
    <w:p w:rsidR="00000000" w:rsidRDefault="00E35CFB">
      <w:pPr>
        <w:pStyle w:val="a3"/>
        <w:spacing w:before="360" w:beforeAutospacing="0" w:after="0" w:afterAutospacing="0"/>
        <w:jc w:val="both"/>
        <w:rPr>
          <w:b/>
          <w:bCs/>
          <w:sz w:val="20"/>
          <w:szCs w:val="20"/>
        </w:rPr>
      </w:pPr>
      <w:r>
        <w:rPr>
          <w:b/>
          <w:bCs/>
          <w:sz w:val="20"/>
          <w:szCs w:val="20"/>
        </w:rPr>
        <w:t>Our Current Operations</w:t>
      </w:r>
    </w:p>
    <w:p w:rsidR="00000000" w:rsidRDefault="00E35CFB">
      <w:pPr>
        <w:pStyle w:val="a3"/>
        <w:spacing w:before="120" w:beforeAutospacing="0" w:after="0" w:afterAutospacing="0"/>
        <w:jc w:val="both"/>
        <w:rPr>
          <w:sz w:val="20"/>
          <w:szCs w:val="20"/>
        </w:rPr>
      </w:pPr>
      <w:r>
        <w:rPr>
          <w:sz w:val="20"/>
          <w:szCs w:val="20"/>
        </w:rPr>
        <w:t>Our ongoing operations are organized into three</w:t>
      </w:r>
      <w:r>
        <w:rPr>
          <w:sz w:val="20"/>
          <w:szCs w:val="20"/>
        </w:rPr>
        <w:t xml:space="preserv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1295522697"/>
        </w:trPr>
        <w:tc>
          <w:tcPr>
            <w:tcW w:w="201" w:type="pct"/>
            <w:noWrap/>
            <w:hideMark/>
          </w:tcPr>
          <w:p w:rsidR="00000000" w:rsidRDefault="00E35CFB">
            <w:pPr>
              <w:pStyle w:val="a3"/>
              <w:spacing w:before="120" w:beforeAutospacing="0" w:after="0" w:afterAutospacing="0"/>
              <w:jc w:val="both"/>
            </w:pPr>
            <w:r>
              <w:t> </w:t>
            </w:r>
          </w:p>
        </w:tc>
        <w:tc>
          <w:tcPr>
            <w:tcW w:w="166"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CoreCivic Safety segment, consisting of the 45 correctional and detention facilities that are owned, or controlled via a long-term lease, and managed by CoreCivic, as well as those correctional and detention facilities own</w:t>
            </w:r>
            <w:r>
              <w:rPr>
                <w:color w:val="000000"/>
                <w:sz w:val="20"/>
                <w:szCs w:val="20"/>
              </w:rPr>
              <w:t>ed by third parties but managed by CoreCivic. CoreCivic Safety also includes the operating results of our subsidiary that provides transportation services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2"/>
        <w:gridCol w:w="275"/>
        <w:gridCol w:w="480"/>
      </w:tblGrid>
      <w:tr w:rsidR="00000000">
        <w:tc>
          <w:tcPr>
            <w:tcW w:w="200" w:type="pct"/>
            <w:noWrap/>
            <w:hideMark/>
          </w:tcPr>
          <w:p w:rsidR="00000000" w:rsidRDefault="00E35CFB">
            <w:pPr>
              <w:pStyle w:val="a3"/>
              <w:spacing w:before="120" w:beforeAutospacing="0" w:after="0" w:afterAutospacing="0"/>
              <w:jc w:val="both"/>
            </w:pPr>
            <w:r>
              <w:t> </w:t>
            </w:r>
          </w:p>
        </w:tc>
        <w:tc>
          <w:tcPr>
            <w:tcW w:w="166"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CoreCivic Community segment, cons</w:t>
            </w:r>
            <w:r>
              <w:rPr>
                <w:color w:val="000000"/>
                <w:sz w:val="20"/>
                <w:szCs w:val="20"/>
              </w:rPr>
              <w:t>isting of the 24 residential reentry centers that are owned, or controlled via a long-term lease, and managed by CoreCivic.  CoreCivic Community also includes the operating results of our electronic monitoring and case management services.</w:t>
            </w:r>
          </w:p>
        </w:tc>
      </w:tr>
    </w:tbl>
    <w:p w:rsidR="00000000" w:rsidRDefault="00E35CFB">
      <w:pPr>
        <w:divId w:val="1300111040"/>
        <w:rPr>
          <w:rFonts w:eastAsia="Times New Roman"/>
          <w:vanish/>
        </w:rPr>
      </w:pPr>
    </w:p>
    <w:tbl>
      <w:tblPr>
        <w:tblW w:w="5000" w:type="pct"/>
        <w:tblCellMar>
          <w:left w:w="0" w:type="dxa"/>
          <w:right w:w="0" w:type="dxa"/>
        </w:tblCellMar>
        <w:tblLook w:val="04A0" w:firstRow="1" w:lastRow="0" w:firstColumn="1" w:lastColumn="0" w:noHBand="0" w:noVBand="1"/>
      </w:tblPr>
      <w:tblGrid>
        <w:gridCol w:w="332"/>
        <w:gridCol w:w="276"/>
        <w:gridCol w:w="7698"/>
      </w:tblGrid>
      <w:tr w:rsidR="00000000">
        <w:trPr>
          <w:divId w:val="1300111040"/>
        </w:trPr>
        <w:tc>
          <w:tcPr>
            <w:tcW w:w="200" w:type="pct"/>
            <w:noWrap/>
            <w:hideMark/>
          </w:tcPr>
          <w:p w:rsidR="00000000" w:rsidRDefault="00E35CFB">
            <w:pPr>
              <w:pStyle w:val="a3"/>
              <w:spacing w:before="120" w:beforeAutospacing="0" w:after="0" w:afterAutospacing="0"/>
              <w:jc w:val="both"/>
            </w:pPr>
            <w:r>
              <w:t> </w:t>
            </w:r>
          </w:p>
        </w:tc>
        <w:tc>
          <w:tcPr>
            <w:tcW w:w="166" w:type="pct"/>
            <w:noWrap/>
            <w:hideMark/>
          </w:tcPr>
          <w:p w:rsidR="00000000" w:rsidRDefault="00E35CFB">
            <w:pPr>
              <w:pStyle w:val="a3"/>
              <w:spacing w:before="120" w:beforeAutospacing="0" w:after="0" w:afterAutospacing="0"/>
              <w:jc w:val="both"/>
              <w:rPr>
                <w:sz w:val="20"/>
                <w:szCs w:val="20"/>
              </w:rPr>
            </w:pPr>
            <w:r>
              <w:rPr>
                <w:sz w:val="20"/>
                <w:szCs w:val="20"/>
              </w:rPr>
              <w:t>•</w:t>
            </w:r>
          </w:p>
        </w:tc>
        <w:tc>
          <w:tcPr>
            <w:tcW w:w="0" w:type="auto"/>
            <w:hideMark/>
          </w:tcPr>
          <w:p w:rsidR="00000000" w:rsidRDefault="00E35CFB">
            <w:pPr>
              <w:pStyle w:val="a3"/>
              <w:spacing w:before="120" w:beforeAutospacing="0" w:after="0" w:afterAutospacing="0"/>
              <w:jc w:val="both"/>
            </w:pPr>
            <w:r>
              <w:rPr>
                <w:color w:val="000000"/>
                <w:sz w:val="20"/>
                <w:szCs w:val="20"/>
              </w:rPr>
              <w:t>CoreCivic Properties segment, consisting of the 10 real estate properties owned by CoreCivic for lease to third parties and used by government agencies.</w:t>
            </w:r>
          </w:p>
        </w:tc>
      </w:tr>
    </w:tbl>
    <w:p w:rsidR="00000000" w:rsidRDefault="00E35CFB">
      <w:pPr>
        <w:pStyle w:val="a3"/>
        <w:shd w:val="clear" w:color="auto" w:fill="FFFFFF"/>
        <w:spacing w:before="0" w:beforeAutospacing="0" w:after="0" w:afterAutospacing="0"/>
        <w:rPr>
          <w:sz w:val="20"/>
          <w:szCs w:val="20"/>
        </w:rPr>
      </w:pPr>
      <w:r>
        <w:rPr>
          <w:sz w:val="20"/>
          <w:szCs w:val="20"/>
        </w:rPr>
        <w:t> </w:t>
      </w:r>
    </w:p>
    <w:p w:rsidR="00000000" w:rsidRDefault="00E35CFB">
      <w:pPr>
        <w:pStyle w:val="a3"/>
        <w:shd w:val="clear" w:color="auto" w:fill="FFFFFF"/>
        <w:spacing w:before="40" w:beforeAutospacing="0" w:after="0" w:afterAutospacing="0"/>
        <w:jc w:val="both"/>
        <w:rPr>
          <w:color w:val="000000"/>
          <w:sz w:val="20"/>
          <w:szCs w:val="20"/>
        </w:rPr>
      </w:pPr>
      <w:r>
        <w:rPr>
          <w:color w:val="000000"/>
          <w:sz w:val="20"/>
          <w:szCs w:val="20"/>
        </w:rPr>
        <w:t>For the three and six months ended June 30, 2022 and 2021, our total segment net operating income, w</w:t>
      </w:r>
      <w:r>
        <w:rPr>
          <w:color w:val="000000"/>
          <w:sz w:val="20"/>
          <w:szCs w:val="20"/>
        </w:rPr>
        <w:t>hich we define as facility revenue (including interest income associated with finance leases) less operating expenses, was divided among our three business segments as follows:</w:t>
      </w:r>
    </w:p>
    <w:p w:rsidR="00000000" w:rsidRDefault="00E35CFB">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8"/>
        <w:gridCol w:w="65"/>
        <w:gridCol w:w="65"/>
        <w:gridCol w:w="870"/>
        <w:gridCol w:w="215"/>
        <w:gridCol w:w="65"/>
        <w:gridCol w:w="65"/>
        <w:gridCol w:w="764"/>
        <w:gridCol w:w="182"/>
        <w:gridCol w:w="65"/>
        <w:gridCol w:w="65"/>
        <w:gridCol w:w="864"/>
        <w:gridCol w:w="215"/>
        <w:gridCol w:w="65"/>
        <w:gridCol w:w="65"/>
        <w:gridCol w:w="765"/>
        <w:gridCol w:w="182"/>
      </w:tblGrid>
      <w:tr w:rsidR="00000000">
        <w:trPr>
          <w:divId w:val="1227833816"/>
        </w:trPr>
        <w:tc>
          <w:tcPr>
            <w:tcW w:w="196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41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141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227833816"/>
        </w:trPr>
        <w:tc>
          <w:tcPr>
            <w:tcW w:w="196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227833816"/>
        </w:trPr>
        <w:tc>
          <w:tcPr>
            <w:tcW w:w="196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Segment: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227833816"/>
        </w:trPr>
        <w:tc>
          <w:tcPr>
            <w:tcW w:w="196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83.8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84.0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84.1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27833816"/>
        </w:trPr>
        <w:tc>
          <w:tcPr>
            <w:tcW w:w="196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227833816"/>
        </w:trPr>
        <w:tc>
          <w:tcPr>
            <w:tcW w:w="196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120" w:beforeAutospacing="0" w:after="0" w:afterAutospacing="0"/>
        <w:jc w:val="both"/>
        <w:rPr>
          <w:b/>
          <w:bCs/>
          <w:i/>
          <w:iCs/>
          <w:sz w:val="20"/>
          <w:szCs w:val="20"/>
        </w:rPr>
      </w:pPr>
      <w:r>
        <w:rPr>
          <w:b/>
          <w:bCs/>
          <w:i/>
          <w:iCs/>
          <w:sz w:val="20"/>
          <w:szCs w:val="20"/>
        </w:rPr>
        <w:t>Facility Operations</w:t>
      </w:r>
    </w:p>
    <w:p w:rsidR="00000000" w:rsidRDefault="00E35CFB">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 xml:space="preserve">lity based on certain occupancy levels relative to design capacity.  Revenue and expenses per compensated man-day for all of the correctional, detention, and </w:t>
      </w:r>
    </w:p>
    <w:p w:rsidR="00000000" w:rsidRDefault="00E35CFB">
      <w:pPr>
        <w:pStyle w:val="a3"/>
        <w:spacing w:before="240" w:beforeAutospacing="0" w:after="0" w:afterAutospacing="0"/>
        <w:jc w:val="center"/>
        <w:rPr>
          <w:sz w:val="20"/>
          <w:szCs w:val="20"/>
        </w:rPr>
      </w:pPr>
      <w:r>
        <w:rPr>
          <w:sz w:val="20"/>
          <w:szCs w:val="20"/>
        </w:rPr>
        <w:t>25</w:t>
      </w:r>
    </w:p>
    <w:p w:rsidR="00000000" w:rsidRDefault="00E35CFB">
      <w:pPr>
        <w:rPr>
          <w:rFonts w:eastAsia="Times New Roman"/>
        </w:rPr>
      </w:pPr>
      <w:r>
        <w:rPr>
          <w:rFonts w:eastAsia="Times New Roman"/>
        </w:rPr>
        <w:pict>
          <v:rect id="_x0000_i1051"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120" w:beforeAutospacing="0" w:after="0" w:afterAutospacing="0"/>
        <w:jc w:val="both"/>
        <w:rPr>
          <w:sz w:val="20"/>
          <w:szCs w:val="20"/>
        </w:rPr>
      </w:pPr>
      <w:r>
        <w:rPr>
          <w:sz w:val="20"/>
          <w:szCs w:val="20"/>
        </w:rPr>
        <w:t>residential reentry facilities placed into service that we owned or managed, exclusive of those held for lease, and for TransCor were as follows for the three and six months ended June 30, 2022 and 2021:</w:t>
      </w:r>
    </w:p>
    <w:p w:rsidR="00000000" w:rsidRDefault="00E35CFB">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1460494685"/>
        </w:trPr>
        <w:tc>
          <w:tcPr>
            <w:tcW w:w="25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w:t>
            </w:r>
            <w:r>
              <w:rPr>
                <w:b/>
                <w:bCs/>
                <w:color w:val="000000"/>
                <w:sz w:val="16"/>
                <w:szCs w:val="16"/>
              </w:rPr>
              <w:t>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460494685"/>
        </w:trPr>
        <w:tc>
          <w:tcPr>
            <w:tcW w:w="25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460494685"/>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93.51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89.39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92.69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89.59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50.94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50.87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48.28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21.81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18.45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18.02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72.75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65.40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71.98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66.30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20.76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23.99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20.71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23.29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60494685"/>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69.5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71.6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70.7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460494685"/>
        </w:trPr>
        <w:tc>
          <w:tcPr>
            <w:tcW w:w="250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73,266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74,889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73,422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75,062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460494685"/>
        </w:trPr>
        <w:tc>
          <w:tcPr>
            <w:tcW w:w="250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50,893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53,610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51,429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53,105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160" w:beforeAutospacing="0" w:after="0" w:afterAutospacing="0"/>
        <w:jc w:val="both"/>
        <w:rPr>
          <w:i/>
          <w:iCs/>
          <w:sz w:val="20"/>
          <w:szCs w:val="20"/>
        </w:rPr>
      </w:pPr>
      <w:r>
        <w:rPr>
          <w:i/>
          <w:iCs/>
          <w:sz w:val="20"/>
          <w:szCs w:val="20"/>
        </w:rPr>
        <w:t>Revenue</w:t>
      </w:r>
    </w:p>
    <w:p w:rsidR="00000000" w:rsidRDefault="00E35CFB">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lease revenue we generate through CoreCivic Properties from facilities we lease to third-party operators. The following table reflects the components of revenue for the three and six m</w:t>
      </w:r>
      <w:r>
        <w:rPr>
          <w:sz w:val="20"/>
          <w:szCs w:val="20"/>
        </w:rPr>
        <w:t>onths ended June 30, 2022 and 2021 (in millions):</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730805768"/>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730805768"/>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73080576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73080576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263.6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161.9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146.3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(36.5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442.1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444.8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73080576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73080576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456.7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464.6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733388277"/>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733388277"/>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73338827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3338827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499.9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518.1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316.6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290.1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17.3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880.5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878.2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73338827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73338827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909.7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919.3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240" w:beforeAutospacing="0" w:after="0" w:afterAutospacing="0"/>
        <w:jc w:val="center"/>
        <w:rPr>
          <w:sz w:val="20"/>
          <w:szCs w:val="20"/>
        </w:rPr>
      </w:pPr>
      <w:r>
        <w:rPr>
          <w:sz w:val="20"/>
          <w:szCs w:val="20"/>
        </w:rPr>
        <w:t>26</w:t>
      </w:r>
    </w:p>
    <w:p w:rsidR="00000000" w:rsidRDefault="00E35CFB">
      <w:pPr>
        <w:rPr>
          <w:rFonts w:eastAsia="Times New Roman"/>
        </w:rPr>
      </w:pPr>
      <w:r>
        <w:rPr>
          <w:rFonts w:eastAsia="Times New Roman"/>
        </w:rPr>
        <w:pict>
          <v:rect id="_x0000_i1052"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The $2.7 million, or 0.6%, decrease in total management revenue for the three months ended June 30, 2022 as compared with the same period in 2021 was primarily a result of a decrease in revenue of approximately $22</w:t>
      </w:r>
      <w:r>
        <w:rPr>
          <w:sz w:val="20"/>
          <w:szCs w:val="20"/>
        </w:rPr>
        <w:t>.1 million driven primarily by a decrease in the average daily compensated population from 2021 to 2022.  The decrease in management revenue in the three-month period was partially offset by an increase in revenue of $19.0 million driven primarily by an in</w:t>
      </w:r>
      <w:r>
        <w:rPr>
          <w:sz w:val="20"/>
          <w:szCs w:val="20"/>
        </w:rPr>
        <w:t xml:space="preserve">crease of 4.6% in average revenue per compensated man-day.  The $2.3 million, or 0.3%, increase in total management revenue for the six months ended June 30, 2022 as compared with the same period in 2021 was primarily a result of an increase in revenue of </w:t>
      </w:r>
      <w:r>
        <w:rPr>
          <w:sz w:val="20"/>
          <w:szCs w:val="20"/>
        </w:rPr>
        <w:t>$28.8 million driven primarily by an increase of 3.5% in average revenue per compensated man-day.  The increase in management revenue in the six-month period was partially offset by a decrease in revenue of approximately $27.1 million driven primarily by a</w:t>
      </w:r>
      <w:r>
        <w:rPr>
          <w:sz w:val="20"/>
          <w:szCs w:val="20"/>
        </w:rPr>
        <w:t xml:space="preserve"> decrease in the average daily compensated population from 2021 to 2022. The increase in average revenue per compensated man-day in both periods resulted from the effect of per diem increases at several of our facilities. Revenue generated from our electro</w:t>
      </w:r>
      <w:r>
        <w:rPr>
          <w:sz w:val="20"/>
          <w:szCs w:val="20"/>
        </w:rPr>
        <w:t xml:space="preserve">nic monitoring and case management services during the three and six months ended June 30, 2022 increased $0.4 million and $0.6 million, respectively, from the comparable periods in the prior year. </w:t>
      </w:r>
    </w:p>
    <w:p w:rsidR="00000000" w:rsidRDefault="00E35CFB">
      <w:pPr>
        <w:pStyle w:val="a3"/>
        <w:spacing w:before="240" w:beforeAutospacing="0" w:after="0" w:afterAutospacing="0"/>
        <w:jc w:val="both"/>
        <w:rPr>
          <w:sz w:val="20"/>
          <w:szCs w:val="20"/>
        </w:rPr>
      </w:pPr>
      <w:r>
        <w:rPr>
          <w:sz w:val="20"/>
          <w:szCs w:val="20"/>
        </w:rPr>
        <w:t xml:space="preserve">Average daily compensated population decreased 2,717, or </w:t>
      </w:r>
      <w:r>
        <w:rPr>
          <w:sz w:val="20"/>
          <w:szCs w:val="20"/>
        </w:rPr>
        <w:t>5.1%, to 50,893 during the three months ended June 30, 2022 compared to 53,610 during the three months ended June 30, 2021. Average daily compensated population decreased 1,676, or 3.2%, to 51,429 during the six months ended June 30, 2022 compared to 53,10</w:t>
      </w:r>
      <w:r>
        <w:rPr>
          <w:sz w:val="20"/>
          <w:szCs w:val="20"/>
        </w:rPr>
        <w:t>5 during the six months ended June 30, 2021.  The decrease in average daily compensated population in both periods was a result of the contract terminations at our 600-bed West Tennessee Detention Facility effective September 30, 2021, at our 1,033-bed Lea</w:t>
      </w:r>
      <w:r>
        <w:rPr>
          <w:sz w:val="20"/>
          <w:szCs w:val="20"/>
        </w:rPr>
        <w:t xml:space="preserve">venworth Detention Center effective December 31, 2021, and at the 1,030-bed managed-only Marion County Jail effective January 31, 2022, all as further described hereinafter. In addition, the decrease in average daily compensated population in both periods </w:t>
      </w:r>
      <w:r>
        <w:rPr>
          <w:sz w:val="20"/>
          <w:szCs w:val="20"/>
        </w:rPr>
        <w:t>was a result of the three-year lease agreement we entered into with the state of New Mexico under which the state of New Mexico began leasing our 596-bed Northwest New Mexico Correctional Center on November 1, 2021.  We previously operated the Northwest Ne</w:t>
      </w:r>
      <w:r>
        <w:rPr>
          <w:sz w:val="20"/>
          <w:szCs w:val="20"/>
        </w:rPr>
        <w:t xml:space="preserve">w Mexico facility in our Safety segment under a contract with the state of New Mexico.  A decrease in ICE populations at our La Palma Correctional Center was partially offset by an increase in state populations as the state of Arizona continues to ramp-up </w:t>
      </w:r>
      <w:r>
        <w:rPr>
          <w:sz w:val="20"/>
          <w:szCs w:val="20"/>
        </w:rPr>
        <w:t>populations pursuant to a new management contract that commenced in April 2022.  We expect the transition from the ICE population to the state residents from the state of Arizona to be completed in the first quarter of 2023.  These factors, which contribut</w:t>
      </w:r>
      <w:r>
        <w:rPr>
          <w:sz w:val="20"/>
          <w:szCs w:val="20"/>
        </w:rPr>
        <w:t>ed to the decrease in average daily compensated population in both the three- and six-month periods, were partially offset by increases in other state populations as states continue to recover from COVID-19 and operations of criminal justice systems contin</w:t>
      </w:r>
      <w:r>
        <w:rPr>
          <w:sz w:val="20"/>
          <w:szCs w:val="20"/>
        </w:rPr>
        <w:t xml:space="preserve">ue to normalize. </w:t>
      </w:r>
    </w:p>
    <w:p w:rsidR="00000000" w:rsidRDefault="00E35CFB">
      <w:pPr>
        <w:pStyle w:val="a3"/>
        <w:spacing w:before="240" w:beforeAutospacing="0" w:after="0" w:afterAutospacing="0"/>
        <w:jc w:val="both"/>
        <w:rPr>
          <w:sz w:val="20"/>
          <w:szCs w:val="20"/>
        </w:rPr>
      </w:pPr>
      <w:r>
        <w:rPr>
          <w:sz w:val="20"/>
          <w:szCs w:val="20"/>
        </w:rPr>
        <w:t xml:space="preserve">The solutions we provide to our federal customers, including primarily ICE, the USMS, and the BOP, continue to be a significant component of our business. The federal customers in our Safety and Community segments generated approximately </w:t>
      </w:r>
      <w:r>
        <w:rPr>
          <w:sz w:val="20"/>
          <w:szCs w:val="20"/>
        </w:rPr>
        <w:t>54% and 57% of our total revenue for the three months ended June 30, 2022 and 2021, respectively, decreasing $18.6 million, or 7.1%, during the three months ended June 30, 2022 as compared with the same period in 2021. The federal customers in our Safety a</w:t>
      </w:r>
      <w:r>
        <w:rPr>
          <w:sz w:val="20"/>
          <w:szCs w:val="20"/>
        </w:rPr>
        <w:t>nd Community segments generated approximately 55% and 56% of our total revenue for the six months ended June 30, 2022 and 2021, respectively, decreasing $18.2 million, or 3.5%, during the six months ended June 30, 2022 as compared with the same period in 2</w:t>
      </w:r>
      <w:r>
        <w:rPr>
          <w:sz w:val="20"/>
          <w:szCs w:val="20"/>
        </w:rPr>
        <w:t>021.</w:t>
      </w:r>
    </w:p>
    <w:p w:rsidR="00000000" w:rsidRDefault="00E35CFB">
      <w:pPr>
        <w:pStyle w:val="a3"/>
        <w:spacing w:before="240" w:beforeAutospacing="0" w:after="0" w:afterAutospacing="0"/>
        <w:jc w:val="both"/>
        <w:rPr>
          <w:sz w:val="20"/>
          <w:szCs w:val="20"/>
        </w:rPr>
      </w:pPr>
      <w:r>
        <w:rPr>
          <w:sz w:val="20"/>
          <w:szCs w:val="20"/>
        </w:rPr>
        <w:t>The decision near the end of the first quarter of 2020 by the federal government to deny entry at the United States southern border to asylum-seekers and anyone crossing the southern border without proper documentation or authority in an effort to con</w:t>
      </w:r>
      <w:r>
        <w:rPr>
          <w:sz w:val="20"/>
          <w:szCs w:val="20"/>
        </w:rPr>
        <w:t>tain the spread of COVID-19, a policy known as Title 42, resulted in a reduction in people being apprehended and detained by ICE.  The financial impact was somewhat mitigated by fixed monthly payments from ICE at certain facilities, to ensure ICE has adequ</w:t>
      </w:r>
      <w:r>
        <w:rPr>
          <w:sz w:val="20"/>
          <w:szCs w:val="20"/>
        </w:rPr>
        <w:t>ate bed capacity in the event of a surge in the future.  During 2021, revenue from ICE was $552.2 million compared to $542.0 million during 2020, and compared to $579.5 million during 2019, prior to the implementation of Title 42.  During the three and six</w:t>
      </w:r>
      <w:r>
        <w:rPr>
          <w:sz w:val="20"/>
          <w:szCs w:val="20"/>
        </w:rPr>
        <w:t xml:space="preserve"> months ended June 30, 2022, revenue from ICE was $129.6 million and $268.3 million, respectively, compared to $139.6 million and $271.1 million during the three and six months ended June 30, 2021, respectively.  Revenue from ICE for the three- and six-mon</w:t>
      </w:r>
      <w:r>
        <w:rPr>
          <w:sz w:val="20"/>
          <w:szCs w:val="20"/>
        </w:rPr>
        <w:t xml:space="preserve">th periods declined as a result of a decrease in detainees at our La Palma facility, where we are transitioning populations from an ICE population to a population of residents from the state of Arizona, pursuant to a new management contract that commenced </w:t>
      </w:r>
      <w:r>
        <w:rPr>
          <w:sz w:val="20"/>
          <w:szCs w:val="20"/>
        </w:rPr>
        <w:t>in April 2022. The transfer process at our La Palma facility is expected to be completed during the first quarter of 2023.  During the three and six months ended June 30, 2022, revenue from ICE at the La Palma facility was $8.9 million and $27.0 million, r</w:t>
      </w:r>
      <w:r>
        <w:rPr>
          <w:sz w:val="20"/>
          <w:szCs w:val="20"/>
        </w:rPr>
        <w:t xml:space="preserve">espectively, compared with $19.6 million and $38.9 million for the three and six months ended June 30, 2021, respectively.  Upon full utilization of the new contract, we expect to generate approximately $75.0 million to $85.0 million in annualized revenue </w:t>
      </w:r>
      <w:r>
        <w:rPr>
          <w:sz w:val="20"/>
          <w:szCs w:val="20"/>
        </w:rPr>
        <w:t>at the La Palma facility.  On April 1, 2022, the CDC issued a Public Health Determination terminating Title 42 with an effective date of May 23, 2022. However, on April 25, 2022, a federal judge issued a temporary restraining order blocking the termination</w:t>
      </w:r>
      <w:r>
        <w:rPr>
          <w:sz w:val="20"/>
          <w:szCs w:val="20"/>
        </w:rPr>
        <w:t xml:space="preserve"> of Title 42, and on May 20, 2022, ruled that the administration violated administrative law when it announced that it planned to cease Title 42.  If Title 42 is terminated, such action may result in an increase in the number of undocumented people permitt</w:t>
      </w:r>
      <w:r>
        <w:rPr>
          <w:sz w:val="20"/>
          <w:szCs w:val="20"/>
        </w:rPr>
        <w:t>ed to enter the United States claiming asylum, and could result in an increase in the number of people apprehended and detained by ICE.  The number of people apprehended by ICE could also increase if the federal government prevails over its attempt to reve</w:t>
      </w:r>
      <w:r>
        <w:rPr>
          <w:sz w:val="20"/>
          <w:szCs w:val="20"/>
        </w:rPr>
        <w:t xml:space="preserve">rse the MPP implemented by the Trump administration.  As previously described, litigation over MPP is ongoing.  On April 26, 2022 the Supreme Court heard arguments on MPP and on June 30, 2022, the Supreme Court ruled that immigration law gives the federal </w:t>
      </w:r>
      <w:r>
        <w:rPr>
          <w:sz w:val="20"/>
          <w:szCs w:val="20"/>
        </w:rPr>
        <w:t xml:space="preserve">government the discretion to end the program.  The Supreme Court also indicated that lower courts must now determine </w:t>
      </w:r>
    </w:p>
    <w:p w:rsidR="00000000" w:rsidRDefault="00E35CFB">
      <w:pPr>
        <w:pStyle w:val="a3"/>
        <w:spacing w:before="240" w:beforeAutospacing="0" w:after="0" w:afterAutospacing="0"/>
        <w:jc w:val="center"/>
        <w:rPr>
          <w:sz w:val="20"/>
          <w:szCs w:val="20"/>
        </w:rPr>
      </w:pPr>
      <w:r>
        <w:rPr>
          <w:sz w:val="20"/>
          <w:szCs w:val="20"/>
        </w:rPr>
        <w:t>27</w:t>
      </w:r>
    </w:p>
    <w:p w:rsidR="00000000" w:rsidRDefault="00E35CFB">
      <w:pPr>
        <w:rPr>
          <w:rFonts w:eastAsia="Times New Roman"/>
        </w:rPr>
      </w:pPr>
      <w:r>
        <w:rPr>
          <w:rFonts w:eastAsia="Times New Roman"/>
        </w:rPr>
        <w:pict>
          <v:rect id="_x0000_i1053"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whether issuing the memorandum asserting the termination of MPP complied with administrative law</w:t>
      </w:r>
      <w:r>
        <w:rPr>
          <w:sz w:val="20"/>
          <w:szCs w:val="20"/>
        </w:rPr>
        <w:t>, although the Supreme Court found that the order was a proper agency action.</w:t>
      </w:r>
    </w:p>
    <w:p w:rsidR="00000000" w:rsidRDefault="00E35CFB">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increased $15.6 million, or 10.7%, from the second quarter of 2021 to</w:t>
      </w:r>
      <w:r>
        <w:rPr>
          <w:sz w:val="20"/>
          <w:szCs w:val="20"/>
        </w:rPr>
        <w:t xml:space="preserve"> the second quarter of 2022. State revenues increased $26.5 million, or 9.1%, from the six months ended June 30, 2021 to the comparable period in 2022.   State revenues increased in both periods primarily as a result of the new management contract with the</w:t>
      </w:r>
      <w:r>
        <w:rPr>
          <w:sz w:val="20"/>
          <w:szCs w:val="20"/>
        </w:rPr>
        <w:t xml:space="preserve"> state of Arizona at our 3,060-bed La Palma Correctional Center for up to 2,706 inmates, as the state continues to transfer inmate populations from public sector facilities into our La Palma facility.  We began receiving inmates from the state of Arizona i</w:t>
      </w:r>
      <w:r>
        <w:rPr>
          <w:sz w:val="20"/>
          <w:szCs w:val="20"/>
        </w:rPr>
        <w:t>n April 2022 under this new contract and expect the transfer process to be complete in the first quarter of 2023.  Before the new award, the La Palma facility supported the mission of ICE by caring for approximately 1,800 detainees.  As additional state in</w:t>
      </w:r>
      <w:r>
        <w:rPr>
          <w:sz w:val="20"/>
          <w:szCs w:val="20"/>
        </w:rPr>
        <w:t xml:space="preserve">mates are accepted at the facility, we are working closely with ICE to provide alternative capacity within the region in order to continue to support its needs.  State revenues also increased in both periods because of an </w:t>
      </w:r>
      <w:r>
        <w:rPr>
          <w:color w:val="000000"/>
          <w:spacing w:val="3"/>
          <w:sz w:val="20"/>
          <w:szCs w:val="20"/>
        </w:rPr>
        <w:t>amended contract with the state of</w:t>
      </w:r>
      <w:r>
        <w:rPr>
          <w:color w:val="000000"/>
          <w:spacing w:val="3"/>
          <w:sz w:val="20"/>
          <w:szCs w:val="20"/>
        </w:rPr>
        <w:t xml:space="preserve"> Montana to utilize all of the capacity at the Crossroads Correctional Center, including the space vacated by the USMS, as previously discussed herein.  In addition, state revenues increased in both periods as a result of higher state inmate populations at</w:t>
      </w:r>
      <w:r>
        <w:rPr>
          <w:color w:val="000000"/>
          <w:spacing w:val="3"/>
          <w:sz w:val="20"/>
          <w:szCs w:val="20"/>
        </w:rPr>
        <w:t xml:space="preserve"> other facilities, and from per diem increases under a number of our state contracts, as certain states have recognized the need to provide additional funding to address increases in the wages of our employees.</w:t>
      </w:r>
      <w:r>
        <w:rPr>
          <w:sz w:val="20"/>
          <w:szCs w:val="20"/>
        </w:rPr>
        <w:t xml:space="preserve"> The increase in state revenues was partially </w:t>
      </w:r>
      <w:r>
        <w:rPr>
          <w:sz w:val="20"/>
          <w:szCs w:val="20"/>
        </w:rPr>
        <w:t>offset by the effect of the new lease agreement between us and the state of New Mexico at our Northwest New Mexico Correctional Center effective November 1, 2021.  We previously operated the facility in our Safety segment under a contract with the state of</w:t>
      </w:r>
      <w:r>
        <w:rPr>
          <w:sz w:val="20"/>
          <w:szCs w:val="20"/>
        </w:rPr>
        <w:t xml:space="preserve"> New Mexico.  Excluding state inmate populations at the Northwest New Mexico facility, average daily state inmate populations increased from 26,802 during the second quarter of 2021 to 28,155 during the second quarter of 2022, and increased from 26,670 dur</w:t>
      </w:r>
      <w:r>
        <w:rPr>
          <w:sz w:val="20"/>
          <w:szCs w:val="20"/>
        </w:rPr>
        <w:t>ing the six months ended June 30, 2021 to 27,998 during the six months ended June 30, 2022, an increase of 5.1% and 5.0%, respectively.  </w:t>
      </w:r>
    </w:p>
    <w:p w:rsidR="00000000" w:rsidRDefault="00E35CFB">
      <w:pPr>
        <w:pStyle w:val="a3"/>
        <w:spacing w:before="240" w:beforeAutospacing="0" w:after="0" w:afterAutospacing="0"/>
        <w:jc w:val="both"/>
        <w:rPr>
          <w:sz w:val="20"/>
          <w:szCs w:val="20"/>
        </w:rPr>
      </w:pPr>
      <w:r>
        <w:rPr>
          <w:sz w:val="20"/>
          <w:szCs w:val="20"/>
        </w:rPr>
        <w:t>Local revenues from contracts at correctional, detention, and residential reentry facilities that we operate decreased</w:t>
      </w:r>
      <w:r>
        <w:rPr>
          <w:sz w:val="20"/>
          <w:szCs w:val="20"/>
        </w:rPr>
        <w:t xml:space="preserve"> $4.6 million, or 36.5%, from the second quarter of 2021 to the second quarter of 2022. Local revenues decreased $7.7 million, or 30.8%, from the six months ended June 30, 2021 to the six months ended June 30, 2022. The decrease in local revenue in both pe</w:t>
      </w:r>
      <w:r>
        <w:rPr>
          <w:sz w:val="20"/>
          <w:szCs w:val="20"/>
        </w:rPr>
        <w:t>riods is primarily a result of the contract termination at the 1,030-bed managed-only Marion County Jail on January 31, 2022.  This facility contributed to the reduction in local revenues of $5.0 million and $8.6 million during the three and six month peri</w:t>
      </w:r>
      <w:r>
        <w:rPr>
          <w:sz w:val="20"/>
          <w:szCs w:val="20"/>
        </w:rPr>
        <w:t xml:space="preserve">ods, respectively. </w:t>
      </w:r>
    </w:p>
    <w:p w:rsidR="00000000" w:rsidRDefault="00E35CFB">
      <w:pPr>
        <w:pStyle w:val="a3"/>
        <w:spacing w:before="240" w:beforeAutospacing="0" w:after="0" w:afterAutospacing="0"/>
        <w:jc w:val="both"/>
        <w:rPr>
          <w:sz w:val="20"/>
          <w:szCs w:val="20"/>
        </w:rPr>
      </w:pPr>
      <w:r>
        <w:rPr>
          <w:sz w:val="20"/>
          <w:szCs w:val="20"/>
        </w:rPr>
        <w:t>The $5.2 million, or 26.4%, decrease in lease revenue from the second quarter of 2021 to the second quarter of 2022, and the $11.9 million, or 29.0%, decrease in lease revenue from the six months ended June 30, 2021 to the comparable pe</w:t>
      </w:r>
      <w:r>
        <w:rPr>
          <w:sz w:val="20"/>
          <w:szCs w:val="20"/>
        </w:rPr>
        <w:t>riod in 2022, were both primarily a result of the sale of three actively leased properties during the second quarter of 2021, as further described hereinafter.  The decrease in lease revenue was partially offset by the lease revenue generated from the comm</w:t>
      </w:r>
      <w:r>
        <w:rPr>
          <w:sz w:val="20"/>
          <w:szCs w:val="20"/>
        </w:rPr>
        <w:t>encement of the lease of the 596-bed Northwest New Mexico Correctional Center to the state of New Mexico effective November 1, 2021, which was previously operated as a facility in our Safety segment but is now part of our Properties segment.  </w:t>
      </w:r>
    </w:p>
    <w:p w:rsidR="00000000" w:rsidRDefault="00E35CFB">
      <w:pPr>
        <w:pStyle w:val="a3"/>
        <w:spacing w:before="360" w:beforeAutospacing="0" w:after="0" w:afterAutospacing="0"/>
        <w:jc w:val="both"/>
        <w:rPr>
          <w:i/>
          <w:iCs/>
          <w:sz w:val="20"/>
          <w:szCs w:val="20"/>
        </w:rPr>
      </w:pPr>
      <w:r>
        <w:rPr>
          <w:i/>
          <w:iCs/>
          <w:sz w:val="20"/>
          <w:szCs w:val="20"/>
        </w:rPr>
        <w:t>Operating Ex</w:t>
      </w:r>
      <w:r>
        <w:rPr>
          <w:i/>
          <w:iCs/>
          <w:sz w:val="20"/>
          <w:szCs w:val="20"/>
        </w:rPr>
        <w:t>penses</w:t>
      </w:r>
    </w:p>
    <w:p w:rsidR="00000000" w:rsidRDefault="00E35CFB">
      <w:pPr>
        <w:pStyle w:val="a3"/>
        <w:spacing w:before="120" w:beforeAutospacing="0" w:after="0" w:afterAutospacing="0"/>
        <w:jc w:val="both"/>
        <w:rPr>
          <w:sz w:val="20"/>
          <w:szCs w:val="20"/>
        </w:rPr>
      </w:pPr>
      <w:r>
        <w:rPr>
          <w:sz w:val="20"/>
          <w:szCs w:val="20"/>
        </w:rPr>
        <w:t>Operating expenses totaled $349.0 million and $333.1 million for the three months ended June 30, 2022 and 2021, respectively, while operating expenses for the six months ended June 30, 2022 and 2021 totaled $693.6 million and $666.0 million, respect</w:t>
      </w:r>
      <w:r>
        <w:rPr>
          <w:sz w:val="20"/>
          <w:szCs w:val="20"/>
        </w:rPr>
        <w:t xml:space="preserve">ively. Operating expenses consist of those expenses incurred in the operation and management of correctional, detention, and residential reentry facilities, as well as those expenses incurred in the operations of TransCor and our electronic monitoring and </w:t>
      </w:r>
      <w:r>
        <w:rPr>
          <w:sz w:val="20"/>
          <w:szCs w:val="20"/>
        </w:rPr>
        <w:t>case management services.  Operating expenses also consist of those expenses incurred in the operation of facilities we lease to third-party operators.  </w:t>
      </w:r>
    </w:p>
    <w:p w:rsidR="00000000" w:rsidRDefault="00E35CFB">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w:t>
      </w:r>
      <w:r>
        <w:rPr>
          <w:sz w:val="20"/>
          <w:szCs w:val="20"/>
        </w:rPr>
        <w:t>agement of our correctional, detention, and residential reentry facilities, as well as those incurred in the operations of TransCor and our electronic monitoring and case management services, increased $18.2 million, or 5.6%, during the second quarter of 2</w:t>
      </w:r>
      <w:r>
        <w:rPr>
          <w:sz w:val="20"/>
          <w:szCs w:val="20"/>
        </w:rPr>
        <w:t>022 when compared with the same period in 2021. Expenses incurred by these segments increased $33.0 million, or 5.0%, during the six months ended June 30, 2022, when compared to the same period in 2021. There were several factors that contributed to the in</w:t>
      </w:r>
      <w:r>
        <w:rPr>
          <w:sz w:val="20"/>
          <w:szCs w:val="20"/>
        </w:rPr>
        <w:t>crease in operating expenses incurred in these segments.  Operating expenses increased in both periods primarily as a result of wage and employee benefits increases and related incremental expenses resulting from labor shortages and wage pressures, as furt</w:t>
      </w:r>
      <w:r>
        <w:rPr>
          <w:sz w:val="20"/>
          <w:szCs w:val="20"/>
        </w:rPr>
        <w:t>her described hereinafter. Additionally, operating expenses increased as a result of expenses incurred as we prepare for the aforementioned transition of inmate populations at our La Palma Correctional Center, as a result of a new contract with the state o</w:t>
      </w:r>
      <w:r>
        <w:rPr>
          <w:sz w:val="20"/>
          <w:szCs w:val="20"/>
        </w:rPr>
        <w:t>f Arizona. The increase in operating expenses was partially offset by the contract terminations at our 600-bed West Tennessee Detention Facility effective September 30, 2021, at our 1,033-bed Leavenworth Detention Center effective December 31, 2021, and at</w:t>
      </w:r>
      <w:r>
        <w:rPr>
          <w:sz w:val="20"/>
          <w:szCs w:val="20"/>
        </w:rPr>
        <w:t xml:space="preserve"> the 1,030-bed managed-only Marion County Jail effective January 31, 2022.  In addition, the increase in operating expenses was partially offset by the three-year lease agreement we entered into with the state of New Mexico at our 596-bed Northwest New Mex</w:t>
      </w:r>
      <w:r>
        <w:rPr>
          <w:sz w:val="20"/>
          <w:szCs w:val="20"/>
        </w:rPr>
        <w:t xml:space="preserve">ico Correctional Center effective November 1, 2021.  We previously operated the Northwest New Mexico facility in our Safety segment. </w:t>
      </w:r>
    </w:p>
    <w:p w:rsidR="00000000" w:rsidRDefault="00E35CFB">
      <w:pPr>
        <w:pStyle w:val="a3"/>
        <w:spacing w:before="240" w:beforeAutospacing="0" w:after="0" w:afterAutospacing="0"/>
        <w:jc w:val="center"/>
        <w:rPr>
          <w:sz w:val="20"/>
          <w:szCs w:val="20"/>
        </w:rPr>
      </w:pPr>
      <w:r>
        <w:rPr>
          <w:sz w:val="20"/>
          <w:szCs w:val="20"/>
        </w:rPr>
        <w:t>28</w:t>
      </w:r>
    </w:p>
    <w:p w:rsidR="00000000" w:rsidRDefault="00E35CFB">
      <w:pPr>
        <w:rPr>
          <w:rFonts w:eastAsia="Times New Roman"/>
        </w:rPr>
      </w:pPr>
      <w:r>
        <w:rPr>
          <w:rFonts w:eastAsia="Times New Roman"/>
        </w:rPr>
        <w:pict>
          <v:rect id="_x0000_i1054"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 xml:space="preserve">Total expenses per compensated man-day increased to $72.75 during the </w:t>
      </w:r>
      <w:r>
        <w:rPr>
          <w:sz w:val="20"/>
          <w:szCs w:val="20"/>
        </w:rPr>
        <w:t>three months ended June 30, 2022 from $65.40 during the three months ended June 30, 2021, and increased to $71.98 during the six months ended June 30, 2022 from $66.30 during the same period in the prior year.  Fixed expenses per compensated man-day increa</w:t>
      </w:r>
      <w:r>
        <w:rPr>
          <w:sz w:val="20"/>
          <w:szCs w:val="20"/>
        </w:rPr>
        <w:t>sed to $50.94 during the three months ended June 30, 2022 from $46.95 during the same period in the prior year, and increased to $50.87 during the six months ended June 30, 2022 from $48.28 during the same period in the prior year.  We have experienced lab</w:t>
      </w:r>
      <w:r>
        <w:rPr>
          <w:sz w:val="20"/>
          <w:szCs w:val="20"/>
        </w:rPr>
        <w:t>or shortages and wage pressures in many markets across the country, and have provided wage increases to remain competitive, including increases to most of our facility staff during the third quarters of both 2021 and 2020.  Recruiting has been particularly</w:t>
      </w:r>
      <w:r>
        <w:rPr>
          <w:sz w:val="20"/>
          <w:szCs w:val="20"/>
        </w:rPr>
        <w:t xml:space="preserve"> challenging during the pandemic due to the front-line nature of the services we provide, and the shortage of nursing staff across the country has intensified as a result of the COVID-19 pandemic, resulting in a significant increase in registry nursing exp</w:t>
      </w:r>
      <w:r>
        <w:rPr>
          <w:sz w:val="20"/>
          <w:szCs w:val="20"/>
        </w:rPr>
        <w:t>enses.  The challenges of recruiting and retaining staff, including nursing, has been and could continue to be exacerbated by actions taken or contemplated to be taken by government authorities intended to mitigate the spread of COVID-19 such as vaccine ma</w:t>
      </w:r>
      <w:r>
        <w:rPr>
          <w:sz w:val="20"/>
          <w:szCs w:val="20"/>
        </w:rPr>
        <w:t>ndates, health and safety directives or other requirements that apply to us and our facilities.</w:t>
      </w:r>
      <w:r>
        <w:t>  </w:t>
      </w:r>
      <w:r>
        <w:rPr>
          <w:sz w:val="20"/>
          <w:szCs w:val="20"/>
        </w:rPr>
        <w:t>Further, we have incurred, and expect to continue to incur, incremental expenses to help ensure sufficient staffing levels under unique and challenging working</w:t>
      </w:r>
      <w:r>
        <w:rPr>
          <w:sz w:val="20"/>
          <w:szCs w:val="20"/>
        </w:rPr>
        <w:t xml:space="preserve"> conditions.  Incremental expenses include, but may not be limited to, incentive payments to our front-line and field staff, temporary employee housing expenses, additional paid time off, off-cycle wage increases in certain markets to remain competitive, f</w:t>
      </w:r>
      <w:r>
        <w:rPr>
          <w:sz w:val="20"/>
          <w:szCs w:val="20"/>
        </w:rPr>
        <w:t>urther increases in registry nursing expenses, as well as expenses to procure personal protective equipment and other supplies.  </w:t>
      </w:r>
    </w:p>
    <w:p w:rsidR="00000000" w:rsidRDefault="00E35CFB">
      <w:pPr>
        <w:pStyle w:val="a3"/>
        <w:spacing w:before="240" w:beforeAutospacing="0" w:after="0" w:afterAutospacing="0"/>
        <w:jc w:val="both"/>
        <w:rPr>
          <w:sz w:val="20"/>
          <w:szCs w:val="20"/>
        </w:rPr>
      </w:pPr>
      <w:r>
        <w:rPr>
          <w:sz w:val="20"/>
          <w:szCs w:val="20"/>
        </w:rPr>
        <w:t>We continually monitor compensation levels very closely along with overall economic conditions and will adjust wage levels nec</w:t>
      </w:r>
      <w:r>
        <w:rPr>
          <w:sz w:val="20"/>
          <w:szCs w:val="20"/>
        </w:rPr>
        <w:t>essary to help ensure the long-term success of our business.  Further, we continually evaluate the structure of our employee benefits package and training programs to ensure we are better able to attract and retain our employees. Salaries and benefits repr</w:t>
      </w:r>
      <w:r>
        <w:rPr>
          <w:sz w:val="20"/>
          <w:szCs w:val="20"/>
        </w:rPr>
        <w:t>esent the most significant component of our operating expenses, representing approximately 59% and 60% of our total operating expenses during the six months ended June 30, 2022 and 2021, respectively.  As mentioned, recruiting and retaining staff has becom</w:t>
      </w:r>
      <w:r>
        <w:rPr>
          <w:sz w:val="20"/>
          <w:szCs w:val="20"/>
        </w:rPr>
        <w:t>e particularly challenging in the current employment market for us and for the corrections and detention industry as a whole. An inability to attract and retain sufficient personnel could prevent us from caring for additional residential populations for go</w:t>
      </w:r>
      <w:r>
        <w:rPr>
          <w:sz w:val="20"/>
          <w:szCs w:val="20"/>
        </w:rPr>
        <w:t>vernment agencies in need of additional capacity due to an increase in inmate populations or an inability to adequately staff their facilities. An inability to attract and retain sufficient personnel in our existing facilities could also cause our governme</w:t>
      </w:r>
      <w:r>
        <w:rPr>
          <w:sz w:val="20"/>
          <w:szCs w:val="20"/>
        </w:rPr>
        <w:t>nt partners to assess liquidated damages, reduce our residential populations, or in extreme circumstances, cancel our contracts. We have also been subjected to increasing staff vacancy deductions as a result of the labor shortages, which are reflected as r</w:t>
      </w:r>
      <w:r>
        <w:rPr>
          <w:sz w:val="20"/>
          <w:szCs w:val="20"/>
        </w:rPr>
        <w:t>eductions to other management revenue.  Estimating vacancy deduction amounts can be complex and subject to management judgment and estimations.  Some of our government partners have granted waivers for vacancy deductions in recognition of the unique and ch</w:t>
      </w:r>
      <w:r>
        <w:rPr>
          <w:sz w:val="20"/>
          <w:szCs w:val="20"/>
        </w:rPr>
        <w:t xml:space="preserve">allenging labor market, while others have discretionarily adjusted such deductions based on our extraordinary costs, efforts and incentive programs implemented to attract and retain staff. </w:t>
      </w:r>
    </w:p>
    <w:p w:rsidR="00000000" w:rsidRDefault="00E35CFB">
      <w:pPr>
        <w:pStyle w:val="a3"/>
        <w:spacing w:before="240" w:beforeAutospacing="0" w:after="0" w:afterAutospacing="0"/>
        <w:jc w:val="both"/>
        <w:rPr>
          <w:sz w:val="20"/>
          <w:szCs w:val="20"/>
        </w:rPr>
      </w:pPr>
      <w:r>
        <w:rPr>
          <w:sz w:val="20"/>
          <w:szCs w:val="20"/>
        </w:rPr>
        <w:t>Variable expenses per compensated man-day increased to $21.81</w:t>
      </w:r>
      <w:r>
        <w:rPr>
          <w:b/>
          <w:bCs/>
          <w:sz w:val="20"/>
          <w:szCs w:val="20"/>
        </w:rPr>
        <w:t xml:space="preserve"> </w:t>
      </w:r>
      <w:r>
        <w:rPr>
          <w:sz w:val="20"/>
          <w:szCs w:val="20"/>
        </w:rPr>
        <w:t>duri</w:t>
      </w:r>
      <w:r>
        <w:rPr>
          <w:sz w:val="20"/>
          <w:szCs w:val="20"/>
        </w:rPr>
        <w:t>ng the three months ended June 30, 2022, from $18.45 during the same period in the prior year, and increased to $21.11 during the six months ended June 30, 2022, from $18.02 during the same period in the prior year.  The increase in variable expenses per c</w:t>
      </w:r>
      <w:r>
        <w:rPr>
          <w:sz w:val="20"/>
          <w:szCs w:val="20"/>
        </w:rPr>
        <w:t>ompensated man-day in the three- and six-month periods was primarily a result of an increase in registry nursing expenses of $5.1 million, or $1.10 per compensated man-day, and $11.5 million, or $1.23 per compensated man-day, respectively, due to the short</w:t>
      </w:r>
      <w:r>
        <w:rPr>
          <w:sz w:val="20"/>
          <w:szCs w:val="20"/>
        </w:rPr>
        <w:t>age of nursing staff across the country.</w:t>
      </w:r>
      <w:r>
        <w:rPr>
          <w:b/>
          <w:bCs/>
          <w:sz w:val="20"/>
          <w:szCs w:val="20"/>
        </w:rPr>
        <w:t xml:space="preserve">   </w:t>
      </w:r>
      <w:r>
        <w:rPr>
          <w:sz w:val="20"/>
          <w:szCs w:val="20"/>
        </w:rPr>
        <w:t>In addition, we experienced an increase in travel expenses from the same periods in the prior year as we supported our staff who are temporarily deployed across the Company to help address the labor shortages we a</w:t>
      </w:r>
      <w:r>
        <w:rPr>
          <w:sz w:val="20"/>
          <w:szCs w:val="20"/>
        </w:rPr>
        <w:t>re experiencing in certain regions.</w:t>
      </w:r>
    </w:p>
    <w:p w:rsidR="00000000" w:rsidRDefault="00E35CFB">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decreased $2.3 million, or 40.4%, during the second quarter of 2022 when compared with the same period i</w:t>
      </w:r>
      <w:r>
        <w:rPr>
          <w:sz w:val="20"/>
          <w:szCs w:val="20"/>
        </w:rPr>
        <w:t>n 2021, and decreased $5.3 million, or 44.2%, during the six months ended June 30, 2022 when compared with the same period in 2021. The decrease in expenses in this segment in both periods was primarily a result of the sale of three actively leased propert</w:t>
      </w:r>
      <w:r>
        <w:rPr>
          <w:sz w:val="20"/>
          <w:szCs w:val="20"/>
        </w:rPr>
        <w:t>ies during the second quarter of 2021, as further described hereinafter.  The decrease in operating expenses was partially offset by the operating expenses incurred as a result of the commencement of the lease of the 596-bed Northwest New Mexico Correction</w:t>
      </w:r>
      <w:r>
        <w:rPr>
          <w:sz w:val="20"/>
          <w:szCs w:val="20"/>
        </w:rPr>
        <w:t xml:space="preserve">al Center effective November 1, 2021, also as further described hereinafter. </w:t>
      </w:r>
    </w:p>
    <w:p w:rsidR="00000000" w:rsidRDefault="00E35CFB">
      <w:pPr>
        <w:pStyle w:val="a3"/>
        <w:spacing w:before="240" w:beforeAutospacing="0" w:after="0" w:afterAutospacing="0"/>
        <w:jc w:val="center"/>
        <w:rPr>
          <w:sz w:val="20"/>
          <w:szCs w:val="20"/>
        </w:rPr>
      </w:pPr>
      <w:r>
        <w:rPr>
          <w:sz w:val="20"/>
          <w:szCs w:val="20"/>
        </w:rPr>
        <w:t>29</w:t>
      </w:r>
    </w:p>
    <w:p w:rsidR="00000000" w:rsidRDefault="00E35CFB">
      <w:pPr>
        <w:rPr>
          <w:rFonts w:eastAsia="Times New Roman"/>
        </w:rPr>
      </w:pPr>
      <w:r>
        <w:rPr>
          <w:rFonts w:eastAsia="Times New Roman"/>
        </w:rPr>
        <w:pict>
          <v:rect id="_x0000_i1055"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jc w:val="both"/>
        <w:rPr>
          <w:i/>
          <w:iCs/>
          <w:sz w:val="20"/>
          <w:szCs w:val="20"/>
        </w:rPr>
      </w:pPr>
      <w:r>
        <w:rPr>
          <w:i/>
          <w:iCs/>
          <w:sz w:val="20"/>
          <w:szCs w:val="20"/>
        </w:rPr>
        <w:t>Facility Management Contracts</w:t>
      </w:r>
    </w:p>
    <w:p w:rsidR="00000000" w:rsidRDefault="00E35CFB">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w:t>
      </w:r>
      <w:r>
        <w:rPr>
          <w:sz w:val="20"/>
          <w:szCs w:val="20"/>
        </w:rPr>
        <w:t>l entities in our CoreCivic Safety and CoreCivic Community segments for terms typically ranging from three to five years, with additional renewal periods at the option of the contracting governmental agency. Accordingly, a substantial portion of our facili</w:t>
      </w:r>
      <w:r>
        <w:rPr>
          <w:sz w:val="20"/>
          <w:szCs w:val="20"/>
        </w:rPr>
        <w:t>ty management contracts are scheduled to expire each year, notwithstanding contractual renewal options that a government agency may exercise. Although we generally expect these customers to exercise renewal options or negotiate new contracts with us, one o</w:t>
      </w:r>
      <w:r>
        <w:rPr>
          <w:sz w:val="20"/>
          <w:szCs w:val="20"/>
        </w:rPr>
        <w:t xml:space="preserve">r more of these contracts may not be renewed by the corresponding governmental agency.  Further, our government partners can generally terminate our management contracts for non-appropriation of funds or for convenience. </w:t>
      </w:r>
    </w:p>
    <w:p w:rsidR="00000000" w:rsidRDefault="00E35CFB">
      <w:pPr>
        <w:pStyle w:val="a3"/>
        <w:spacing w:before="240" w:beforeAutospacing="0" w:after="0" w:afterAutospacing="0"/>
        <w:jc w:val="both"/>
        <w:rPr>
          <w:sz w:val="20"/>
          <w:szCs w:val="20"/>
        </w:rPr>
      </w:pPr>
      <w:r>
        <w:rPr>
          <w:sz w:val="20"/>
          <w:szCs w:val="20"/>
        </w:rPr>
        <w:t>Additionally, the Private Prison E</w:t>
      </w:r>
      <w:r>
        <w:rPr>
          <w:sz w:val="20"/>
          <w:szCs w:val="20"/>
        </w:rPr>
        <w:t>O issued by President Biden on January 26, 2021, directs the Attorney General to not renew DOJ contracts with privately operated criminal detention facilities.  Two agencies of the DOJ, the BOP and the USMS utilize our services.  The BOP houses inmates who</w:t>
      </w:r>
      <w:r>
        <w:rPr>
          <w:sz w:val="20"/>
          <w:szCs w:val="20"/>
        </w:rPr>
        <w:t xml:space="preserve"> have been convicted, and the USMS is generally responsible for detainees who are awaiting trial.  The BOP has experienced a steady decline in inmate populations over the last eight years, a trend that has been accelerated by the COVID-19 pandemic.  We cur</w:t>
      </w:r>
      <w:r>
        <w:rPr>
          <w:sz w:val="20"/>
          <w:szCs w:val="20"/>
        </w:rPr>
        <w:t>rently have one prison contract with the BOP at our 1,978-bed McRae Correctional Facility, accounting for 2% ($40.6 million) of our total revenue for the twelve months ended December 31, 2021, which expires in November 2022.  During the three and six month</w:t>
      </w:r>
      <w:r>
        <w:rPr>
          <w:sz w:val="20"/>
          <w:szCs w:val="20"/>
        </w:rPr>
        <w:t>s ended June 30, 2022, we generated management revenue of $10.3 million and $20.7 million, respectively, from this contract with the BOP.  We do not expect this contract to be renewed upon expiration, and we have entered into an agreement to sell this faci</w:t>
      </w:r>
      <w:r>
        <w:rPr>
          <w:sz w:val="20"/>
          <w:szCs w:val="20"/>
        </w:rPr>
        <w:t>lity to the Georgia Building Authority and to lease the facility from the Georgia Building Authority through November 30, 2022, as further described hereinafter.  The Private Prison EO only applies to agencies that are part of the DOJ, which includes the B</w:t>
      </w:r>
      <w:r>
        <w:rPr>
          <w:sz w:val="20"/>
          <w:szCs w:val="20"/>
        </w:rPr>
        <w:t>OP and USMS.  ICE facilities are not covered by the Private Prison EO, as ICE is an agency of DHS, not the DOJ, although it is possible that the federal government could choose to take similar action on ICE facilities in the future.  </w:t>
      </w:r>
      <w:r>
        <w:rPr>
          <w:color w:val="000000"/>
          <w:spacing w:val="3"/>
          <w:sz w:val="20"/>
          <w:szCs w:val="20"/>
        </w:rPr>
        <w:t xml:space="preserve">For the twelve months </w:t>
      </w:r>
      <w:r>
        <w:rPr>
          <w:color w:val="000000"/>
          <w:spacing w:val="3"/>
          <w:sz w:val="20"/>
          <w:szCs w:val="20"/>
        </w:rPr>
        <w:t>ended December 31, 2021, USMS and ICE accounted for 23% ($433.6 million) and 30% ($552.2 million), respectively, of our total revenue.  </w:t>
      </w:r>
    </w:p>
    <w:p w:rsidR="00000000" w:rsidRDefault="00E35CFB">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w:t>
      </w:r>
      <w:r>
        <w:rPr>
          <w:sz w:val="20"/>
          <w:szCs w:val="20"/>
        </w:rPr>
        <w:t xml:space="preserve">t agencies, for its detainee population. </w:t>
      </w:r>
      <w:r>
        <w:rPr>
          <w:color w:val="000000"/>
          <w:spacing w:val="3"/>
          <w:sz w:val="20"/>
          <w:szCs w:val="20"/>
        </w:rPr>
        <w:t>The USMS has been advised by the Office of the Deputy Attorney General not to renew existing contracts, or enter into new contracts, for private detention facilities.  We currently have six detention facilities that</w:t>
      </w:r>
      <w:r>
        <w:rPr>
          <w:color w:val="000000"/>
          <w:spacing w:val="3"/>
          <w:sz w:val="20"/>
          <w:szCs w:val="20"/>
        </w:rPr>
        <w:t xml:space="preserve"> have separate contracts where the USMS is the primary customer within the facility that all expire at various times over the next several years, with the exception of two contracts that have indefinite terms. Non-renewal of these contracts, or the expansi</w:t>
      </w:r>
      <w:r>
        <w:rPr>
          <w:color w:val="000000"/>
          <w:spacing w:val="3"/>
          <w:sz w:val="20"/>
          <w:szCs w:val="20"/>
        </w:rPr>
        <w:t>on of the Private Prison EO to ICE, could have a material adverse effect on our business, financial condition, and results of operations if we are unable to replace the cash flows with new management contracts like we did at our Northeast Ohio and Crossroa</w:t>
      </w:r>
      <w:r>
        <w:rPr>
          <w:color w:val="000000"/>
          <w:spacing w:val="3"/>
          <w:sz w:val="20"/>
          <w:szCs w:val="20"/>
        </w:rPr>
        <w:t>ds facilities.  During the third quarter of 2022, we renewed one of these contracts that expired on June 30, 2022, a contract with a local government agency at our 2,672-bed Tallahatchie County Correctional Facility in Mississippi that allows the USMS to u</w:t>
      </w:r>
      <w:r>
        <w:rPr>
          <w:color w:val="000000"/>
          <w:spacing w:val="3"/>
          <w:sz w:val="20"/>
          <w:szCs w:val="20"/>
        </w:rPr>
        <w:t xml:space="preserve">tilize available capacity, through June 30, 2024.  This contract also has an indefinite number of two-year extension options.   </w:t>
      </w:r>
    </w:p>
    <w:p w:rsidR="00000000" w:rsidRDefault="00E35CFB">
      <w:pPr>
        <w:pStyle w:val="a3"/>
        <w:spacing w:before="240" w:beforeAutospacing="0" w:after="0" w:afterAutospacing="0"/>
        <w:jc w:val="both"/>
        <w:rPr>
          <w:sz w:val="20"/>
          <w:szCs w:val="20"/>
        </w:rPr>
      </w:pPr>
      <w:r>
        <w:rPr>
          <w:sz w:val="20"/>
          <w:szCs w:val="20"/>
        </w:rPr>
        <w:t>Based on information available as of the date of this Quarterly Report, other than the previously mentioned contract with the B</w:t>
      </w:r>
      <w:r>
        <w:rPr>
          <w:sz w:val="20"/>
          <w:szCs w:val="20"/>
        </w:rPr>
        <w:t>OP at our McRae facility, we believe we will renew all other contracts with our government partners that have expired or are scheduled to expire within the next twelve months that could have a material adverse impact on our financial statements.  We believ</w:t>
      </w:r>
      <w:r>
        <w:rPr>
          <w:sz w:val="20"/>
          <w:szCs w:val="20"/>
        </w:rPr>
        <w:t>e our renewal rate on existing contracts remains high due to a variety of reasons including, but not limited to, the constrained supply of available beds within the U.S. correctional system, our ownership of the majority of the beds we operate, and the cos</w:t>
      </w:r>
      <w:r>
        <w:rPr>
          <w:sz w:val="20"/>
          <w:szCs w:val="20"/>
        </w:rPr>
        <w:t>t effectiveness of the services we provide.  However, we cannot assure we will continue to achieve such renewal rates in the future.  </w:t>
      </w:r>
    </w:p>
    <w:p w:rsidR="00000000" w:rsidRDefault="00E35CFB">
      <w:pPr>
        <w:pStyle w:val="a3"/>
        <w:spacing w:before="360" w:beforeAutospacing="0" w:after="0" w:afterAutospacing="0"/>
        <w:jc w:val="both"/>
        <w:rPr>
          <w:i/>
          <w:iCs/>
          <w:sz w:val="20"/>
          <w:szCs w:val="20"/>
        </w:rPr>
      </w:pPr>
      <w:r>
        <w:rPr>
          <w:i/>
          <w:iCs/>
          <w:sz w:val="20"/>
          <w:szCs w:val="20"/>
        </w:rPr>
        <w:t xml:space="preserve">CoreCivic Safety </w:t>
      </w:r>
    </w:p>
    <w:p w:rsidR="00000000" w:rsidRDefault="00E35CFB">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w:t>
      </w:r>
      <w:r>
        <w:rPr>
          <w:sz w:val="20"/>
          <w:szCs w:val="20"/>
        </w:rPr>
        <w:t>erated during each period.  Total revenue generated by CoreCivic Safety decreased $3.5 million, or 0.8%, from $419.9 million during the three months ended June 30, 2021 to $416.4 million during the three months ended June 30, 2022, and increased $1.0 milli</w:t>
      </w:r>
      <w:r>
        <w:rPr>
          <w:sz w:val="20"/>
          <w:szCs w:val="20"/>
        </w:rPr>
        <w:t>on, or 0.1%, from $829.6 million during the six months ended June 30, 2021 to $830.6 million during the six months ended June 30, 2022.  CoreCivic Safety's facility net operating income decreased $20.5 million, or 18.2%, from $112.6 million during the thre</w:t>
      </w:r>
      <w:r>
        <w:rPr>
          <w:sz w:val="20"/>
          <w:szCs w:val="20"/>
        </w:rPr>
        <w:t>e months ended June 30, 2021 to $92.1 million during the three months ended June 30, 2022, and decreased $31.6 million, or 14.6%, from $216.9 million during the six months ended June 30, 2021 to $185.3 million during the six months ended June 30, 2022.  Du</w:t>
      </w:r>
      <w:r>
        <w:rPr>
          <w:sz w:val="20"/>
          <w:szCs w:val="20"/>
        </w:rPr>
        <w:t xml:space="preserve">ring the three and six months ended June 30, 2022, CoreCivic Safety generated 83.8% and 84.0% of our total segment net operating income, compared with 84.2% and 84.1% during the three and six months ended June 30, 2021. </w:t>
      </w:r>
    </w:p>
    <w:p w:rsidR="00000000" w:rsidRDefault="00E35CFB">
      <w:pPr>
        <w:pStyle w:val="a3"/>
        <w:spacing w:before="240" w:beforeAutospacing="0" w:after="0" w:afterAutospacing="0"/>
        <w:jc w:val="center"/>
        <w:rPr>
          <w:sz w:val="20"/>
          <w:szCs w:val="20"/>
        </w:rPr>
      </w:pPr>
      <w:r>
        <w:rPr>
          <w:sz w:val="20"/>
          <w:szCs w:val="20"/>
        </w:rPr>
        <w:t>30</w:t>
      </w:r>
    </w:p>
    <w:p w:rsidR="00000000" w:rsidRDefault="00E35CFB">
      <w:pPr>
        <w:rPr>
          <w:rFonts w:eastAsia="Times New Roman"/>
        </w:rPr>
      </w:pPr>
      <w:r>
        <w:rPr>
          <w:rFonts w:eastAsia="Times New Roman"/>
        </w:rPr>
        <w:pict>
          <v:rect id="_x0000_i1056"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placed into service that we own and manage and for the facilities we manage but do not own, inclusive of the transpor</w:t>
      </w:r>
      <w:r>
        <w:rPr>
          <w:sz w:val="20"/>
          <w:szCs w:val="20"/>
        </w:rPr>
        <w:t>tation services provided by TransCor:</w:t>
      </w:r>
    </w:p>
    <w:p w:rsidR="00000000" w:rsidRDefault="00E35CFB">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01"/>
        <w:gridCol w:w="65"/>
        <w:gridCol w:w="115"/>
        <w:gridCol w:w="565"/>
        <w:gridCol w:w="215"/>
        <w:gridCol w:w="65"/>
        <w:gridCol w:w="115"/>
        <w:gridCol w:w="565"/>
        <w:gridCol w:w="182"/>
        <w:gridCol w:w="65"/>
        <w:gridCol w:w="115"/>
        <w:gridCol w:w="565"/>
        <w:gridCol w:w="215"/>
        <w:gridCol w:w="65"/>
        <w:gridCol w:w="115"/>
        <w:gridCol w:w="565"/>
        <w:gridCol w:w="182"/>
      </w:tblGrid>
      <w:tr w:rsidR="00000000">
        <w:trPr>
          <w:divId w:val="1614552898"/>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614552898"/>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CoreCivic Safety Facilities: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Revenue per compensated man-day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95.31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90.88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94.34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91.06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expenses per compensated man-day: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Fixed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51.80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47.49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51.60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Variable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22.43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19.02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21.69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18.54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Total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74.23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66.51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73.29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67.25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income per compensated man-day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21.08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24.37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23.81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margin</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22.3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occupancy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70.2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72.5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71.0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614552898"/>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available beds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68,397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68,553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614552898"/>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population</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48,004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50,772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48,644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50,336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240" w:beforeAutospacing="0" w:after="0" w:afterAutospacing="0"/>
        <w:jc w:val="both"/>
        <w:rPr>
          <w:color w:val="000000"/>
          <w:spacing w:val="3"/>
          <w:sz w:val="20"/>
          <w:szCs w:val="20"/>
        </w:rPr>
      </w:pPr>
      <w:r>
        <w:rPr>
          <w:color w:val="000000"/>
          <w:spacing w:val="3"/>
          <w:sz w:val="20"/>
          <w:szCs w:val="20"/>
        </w:rPr>
        <w:t>The Private Prison EO could have a negative impact on our future results of operations and cash flows, to the extent we are unable to replace the cash flows with new management contracts like we did at our Northeast Ohio and Crossroads facilities, as previ</w:t>
      </w:r>
      <w:r>
        <w:rPr>
          <w:color w:val="000000"/>
          <w:spacing w:val="3"/>
          <w:sz w:val="20"/>
          <w:szCs w:val="20"/>
        </w:rPr>
        <w:t>ously described herein.  We had direct contracts with the USMS to care for detainees at our 600-bed West Tennessee Detention Facility that expired on September 30, 2021 and was not renewed and at our 1,033-bed Leavenworth Detention Center that expired on D</w:t>
      </w:r>
      <w:r>
        <w:rPr>
          <w:color w:val="000000"/>
          <w:spacing w:val="3"/>
          <w:sz w:val="20"/>
          <w:szCs w:val="20"/>
        </w:rPr>
        <w:t>ecember 31, 2021 and was not renewed. We are actively marketing the West Tennessee and Leavenworth facilities to other government agencies, and in August 2021, we submitted a formal response to a government agency's request for proposal to utilize the West</w:t>
      </w:r>
      <w:r>
        <w:rPr>
          <w:color w:val="000000"/>
          <w:spacing w:val="3"/>
          <w:sz w:val="20"/>
          <w:szCs w:val="20"/>
        </w:rPr>
        <w:t xml:space="preserve"> Tennessee facility.  However, we can provide no assurance that we will be able to reach an agreement for the utilization of the West Tennessee and Leavenworth facilities. During the three and six months ended June 30, 2021, the contract with the USMS at o</w:t>
      </w:r>
      <w:r>
        <w:rPr>
          <w:color w:val="000000"/>
          <w:spacing w:val="3"/>
          <w:sz w:val="20"/>
          <w:szCs w:val="20"/>
        </w:rPr>
        <w:t>ur West Tennessee facility generated management revenue of $4.9 million and $10.2 million, respectively.  During the three and six months ended June 30, 2021, the contract with the USMS at our Leavenworth facility generated management revenue of $9.8 milli</w:t>
      </w:r>
      <w:r>
        <w:rPr>
          <w:color w:val="000000"/>
          <w:spacing w:val="3"/>
          <w:sz w:val="20"/>
          <w:szCs w:val="20"/>
        </w:rPr>
        <w:t>on and $19.5 million, respectively. We idled both the West Tennessee and Leavenworth facilities upon expiration of the contracts with the USMS.  However, we temporarily retained a certain staffing level at both facilities during the first three months of 2</w:t>
      </w:r>
      <w:r>
        <w:rPr>
          <w:color w:val="000000"/>
          <w:spacing w:val="3"/>
          <w:sz w:val="20"/>
          <w:szCs w:val="20"/>
        </w:rPr>
        <w:t xml:space="preserve">022 in the event that we were able to enter into new contracts with government agencies promptly following the contract expirations and to provide transportation services at the Leavenworth facility, which contributed to the increase in operating expenses </w:t>
      </w:r>
      <w:r>
        <w:rPr>
          <w:color w:val="000000"/>
          <w:spacing w:val="3"/>
          <w:sz w:val="20"/>
          <w:szCs w:val="20"/>
        </w:rPr>
        <w:t>per man-day in our Safety segment during the six months ended June 30, 2022.  During the three and six months ended June 30, 2022, these two facilities experienced facility net operating losses aggregating $0.7 million and $3.6 million, respectively, resul</w:t>
      </w:r>
      <w:r>
        <w:rPr>
          <w:color w:val="000000"/>
          <w:spacing w:val="3"/>
          <w:sz w:val="20"/>
          <w:szCs w:val="20"/>
        </w:rPr>
        <w:t>ting in a total reduction to facility net operating income of $3.5 million and $9.0 million, respectively, at these two facilities as compared to the same periods in 2021.</w:t>
      </w:r>
    </w:p>
    <w:p w:rsidR="00000000" w:rsidRDefault="00E35CFB">
      <w:pPr>
        <w:pStyle w:val="a3"/>
        <w:spacing w:before="240" w:beforeAutospacing="0" w:after="0" w:afterAutospacing="0"/>
        <w:jc w:val="both"/>
        <w:rPr>
          <w:sz w:val="20"/>
          <w:szCs w:val="20"/>
        </w:rPr>
      </w:pPr>
      <w:r>
        <w:rPr>
          <w:sz w:val="20"/>
          <w:szCs w:val="20"/>
        </w:rPr>
        <w:t>As previously described herein, we also have one prison contract with the BOP at our</w:t>
      </w:r>
      <w:r>
        <w:rPr>
          <w:sz w:val="20"/>
          <w:szCs w:val="20"/>
        </w:rPr>
        <w:t xml:space="preserve"> 1,978-bed McRae Correctional Facility, which expires in November 2022 that we do not expect to be renewed.  During the three and six months ended June 30, 2022, this facility generated facility net operating income of $2.4 million and $4.7 million, respec</w:t>
      </w:r>
      <w:r>
        <w:rPr>
          <w:sz w:val="20"/>
          <w:szCs w:val="20"/>
        </w:rPr>
        <w:t>tively.  As further described hereinafter, we have entered into an agreement to sell this facility to the Georgia Building Authority, and to lease the McRae Correctional Facility from the Georgia Building Authority through November 30, 2022.  </w:t>
      </w:r>
    </w:p>
    <w:p w:rsidR="00000000" w:rsidRDefault="00E35CFB">
      <w:pPr>
        <w:pStyle w:val="a3"/>
        <w:spacing w:before="240" w:beforeAutospacing="0" w:after="0" w:afterAutospacing="0"/>
        <w:jc w:val="both"/>
        <w:rPr>
          <w:sz w:val="20"/>
          <w:szCs w:val="20"/>
        </w:rPr>
      </w:pPr>
      <w:r>
        <w:rPr>
          <w:sz w:val="20"/>
          <w:szCs w:val="20"/>
        </w:rPr>
        <w:t>Our managed-</w:t>
      </w:r>
      <w:r>
        <w:rPr>
          <w:sz w:val="20"/>
          <w:szCs w:val="20"/>
        </w:rPr>
        <w:t>only contract for the 1,030-bed Marion County Jail in Indianapolis, Indiana terminated and operations transitioned to Marion County effective January 31, 2022.  Marion County constructed a replacement facility that became fully operational in January 2022.</w:t>
      </w:r>
      <w:r>
        <w:rPr>
          <w:sz w:val="20"/>
          <w:szCs w:val="20"/>
        </w:rPr>
        <w:t>  The County intends to redevelop the property where the Marion County Jail was located, and we received notice in the second quarter of 2021 that the County intended to terminate the contract effective December 31, 2021.  The contract was subsequently ame</w:t>
      </w:r>
      <w:r>
        <w:rPr>
          <w:sz w:val="20"/>
          <w:szCs w:val="20"/>
        </w:rPr>
        <w:t>nded and extended through January 31, 2022 to allow the County more time to prepare for the transition.  During the three and six months ended June 30, 2021, this facility generated facility net operating income of $1.0 million and $2.0 million, respective</w:t>
      </w:r>
      <w:r>
        <w:rPr>
          <w:sz w:val="20"/>
          <w:szCs w:val="20"/>
        </w:rPr>
        <w:t>ly, compared to a facility net operating loss of $0.1 million during the time the facility was active in 2022.</w:t>
      </w:r>
    </w:p>
    <w:p w:rsidR="00000000" w:rsidRDefault="00E35CFB">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w:t>
      </w:r>
      <w:r>
        <w:rPr>
          <w:sz w:val="20"/>
          <w:szCs w:val="20"/>
        </w:rPr>
        <w:t xml:space="preserve"> Center.  We previously operated the Northwest New Mexico facility in our Safety segment under a contract with the state of New Mexico. We transitioned facility operations to the New Mexico Corrections Department upon commencement of the new lease agreemen</w:t>
      </w:r>
      <w:r>
        <w:rPr>
          <w:sz w:val="20"/>
          <w:szCs w:val="20"/>
        </w:rPr>
        <w:t xml:space="preserve">t on November 1, 2021.  During the time the facility operated in our Safety segment during 2021, the Northwest </w:t>
      </w:r>
    </w:p>
    <w:p w:rsidR="00000000" w:rsidRDefault="00E35CFB">
      <w:pPr>
        <w:pStyle w:val="a3"/>
        <w:spacing w:before="240" w:beforeAutospacing="0" w:after="0" w:afterAutospacing="0"/>
        <w:jc w:val="center"/>
        <w:rPr>
          <w:sz w:val="20"/>
          <w:szCs w:val="20"/>
        </w:rPr>
      </w:pPr>
      <w:r>
        <w:rPr>
          <w:sz w:val="20"/>
          <w:szCs w:val="20"/>
        </w:rPr>
        <w:t>31</w:t>
      </w:r>
    </w:p>
    <w:p w:rsidR="00000000" w:rsidRDefault="00E35CFB">
      <w:pPr>
        <w:rPr>
          <w:rFonts w:eastAsia="Times New Roman"/>
        </w:rPr>
      </w:pPr>
      <w:r>
        <w:rPr>
          <w:rFonts w:eastAsia="Times New Roman"/>
        </w:rPr>
        <w:pict>
          <v:rect id="_x0000_i1057"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New Mexico facility generated revenue of $9.2 million, including revenue of $2.4 million and $5.3 mill</w:t>
      </w:r>
      <w:r>
        <w:rPr>
          <w:sz w:val="20"/>
          <w:szCs w:val="20"/>
        </w:rPr>
        <w:t>ion during the three and six months ended June 30, 2021, respectively.  During the time the facility operated in our Safety segment during 2021, the Northwest New Mexico facility incurred a facility net operating loss of $2.3 million, including a net opera</w:t>
      </w:r>
      <w:r>
        <w:rPr>
          <w:sz w:val="20"/>
          <w:szCs w:val="20"/>
        </w:rPr>
        <w:t>ting loss of $0.8 million and $1.3 million during the three and six months ended June 30, 2021, respectively. During the three and six months ended June 30, 2022, this facility generated lease revenue of $0.8 million and $1.6 million, respectively, and fac</w:t>
      </w:r>
      <w:r>
        <w:rPr>
          <w:sz w:val="20"/>
          <w:szCs w:val="20"/>
        </w:rPr>
        <w:t>ility net operating income of $0.3 million and $0.7 million, respectively.</w:t>
      </w:r>
    </w:p>
    <w:p w:rsidR="00000000" w:rsidRDefault="00E35CFB">
      <w:pPr>
        <w:pStyle w:val="a3"/>
        <w:spacing w:before="240" w:beforeAutospacing="0" w:after="0" w:afterAutospacing="0"/>
        <w:jc w:val="both"/>
        <w:rPr>
          <w:sz w:val="20"/>
          <w:szCs w:val="20"/>
        </w:rPr>
      </w:pPr>
      <w:r>
        <w:rPr>
          <w:sz w:val="20"/>
          <w:szCs w:val="20"/>
        </w:rPr>
        <w:t>In December 2021, we were awarded a new management contract from the state of Arizona for up to 2,706 inmates at our 3,060-bed La Palma Correctional Center in Arizona. The State wil</w:t>
      </w:r>
      <w:r>
        <w:rPr>
          <w:sz w:val="20"/>
          <w:szCs w:val="20"/>
        </w:rPr>
        <w:t>l close an outdated public-sector prison and transfer inmate populations to our La Palma facility.  The transfer began in April 2022, and is expected to be completed in the first quarter of 2023.  Before the new award, the La Palma facility supported the m</w:t>
      </w:r>
      <w:r>
        <w:rPr>
          <w:sz w:val="20"/>
          <w:szCs w:val="20"/>
        </w:rPr>
        <w:t>ission of ICE by caring for approximately 1,800 detainees.  As additional state inmates are accepted at the facility, we are working closely with ICE to provide alternative capacity within the region in order to continue to support its needs.  </w:t>
      </w:r>
      <w:r>
        <w:rPr>
          <w:color w:val="000000"/>
          <w:sz w:val="20"/>
          <w:szCs w:val="20"/>
        </w:rPr>
        <w:t>We expect th</w:t>
      </w:r>
      <w:r>
        <w:rPr>
          <w:color w:val="000000"/>
          <w:sz w:val="20"/>
          <w:szCs w:val="20"/>
        </w:rPr>
        <w:t>e transition of population from ICE detainees to inmates from the state of Arizona will result in the disruption of earnings and cash flows until the occupancy of inmates from the state of Arizona reaches stabilization.  </w:t>
      </w:r>
      <w:r>
        <w:rPr>
          <w:sz w:val="20"/>
          <w:szCs w:val="20"/>
        </w:rPr>
        <w:t>Upon full utilization of the new co</w:t>
      </w:r>
      <w:r>
        <w:rPr>
          <w:sz w:val="20"/>
          <w:szCs w:val="20"/>
        </w:rPr>
        <w:t>ntract, we expect to generate approximately $75.0 million to $85.0 million in annualized revenue at the La Palma facility. However, because of the preparation to receive the Arizona inmates, including a reduction in the average daily population of ICE deta</w:t>
      </w:r>
      <w:r>
        <w:rPr>
          <w:sz w:val="20"/>
          <w:szCs w:val="20"/>
        </w:rPr>
        <w:t>inees at the facility, facility net operating income decreased $10.8 million and $13.2 million during the three and six months ended June 30 2022, respectively, compared with the same periods in 2021.</w:t>
      </w:r>
    </w:p>
    <w:p w:rsidR="00000000" w:rsidRDefault="00E35CFB">
      <w:pPr>
        <w:pStyle w:val="a3"/>
        <w:spacing w:before="240" w:beforeAutospacing="0" w:after="0" w:afterAutospacing="0"/>
        <w:jc w:val="both"/>
        <w:rPr>
          <w:color w:val="000000"/>
          <w:sz w:val="20"/>
          <w:szCs w:val="20"/>
        </w:rPr>
      </w:pPr>
      <w:r>
        <w:rPr>
          <w:color w:val="000000"/>
          <w:sz w:val="20"/>
          <w:szCs w:val="20"/>
        </w:rPr>
        <w:t xml:space="preserve">Operating margins in the CoreCivic Safety segment were </w:t>
      </w:r>
      <w:r>
        <w:rPr>
          <w:color w:val="000000"/>
          <w:sz w:val="20"/>
          <w:szCs w:val="20"/>
        </w:rPr>
        <w:t>also negatively impacted during the first six months of 2022 by increased operating expenses per man-day, which was driven primarily by incremental staffing levels, higher wage rates, and increased registry nursing and other related expenses. As previously</w:t>
      </w:r>
      <w:r>
        <w:rPr>
          <w:color w:val="000000"/>
          <w:sz w:val="20"/>
          <w:szCs w:val="20"/>
        </w:rPr>
        <w:t xml:space="preserve"> described herein, we have experienced labor shortages and wage pressures in many markets across the country, and have provided wage increases to remain competitive, including increases to most of our facility staff during the third quarters of both 2021 a</w:t>
      </w:r>
      <w:r>
        <w:rPr>
          <w:color w:val="000000"/>
          <w:sz w:val="20"/>
          <w:szCs w:val="20"/>
        </w:rPr>
        <w:t>nd 2020. Further, we have incurred, and expect to continue to incur, incremental expenses to help ensure sufficient staffing levels under unique and challenging working conditions, including but not limited to, shift incentive bonuses, recruiting and reten</w:t>
      </w:r>
      <w:r>
        <w:rPr>
          <w:color w:val="000000"/>
          <w:sz w:val="20"/>
          <w:szCs w:val="20"/>
        </w:rPr>
        <w:t>tion bonuses, temporary employee housing expenses, off-cycle wage increases, as well as relocation incentives.  During 2021, we operated at reduced staffing levels due to COVID-19 health and safety measures, including occupancy restrictions and labor short</w:t>
      </w:r>
      <w:r>
        <w:rPr>
          <w:color w:val="000000"/>
          <w:sz w:val="20"/>
          <w:szCs w:val="20"/>
        </w:rPr>
        <w:t>ages in many of our markets. Further, in an effort to mitigate the spread of COVID-19 and at the direction of our government partners, we significantly reduced the level of movement within our facilities, enabling us to more efficiently manage our staffing</w:t>
      </w:r>
      <w:r>
        <w:rPr>
          <w:color w:val="000000"/>
          <w:sz w:val="20"/>
          <w:szCs w:val="20"/>
        </w:rPr>
        <w:t>.  We have worked with our government partners and followed national and local health standards as we reinstated normal movement within our facilities.  The negative impact on operating margins resulting from these factors was partially offset by a 4.9% an</w:t>
      </w:r>
      <w:r>
        <w:rPr>
          <w:color w:val="000000"/>
          <w:sz w:val="20"/>
          <w:szCs w:val="20"/>
        </w:rPr>
        <w:t>d 3.6% increase in average revenue per compensated man-day during the three and six months ended June 30, 2022, respectively, when compared to the same periods in the prior year.  The increase in average revenue per compensated man-day in both periods resu</w:t>
      </w:r>
      <w:r>
        <w:rPr>
          <w:color w:val="000000"/>
          <w:sz w:val="20"/>
          <w:szCs w:val="20"/>
        </w:rPr>
        <w:t>lted from the effect of per diem increases at several of our facilities, as we have received per diem increases resulting from additional funding to address increases in the wages of our employees.  We also expect to receive additional per diem increases d</w:t>
      </w:r>
      <w:r>
        <w:rPr>
          <w:color w:val="000000"/>
          <w:sz w:val="20"/>
          <w:szCs w:val="20"/>
        </w:rPr>
        <w:t>uring the second half of 2022 resulting from inflationary increases to which we are entitled under the terms of certain of our management contracts.</w:t>
      </w:r>
    </w:p>
    <w:p w:rsidR="00000000" w:rsidRDefault="00E35CFB">
      <w:pPr>
        <w:pStyle w:val="a3"/>
        <w:spacing w:before="240" w:beforeAutospacing="0" w:after="0" w:afterAutospacing="0"/>
        <w:jc w:val="both"/>
        <w:rPr>
          <w:sz w:val="20"/>
          <w:szCs w:val="20"/>
        </w:rPr>
      </w:pPr>
      <w:r>
        <w:rPr>
          <w:sz w:val="20"/>
          <w:szCs w:val="20"/>
        </w:rPr>
        <w:t>California Assembly Bill 32, or AB32, became effective January 1, 2020.  AB32 generally prohibits new contr</w:t>
      </w:r>
      <w:r>
        <w:rPr>
          <w:sz w:val="20"/>
          <w:szCs w:val="20"/>
        </w:rPr>
        <w:t>acts and renewals of existing contracts between private, for-profit entities and government agencies for the operation of detention facilities within the state of California, and prohibits the utilization of detention centers operated by private, for-profi</w:t>
      </w:r>
      <w:r>
        <w:rPr>
          <w:sz w:val="20"/>
          <w:szCs w:val="20"/>
        </w:rPr>
        <w:t>t entities by the state of California effective January 1, 2028.  AB32 does not apply to facilities leased from private, for-profit entities, such as our California City Correctional Center. The U.S. Government and The GEO Group, Inc. both filed lawsuits a</w:t>
      </w:r>
      <w:r>
        <w:rPr>
          <w:sz w:val="20"/>
          <w:szCs w:val="20"/>
        </w:rPr>
        <w:t>gainst the state of California challenging the enforceability of AB32 under applicable law.  On October 8, 2020, a federal judge allowed AB32 to block future BOP and ICE contracts and renewals, while determining that AB32 could not block future USMS contra</w:t>
      </w:r>
      <w:r>
        <w:rPr>
          <w:sz w:val="20"/>
          <w:szCs w:val="20"/>
        </w:rPr>
        <w:t>cts and renewals.  The federal judge also acknowledged that the State has agreed it will not use AB32 to block federal, state, or local residential reentry center contracts. Both the U.S. Government and The GEO Group, Inc. appealed the federal judge's ruli</w:t>
      </w:r>
      <w:r>
        <w:rPr>
          <w:sz w:val="20"/>
          <w:szCs w:val="20"/>
        </w:rPr>
        <w:t>ng to the Ninth Circuit Court of Appeals, or the Ninth Circuit.  On October 3, 2021, the Ninth Circuit reversed the decision, finding AB32 impermissibly interferes with the federal government’s operation of immigration detention.  California appealed the N</w:t>
      </w:r>
      <w:r>
        <w:rPr>
          <w:sz w:val="20"/>
          <w:szCs w:val="20"/>
        </w:rPr>
        <w:t>inth Circuit decision.  On April 26, 2022, the Ninth Circuit agreed to rehear the appeal en banc. Oral argument was held on June 21, 2022 and a decision is pending. If the Ninth Circuit upholds AB32 and AB32 is implemented so as to prohibit ICE</w:t>
      </w:r>
      <w:r>
        <w:rPr>
          <w:sz w:val="20"/>
          <w:szCs w:val="20"/>
        </w:rPr>
        <w:noBreakHyphen/>
        <w:t xml:space="preserve">contracted </w:t>
      </w:r>
      <w:r>
        <w:rPr>
          <w:sz w:val="20"/>
          <w:szCs w:val="20"/>
        </w:rPr>
        <w:t>private detention facilities, the federal government could be prohibited from renewing its contract for us to operate our 1,994-bed Otay Mesa Detention Center, which is currently scheduled to expire in December 2024.  A potential non-renewal of our contrac</w:t>
      </w:r>
      <w:r>
        <w:rPr>
          <w:sz w:val="20"/>
          <w:szCs w:val="20"/>
        </w:rPr>
        <w:t>t to operate the Otay Mesa Detention Center could have a significant impact on our results of operations and cash flows at the time of non-renewal.</w:t>
      </w:r>
    </w:p>
    <w:p w:rsidR="00000000" w:rsidRDefault="00E35CFB">
      <w:pPr>
        <w:pStyle w:val="a3"/>
        <w:spacing w:before="240" w:beforeAutospacing="0" w:after="0" w:afterAutospacing="0"/>
        <w:jc w:val="center"/>
        <w:rPr>
          <w:sz w:val="20"/>
          <w:szCs w:val="20"/>
        </w:rPr>
      </w:pPr>
      <w:r>
        <w:rPr>
          <w:sz w:val="20"/>
          <w:szCs w:val="20"/>
        </w:rPr>
        <w:t>32</w:t>
      </w:r>
    </w:p>
    <w:p w:rsidR="00000000" w:rsidRDefault="00E35CFB">
      <w:pPr>
        <w:rPr>
          <w:rFonts w:eastAsia="Times New Roman"/>
        </w:rPr>
      </w:pPr>
      <w:r>
        <w:rPr>
          <w:rFonts w:eastAsia="Times New Roman"/>
        </w:rPr>
        <w:pict>
          <v:rect id="_x0000_i1058"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jc w:val="both"/>
        <w:rPr>
          <w:i/>
          <w:iCs/>
          <w:sz w:val="20"/>
          <w:szCs w:val="20"/>
        </w:rPr>
      </w:pPr>
      <w:r>
        <w:rPr>
          <w:i/>
          <w:iCs/>
          <w:sz w:val="20"/>
          <w:szCs w:val="20"/>
        </w:rPr>
        <w:t xml:space="preserve">CoreCivic Community </w:t>
      </w:r>
    </w:p>
    <w:p w:rsidR="00000000" w:rsidRDefault="00E35CFB">
      <w:pPr>
        <w:pStyle w:val="a3"/>
        <w:spacing w:before="120" w:beforeAutospacing="0" w:after="0" w:afterAutospacing="0"/>
        <w:jc w:val="both"/>
        <w:rPr>
          <w:sz w:val="20"/>
          <w:szCs w:val="20"/>
        </w:rPr>
      </w:pPr>
      <w:r>
        <w:rPr>
          <w:sz w:val="20"/>
          <w:szCs w:val="20"/>
        </w:rPr>
        <w:t>CoreCivic Community includes the operating re</w:t>
      </w:r>
      <w:r>
        <w:rPr>
          <w:sz w:val="20"/>
          <w:szCs w:val="20"/>
        </w:rPr>
        <w:t xml:space="preserve">sults of the residential reentry centers that we operated during each period, along with the operating results of our electronic monitoring and case management services.  Total revenue generated by CoreCivic Community increased $0.8 million, or 3.4%, from </w:t>
      </w:r>
      <w:r>
        <w:rPr>
          <w:sz w:val="20"/>
          <w:szCs w:val="20"/>
        </w:rPr>
        <w:t>$24.9 million during the three months ended June 30, 2021 to $25.8 million during the three months ended June 30, 2022, and increased $1.3 million, or 2.7%, from $48.6 million during the six months ended June 30, 2021 to $49.9 million during the six months</w:t>
      </w:r>
      <w:r>
        <w:rPr>
          <w:sz w:val="20"/>
          <w:szCs w:val="20"/>
        </w:rPr>
        <w:t xml:space="preserve"> ended June 30, 2022.  CoreCivic Community's facility net operating income decreased $0.4 million, or 8.4%, from $4.9 million during the three months ended June 30, 2021 to $4.5 million during the three months ended June 30, 2022, and increased $0.9 millio</w:t>
      </w:r>
      <w:r>
        <w:rPr>
          <w:sz w:val="20"/>
          <w:szCs w:val="20"/>
        </w:rPr>
        <w:t>n, or 12.3%, from $7.5 million during the six months ended June 30, 2021 to $8.4 million during the six months ended June 30, 2022.  During the three and six months ended June 30, 2022, CoreCivic Community generated 4.1% and 3.8% of our total segment net o</w:t>
      </w:r>
      <w:r>
        <w:rPr>
          <w:sz w:val="20"/>
          <w:szCs w:val="20"/>
        </w:rPr>
        <w:t>perating income, compared with 3.6% and 2.9% during the three and six months ended June 30, 2021.  </w:t>
      </w:r>
    </w:p>
    <w:p w:rsidR="00000000" w:rsidRDefault="00E35CFB">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w:t>
      </w:r>
      <w:r>
        <w:rPr>
          <w:sz w:val="20"/>
          <w:szCs w:val="20"/>
        </w:rPr>
        <w:t>hat we own and manage, but exclusive of the electronic monitoring and case management services given that revenue is not generated on a per compensated man-day basis for these services:</w:t>
      </w:r>
    </w:p>
    <w:p w:rsidR="00000000" w:rsidRDefault="00E35CFB">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02"/>
        <w:gridCol w:w="65"/>
        <w:gridCol w:w="115"/>
        <w:gridCol w:w="563"/>
        <w:gridCol w:w="215"/>
        <w:gridCol w:w="65"/>
        <w:gridCol w:w="115"/>
        <w:gridCol w:w="565"/>
        <w:gridCol w:w="182"/>
        <w:gridCol w:w="65"/>
        <w:gridCol w:w="115"/>
        <w:gridCol w:w="564"/>
        <w:gridCol w:w="215"/>
        <w:gridCol w:w="65"/>
        <w:gridCol w:w="115"/>
        <w:gridCol w:w="567"/>
        <w:gridCol w:w="182"/>
      </w:tblGrid>
      <w:tr w:rsidR="00000000">
        <w:trPr>
          <w:divId w:val="1897738467"/>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97738467"/>
        </w:trPr>
        <w:tc>
          <w:tcPr>
            <w:tcW w:w="252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b/>
                <w:bCs/>
                <w:color w:val="000000"/>
                <w:sz w:val="20"/>
                <w:szCs w:val="20"/>
              </w:rPr>
            </w:pPr>
            <w:r>
              <w:rPr>
                <w:b/>
                <w:bCs/>
                <w:color w:val="000000"/>
                <w:sz w:val="20"/>
                <w:szCs w:val="20"/>
              </w:rPr>
              <w:t>CoreCivic Community Facilities:</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Revenue per compensated man-day</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63.59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62.84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63.92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62.92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expenses per compensated man-day: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Fixed expense</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36.67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37.42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38.03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40.57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Variable expense</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11.54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8.33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10.94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547"/>
              <w:rPr>
                <w:color w:val="000000"/>
                <w:sz w:val="20"/>
                <w:szCs w:val="20"/>
              </w:rPr>
            </w:pPr>
            <w:r>
              <w:rPr>
                <w:color w:val="000000"/>
                <w:sz w:val="20"/>
                <w:szCs w:val="20"/>
              </w:rPr>
              <w:t>Total</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45.75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48.97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49.14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income per compensated man-day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15.38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17.09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14.95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13.78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Operating margin</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occupancy</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59.3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58.1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57.2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897738467"/>
        </w:trPr>
        <w:tc>
          <w:tcPr>
            <w:tcW w:w="2523"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available beds</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4,869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4,869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5,059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897738467"/>
        </w:trPr>
        <w:tc>
          <w:tcPr>
            <w:tcW w:w="2523"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Average compensated population</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2,889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2,838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2,785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2,769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color w:val="000000"/>
          <w:sz w:val="20"/>
          <w:szCs w:val="20"/>
        </w:rPr>
      </w:pPr>
      <w:r>
        <w:rPr>
          <w:color w:val="000000"/>
          <w:sz w:val="20"/>
          <w:szCs w:val="20"/>
        </w:rPr>
        <w:t>The improvement in operating margins during the six-month period ended June 30, 2022 compared to the same period in 2021 primarily resulted from an increase in average revenue per compensated man-day primarily as a result of per diem increases at several o</w:t>
      </w:r>
      <w:r>
        <w:rPr>
          <w:color w:val="000000"/>
          <w:sz w:val="20"/>
          <w:szCs w:val="20"/>
        </w:rPr>
        <w:t>f our facilities.  Like our CoreCivic Safety segment, occupancy in our CoreCivic Community facilities continues to be negatively affected by COVID-19 and has not yet returned to pre-pandemic occupancy levels.</w:t>
      </w:r>
    </w:p>
    <w:p w:rsidR="00000000" w:rsidRDefault="00E35CFB">
      <w:pPr>
        <w:pStyle w:val="a3"/>
        <w:spacing w:before="240" w:beforeAutospacing="0" w:after="0" w:afterAutospacing="0"/>
        <w:jc w:val="both"/>
        <w:rPr>
          <w:sz w:val="20"/>
          <w:szCs w:val="20"/>
        </w:rPr>
      </w:pPr>
      <w:r>
        <w:rPr>
          <w:sz w:val="20"/>
          <w:szCs w:val="20"/>
        </w:rPr>
        <w:t>Contributing to the improved average compensate</w:t>
      </w:r>
      <w:r>
        <w:rPr>
          <w:sz w:val="20"/>
          <w:szCs w:val="20"/>
        </w:rPr>
        <w:t>d occupancy and operating margins were the sales of our 120-bed Fox Facility and Training Center and our 90-bed Ulster Facility in the first quarter of 2022.  During the fourth quarter of 2021, we entered into a purchase and sale agreement for our Fox faci</w:t>
      </w:r>
      <w:r>
        <w:rPr>
          <w:sz w:val="20"/>
          <w:szCs w:val="20"/>
        </w:rPr>
        <w:t xml:space="preserve">lity, which was sold in February 2022.  In addition, during the fourth quarter of 2021, we entered into a separate purchase and sale agreement for our idled Ulster facility, which was sold in March 2022. The two facilities were located in Denver, Colorado </w:t>
      </w:r>
      <w:r>
        <w:rPr>
          <w:sz w:val="20"/>
          <w:szCs w:val="20"/>
        </w:rPr>
        <w:t>and had recently been under-utilized by Denver County, and incurred facility net operating losses aggregating $0.2 million during both the three and six months ended June 30, 2021.  </w:t>
      </w:r>
    </w:p>
    <w:p w:rsidR="00000000" w:rsidRDefault="00E35CFB">
      <w:pPr>
        <w:pStyle w:val="a3"/>
        <w:spacing w:before="360" w:beforeAutospacing="0" w:after="0" w:afterAutospacing="0"/>
        <w:jc w:val="both"/>
        <w:rPr>
          <w:i/>
          <w:iCs/>
          <w:sz w:val="20"/>
          <w:szCs w:val="20"/>
        </w:rPr>
      </w:pPr>
      <w:r>
        <w:rPr>
          <w:i/>
          <w:iCs/>
          <w:sz w:val="20"/>
          <w:szCs w:val="20"/>
        </w:rPr>
        <w:t>CoreCivic Properties</w:t>
      </w:r>
    </w:p>
    <w:p w:rsidR="00000000" w:rsidRDefault="00E35CFB">
      <w:pPr>
        <w:pStyle w:val="a3"/>
        <w:spacing w:before="120" w:beforeAutospacing="0" w:after="0" w:afterAutospacing="0"/>
        <w:jc w:val="both"/>
        <w:rPr>
          <w:sz w:val="20"/>
          <w:szCs w:val="20"/>
        </w:rPr>
      </w:pPr>
      <w:r>
        <w:rPr>
          <w:sz w:val="20"/>
          <w:szCs w:val="20"/>
        </w:rPr>
        <w:t xml:space="preserve">CoreCivic Properties includes the operating results </w:t>
      </w:r>
      <w:r>
        <w:rPr>
          <w:sz w:val="20"/>
          <w:szCs w:val="20"/>
        </w:rPr>
        <w:t xml:space="preserve">of the </w:t>
      </w:r>
      <w:r>
        <w:rPr>
          <w:spacing w:val="-2"/>
          <w:sz w:val="20"/>
          <w:szCs w:val="20"/>
        </w:rPr>
        <w:t>properties we leased to third parties and that were used by government agencies during each period.</w:t>
      </w:r>
      <w:r>
        <w:rPr>
          <w:sz w:val="20"/>
          <w:szCs w:val="20"/>
        </w:rPr>
        <w:t xml:space="preserve">  Total revenue generated by CoreCivic Properties decreased $5.2 million, or 26.4%, from $19.7 million during the three months ended June 30, 2021 to </w:t>
      </w:r>
      <w:r>
        <w:rPr>
          <w:sz w:val="20"/>
          <w:szCs w:val="20"/>
        </w:rPr>
        <w:t>$14.5 million during the three months ended June 30, 2022, and decreased $11.9 million, or 29.0%, from $41.0 million during the six months ended June 30, 2021 to $29.1 million during the six months ended June 30, 2022.  CoreCivic Properties' facility net o</w:t>
      </w:r>
      <w:r>
        <w:rPr>
          <w:sz w:val="20"/>
          <w:szCs w:val="20"/>
        </w:rPr>
        <w:t>perating income decreased $2.9 million, or 20.7%, from $14.1 million during the three months ended June 30, 2021 to $11.1 million during the three months ended June 30, 2022, and decreased $6.6 million, or 22.7%, from $29.0 million during the six months en</w:t>
      </w:r>
      <w:r>
        <w:rPr>
          <w:sz w:val="20"/>
          <w:szCs w:val="20"/>
        </w:rPr>
        <w:t xml:space="preserve">ded June 30, 2021 to $22.5 million during the six months ended June 30, 2022.  The decreases in total revenue and net operating income in both periods were primarily the result of the three actively leased properties we sold in the second quarter of 2021, </w:t>
      </w:r>
      <w:r>
        <w:rPr>
          <w:sz w:val="20"/>
          <w:szCs w:val="20"/>
        </w:rPr>
        <w:t xml:space="preserve">partially offset by the revenue and net operating income generated by the new lease at our Northwest New Mexico Correctional Center, both as further described hereinafter. During the three and six months ended June 30, 2022, CoreCivic Properties generated </w:t>
      </w:r>
      <w:r>
        <w:rPr>
          <w:sz w:val="20"/>
          <w:szCs w:val="20"/>
        </w:rPr>
        <w:t>12.1% and 12.2% of our total segment net operating income, compared with 12.2% and 13.0% during the three and six months ended June 30, 2021.</w:t>
      </w:r>
    </w:p>
    <w:p w:rsidR="00000000" w:rsidRDefault="00E35CFB">
      <w:pPr>
        <w:pStyle w:val="a3"/>
        <w:spacing w:before="240" w:beforeAutospacing="0" w:after="0" w:afterAutospacing="0"/>
        <w:jc w:val="center"/>
        <w:rPr>
          <w:sz w:val="20"/>
          <w:szCs w:val="20"/>
        </w:rPr>
      </w:pPr>
      <w:r>
        <w:rPr>
          <w:sz w:val="20"/>
          <w:szCs w:val="20"/>
        </w:rPr>
        <w:t>33</w:t>
      </w:r>
    </w:p>
    <w:p w:rsidR="00000000" w:rsidRDefault="00E35CFB">
      <w:pPr>
        <w:rPr>
          <w:rFonts w:eastAsia="Times New Roman"/>
        </w:rPr>
      </w:pPr>
      <w:r>
        <w:rPr>
          <w:rFonts w:eastAsia="Times New Roman"/>
        </w:rPr>
        <w:pict>
          <v:rect id="_x0000_i1059"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On May 28, 2021, we completed the sale of two leased properties, the 277</w:t>
      </w:r>
      <w:r>
        <w:rPr>
          <w:sz w:val="20"/>
          <w:szCs w:val="20"/>
        </w:rPr>
        <w:t>,000 square foot Capital Commerce Center, primarily leased to an agency of the State of Florida in Tallahassee, Florida, and a 217,000 square foot warehouse property leased to the General Services Administration, or GSA, in Dayton, Ohio, in a single transa</w:t>
      </w:r>
      <w:r>
        <w:rPr>
          <w:sz w:val="20"/>
          <w:szCs w:val="20"/>
        </w:rPr>
        <w:t>ction to a third party for an aggregate price of $73.0 million, generating net proceeds of $46.2 million after the repayment of the debt related to the Capital Commerce Center and other transaction-related costs.  In addition, on June 29, 2021, we complete</w:t>
      </w:r>
      <w:r>
        <w:rPr>
          <w:sz w:val="20"/>
          <w:szCs w:val="20"/>
        </w:rPr>
        <w:t>d the sale of a 541,000 square foot property leased to the GSA in Baltimore, Maryland to a third party for a price of $253.0 million, generating net proceeds of $76.4 million after the repayment of the debt related to the Baltimore property and other trans</w:t>
      </w:r>
      <w:r>
        <w:rPr>
          <w:sz w:val="20"/>
          <w:szCs w:val="20"/>
        </w:rPr>
        <w:t>action-related costs.  During our period of ownership in 2021, these three properties generated facility net operating income of $9.5 million, including $4.6 million in the second quarter of 2021.  We recorded an aggregate net gain on the sales of these th</w:t>
      </w:r>
      <w:r>
        <w:rPr>
          <w:sz w:val="20"/>
          <w:szCs w:val="20"/>
        </w:rPr>
        <w:t>ree properties of $38.9 million during the second quarter of 2021.  </w:t>
      </w:r>
    </w:p>
    <w:p w:rsidR="00000000" w:rsidRDefault="00E35CFB">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 Center.  We previously operated the North</w:t>
      </w:r>
      <w:r>
        <w:rPr>
          <w:sz w:val="20"/>
          <w:szCs w:val="20"/>
        </w:rPr>
        <w:t>west New Mexico facility in our Safety segment under a contract with the state of New Mexico. We transitioned facility operations to the New Mexico Corrections Department upon commencement of the new lease agreement on November 1, 2021.  We will retain res</w:t>
      </w:r>
      <w:r>
        <w:rPr>
          <w:sz w:val="20"/>
          <w:szCs w:val="20"/>
        </w:rPr>
        <w:t>ponsibility for facility maintenance throughout the term of the lease.  The new lease agreement includes extension options that could extend the term of the lease through October 31, 2041.  The average annual rent for the initial three-year lease term is $</w:t>
      </w:r>
      <w:r>
        <w:rPr>
          <w:sz w:val="20"/>
          <w:szCs w:val="20"/>
        </w:rPr>
        <w:t>3.2 million, including annual rent of $4.2 million in the second and third years of the lease, with annual escalators thereafter.  </w:t>
      </w:r>
    </w:p>
    <w:p w:rsidR="00000000" w:rsidRDefault="00E35CFB">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E35CFB">
      <w:pPr>
        <w:pStyle w:val="a3"/>
        <w:spacing w:before="120" w:beforeAutospacing="0" w:after="0" w:afterAutospacing="0"/>
        <w:jc w:val="both"/>
        <w:rPr>
          <w:sz w:val="20"/>
          <w:szCs w:val="20"/>
        </w:rPr>
      </w:pPr>
      <w:r>
        <w:rPr>
          <w:sz w:val="20"/>
          <w:szCs w:val="20"/>
        </w:rPr>
        <w:t>For the three months ended June 30, 2022 and 2021, general and administrative expenses t</w:t>
      </w:r>
      <w:r>
        <w:rPr>
          <w:sz w:val="20"/>
          <w:szCs w:val="20"/>
        </w:rPr>
        <w:t>otaled $31.5 million and $33.2 million, respectively, while general and administrative expenses totaled $62.6 million and $62.8 million during the six months ended June 30, 2022 and 2021, respectively.  General and administrative expenses consist primarily</w:t>
      </w:r>
      <w:r>
        <w:rPr>
          <w:sz w:val="20"/>
          <w:szCs w:val="20"/>
        </w:rPr>
        <w:t xml:space="preserve"> of corporate management salaries and benefits, professional fees, and other administrative expenses. General and administrative expenses decreased from the prior year periods primarily as a result of a decrease</w:t>
      </w:r>
      <w:r>
        <w:rPr>
          <w:color w:val="242424"/>
          <w:sz w:val="20"/>
          <w:szCs w:val="20"/>
        </w:rPr>
        <w:t xml:space="preserve"> in corporate management salaries and benefit</w:t>
      </w:r>
      <w:r>
        <w:rPr>
          <w:color w:val="242424"/>
          <w:sz w:val="20"/>
          <w:szCs w:val="20"/>
        </w:rPr>
        <w:t>s, which was largely related to lower incentive-based compensation.  The decrease in general and administrative expenses in both periods was partially offset by an increase in certain other administrative expenses, including travel-related expenses, consul</w:t>
      </w:r>
      <w:r>
        <w:rPr>
          <w:color w:val="242424"/>
          <w:sz w:val="20"/>
          <w:szCs w:val="20"/>
        </w:rPr>
        <w:t>ting fees, as well as advertising expenses in an effort to generate increased awareness of employment opportunities we have available.</w:t>
      </w:r>
    </w:p>
    <w:p w:rsidR="00000000" w:rsidRDefault="00E35CFB">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E35CFB">
      <w:pPr>
        <w:pStyle w:val="a3"/>
        <w:spacing w:before="120" w:beforeAutospacing="0" w:after="0" w:afterAutospacing="0"/>
        <w:jc w:val="both"/>
        <w:rPr>
          <w:sz w:val="20"/>
          <w:szCs w:val="20"/>
        </w:rPr>
      </w:pPr>
      <w:r>
        <w:rPr>
          <w:sz w:val="20"/>
          <w:szCs w:val="20"/>
        </w:rPr>
        <w:t>For the three months ended June 30, 2022 and 2021, depreciation and amortization expense to</w:t>
      </w:r>
      <w:r>
        <w:rPr>
          <w:sz w:val="20"/>
          <w:szCs w:val="20"/>
        </w:rPr>
        <w:t>taled $32.3 million and $34.1 million, respectively, while depreciation and amortization expense totaled $64.3 million and $66.8 million during the six months ended June 30, 2022 and 2021, respectively.  Depreciation and amortization expense decreased in b</w:t>
      </w:r>
      <w:r>
        <w:rPr>
          <w:sz w:val="20"/>
          <w:szCs w:val="20"/>
        </w:rPr>
        <w:t xml:space="preserve">oth periods primarily </w:t>
      </w:r>
      <w:r>
        <w:rPr>
          <w:color w:val="242424"/>
          <w:sz w:val="20"/>
          <w:szCs w:val="20"/>
        </w:rPr>
        <w:t>due to certain information technology equipment becoming fully depreciated.  In addition, the decrease in depreciation and amortization expense in both periods is due to</w:t>
      </w:r>
      <w:r>
        <w:rPr>
          <w:sz w:val="20"/>
          <w:szCs w:val="20"/>
        </w:rPr>
        <w:t xml:space="preserve"> the contract termination at the Marion County Jail and the sales</w:t>
      </w:r>
      <w:r>
        <w:rPr>
          <w:sz w:val="20"/>
          <w:szCs w:val="20"/>
        </w:rPr>
        <w:t xml:space="preserve"> of our Fox Facility and Training Center and our Ulster Facility, all of which occurred during the first quarter of 2022.</w:t>
      </w:r>
      <w:r>
        <w:rPr>
          <w:sz w:val="20"/>
          <w:szCs w:val="20"/>
          <w:shd w:val="clear" w:color="auto" w:fill="FFFF00"/>
        </w:rPr>
        <w:t xml:space="preserve"> </w:t>
      </w:r>
    </w:p>
    <w:p w:rsidR="00000000" w:rsidRDefault="00E35CFB">
      <w:pPr>
        <w:pStyle w:val="a3"/>
        <w:spacing w:before="360" w:beforeAutospacing="0" w:after="0" w:afterAutospacing="0"/>
        <w:jc w:val="both"/>
        <w:rPr>
          <w:b/>
          <w:bCs/>
          <w:i/>
          <w:iCs/>
          <w:sz w:val="20"/>
          <w:szCs w:val="20"/>
        </w:rPr>
      </w:pPr>
      <w:r>
        <w:rPr>
          <w:b/>
          <w:bCs/>
          <w:i/>
          <w:iCs/>
          <w:sz w:val="20"/>
          <w:szCs w:val="20"/>
        </w:rPr>
        <w:t>Shareholder litigation expense</w:t>
      </w:r>
    </w:p>
    <w:p w:rsidR="00000000" w:rsidRDefault="00E35CFB">
      <w:pPr>
        <w:pStyle w:val="a3"/>
        <w:spacing w:before="120" w:beforeAutospacing="0" w:after="0" w:afterAutospacing="0"/>
        <w:jc w:val="both"/>
        <w:rPr>
          <w:sz w:val="20"/>
          <w:szCs w:val="20"/>
        </w:rPr>
      </w:pPr>
      <w:r>
        <w:rPr>
          <w:sz w:val="20"/>
          <w:szCs w:val="20"/>
        </w:rPr>
        <w:t xml:space="preserve">On April 16, 2021, we reached an agreement in principle to settle a purported securities class action </w:t>
      </w:r>
      <w:r>
        <w:rPr>
          <w:sz w:val="20"/>
          <w:szCs w:val="20"/>
        </w:rPr>
        <w:t xml:space="preserve">lawsuit that was filed on August 23, 2016 in the United States District Court for the Middle District of Tennessee, or the District Court, captioned </w:t>
      </w:r>
      <w:r>
        <w:rPr>
          <w:i/>
          <w:iCs/>
          <w:sz w:val="20"/>
          <w:szCs w:val="20"/>
        </w:rPr>
        <w:t>Grae v. Corrections Corporation of America et al.</w:t>
      </w:r>
      <w:r>
        <w:rPr>
          <w:sz w:val="20"/>
          <w:szCs w:val="20"/>
        </w:rPr>
        <w:t xml:space="preserve">  The monetary terms of the settlement included a payment </w:t>
      </w:r>
      <w:r>
        <w:rPr>
          <w:sz w:val="20"/>
          <w:szCs w:val="20"/>
        </w:rPr>
        <w:t>of $56.0 million in return for a dismissal of the case with prejudice and a full release of all claims against all defendants.  The settlement agreement, which was approved by the District Court on November 8, 2021, contains no admission of liability, wron</w:t>
      </w:r>
      <w:r>
        <w:rPr>
          <w:sz w:val="20"/>
          <w:szCs w:val="20"/>
        </w:rPr>
        <w:t>gdoing, or responsibility by any of the defendants, including us.  As a result of the settlement, we recognized an expense of $54.3 million during 2021 ($51.7 million of which was recognized during the first quarter of 2021, with the remaining $2.6 million</w:t>
      </w:r>
      <w:r>
        <w:rPr>
          <w:sz w:val="20"/>
          <w:szCs w:val="20"/>
        </w:rPr>
        <w:t xml:space="preserve"> recognized in the second quarter of 2021), which was net of the remaining insurance available under the Company's policies.  We paid the settlement amount in May 2021.  </w:t>
      </w:r>
    </w:p>
    <w:p w:rsidR="00000000" w:rsidRDefault="00E35CFB">
      <w:pPr>
        <w:pStyle w:val="a3"/>
        <w:spacing w:before="240" w:beforeAutospacing="0" w:after="0" w:afterAutospacing="0"/>
        <w:jc w:val="center"/>
        <w:rPr>
          <w:sz w:val="20"/>
          <w:szCs w:val="20"/>
        </w:rPr>
      </w:pPr>
      <w:r>
        <w:rPr>
          <w:sz w:val="20"/>
          <w:szCs w:val="20"/>
        </w:rPr>
        <w:t>34</w:t>
      </w:r>
    </w:p>
    <w:p w:rsidR="00000000" w:rsidRDefault="00E35CFB">
      <w:pPr>
        <w:rPr>
          <w:rFonts w:eastAsia="Times New Roman"/>
        </w:rPr>
      </w:pPr>
      <w:r>
        <w:rPr>
          <w:rFonts w:eastAsia="Times New Roman"/>
        </w:rPr>
        <w:pict>
          <v:rect id="_x0000_i1060"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We are</w:t>
      </w:r>
      <w:r>
        <w:rPr>
          <w:color w:val="000000"/>
          <w:sz w:val="20"/>
          <w:szCs w:val="20"/>
          <w:shd w:val="clear" w:color="auto" w:fill="FFFFFF"/>
        </w:rPr>
        <w:t xml:space="preserve"> also named </w:t>
      </w:r>
      <w:r>
        <w:rPr>
          <w:color w:val="000000"/>
          <w:sz w:val="20"/>
          <w:szCs w:val="20"/>
          <w:shd w:val="clear" w:color="auto" w:fill="FFFFFF"/>
        </w:rPr>
        <w:t xml:space="preserve">along with several of our directors in six derivative lawsuits which raise similar allegations to those raised in the </w:t>
      </w:r>
      <w:r>
        <w:rPr>
          <w:i/>
          <w:iCs/>
          <w:color w:val="000000"/>
          <w:sz w:val="20"/>
          <w:szCs w:val="20"/>
          <w:shd w:val="clear" w:color="auto" w:fill="FFFFFF"/>
        </w:rPr>
        <w:t>Grae</w:t>
      </w:r>
      <w:r>
        <w:rPr>
          <w:color w:val="000000"/>
          <w:sz w:val="20"/>
          <w:szCs w:val="20"/>
          <w:shd w:val="clear" w:color="auto" w:fill="FFFFFF"/>
        </w:rPr>
        <w:t xml:space="preserve"> securities litigation,</w:t>
      </w:r>
      <w:r>
        <w:rPr>
          <w:sz w:val="20"/>
          <w:szCs w:val="20"/>
          <w:shd w:val="clear" w:color="auto" w:fill="FFFFFF"/>
        </w:rPr>
        <w:t xml:space="preserve"> which are currently stayed by agreement of the parties. On June 17, 2022, we and derivative plaintiffs informe</w:t>
      </w:r>
      <w:r>
        <w:rPr>
          <w:sz w:val="20"/>
          <w:szCs w:val="20"/>
          <w:shd w:val="clear" w:color="auto" w:fill="FFFFFF"/>
        </w:rPr>
        <w:t>d the federal District Court for the Middle District of Tennessee that the parties had reached an agreement as to the plaintiffs' attorneys' fees and expenses.  Further, the parties informed the Court that they expect to seek Court approval of a settlement</w:t>
      </w:r>
      <w:r>
        <w:rPr>
          <w:sz w:val="20"/>
          <w:szCs w:val="20"/>
          <w:shd w:val="clear" w:color="auto" w:fill="FFFFFF"/>
        </w:rPr>
        <w:t xml:space="preserve"> of the derivative matters within approximately 90 days.  While </w:t>
      </w:r>
      <w:r>
        <w:rPr>
          <w:color w:val="000000"/>
          <w:sz w:val="20"/>
          <w:szCs w:val="20"/>
          <w:shd w:val="clear" w:color="auto" w:fill="FFFFFF"/>
        </w:rPr>
        <w:t>we believe these lawsuits are entirely without merit, we acknowledge the costs and risks of extensive and complex litigation regarding these matters are substantial and subject to an unpredict</w:t>
      </w:r>
      <w:r>
        <w:rPr>
          <w:color w:val="000000"/>
          <w:sz w:val="20"/>
          <w:szCs w:val="20"/>
          <w:shd w:val="clear" w:color="auto" w:fill="FFFFFF"/>
        </w:rPr>
        <w:t xml:space="preserve">able outcome.  During the second quarter of 2022, we recognized an expense of $1.9 million associated with these derivative matters. </w:t>
      </w:r>
      <w:r>
        <w:rPr>
          <w:sz w:val="20"/>
          <w:szCs w:val="20"/>
        </w:rPr>
        <w:t>We expect our reserve to cover the settlement.</w:t>
      </w:r>
      <w:r>
        <w:rPr>
          <w:color w:val="000000"/>
          <w:sz w:val="20"/>
          <w:szCs w:val="20"/>
          <w:shd w:val="clear" w:color="auto" w:fill="FFFFFF"/>
        </w:rPr>
        <w:t xml:space="preserve"> </w:t>
      </w:r>
    </w:p>
    <w:p w:rsidR="00000000" w:rsidRDefault="00E35CFB">
      <w:pPr>
        <w:pStyle w:val="a3"/>
        <w:spacing w:before="360" w:beforeAutospacing="0" w:after="0" w:afterAutospacing="0"/>
        <w:jc w:val="both"/>
        <w:rPr>
          <w:b/>
          <w:bCs/>
          <w:i/>
          <w:iCs/>
          <w:sz w:val="20"/>
          <w:szCs w:val="20"/>
        </w:rPr>
      </w:pPr>
      <w:r>
        <w:rPr>
          <w:b/>
          <w:bCs/>
          <w:i/>
          <w:iCs/>
          <w:sz w:val="20"/>
          <w:szCs w:val="20"/>
        </w:rPr>
        <w:t>Asset impairments</w:t>
      </w:r>
    </w:p>
    <w:p w:rsidR="00000000" w:rsidRDefault="00E35CFB">
      <w:pPr>
        <w:pStyle w:val="a3"/>
        <w:spacing w:before="120" w:beforeAutospacing="0" w:after="0" w:afterAutospacing="0"/>
        <w:jc w:val="both"/>
        <w:rPr>
          <w:sz w:val="20"/>
          <w:szCs w:val="20"/>
        </w:rPr>
      </w:pPr>
      <w:r>
        <w:rPr>
          <w:sz w:val="20"/>
          <w:szCs w:val="20"/>
        </w:rPr>
        <w:t>Asset impairment charges during the six months ended June</w:t>
      </w:r>
      <w:r>
        <w:rPr>
          <w:sz w:val="20"/>
          <w:szCs w:val="20"/>
        </w:rPr>
        <w:t xml:space="preserve"> 30, 2021 include the impairment of $2.9 million for goodwill and other assets associated with a managed-only facility in our Safety segment, and $1.3 million for the impairment of real estate assets recognized during the first quarter of 2021 for a facili</w:t>
      </w:r>
      <w:r>
        <w:rPr>
          <w:sz w:val="20"/>
          <w:szCs w:val="20"/>
        </w:rPr>
        <w:t>ty in our Properties segment that was sold during the second quarter of 2021.    </w:t>
      </w:r>
    </w:p>
    <w:p w:rsidR="00000000" w:rsidRDefault="00E35CFB">
      <w:pPr>
        <w:pStyle w:val="a3"/>
        <w:spacing w:before="360" w:beforeAutospacing="0" w:after="0" w:afterAutospacing="0"/>
        <w:jc w:val="both"/>
        <w:rPr>
          <w:b/>
          <w:bCs/>
          <w:i/>
          <w:iCs/>
          <w:sz w:val="20"/>
          <w:szCs w:val="20"/>
        </w:rPr>
      </w:pPr>
      <w:r>
        <w:rPr>
          <w:b/>
          <w:bCs/>
          <w:i/>
          <w:iCs/>
          <w:sz w:val="20"/>
          <w:szCs w:val="20"/>
        </w:rPr>
        <w:t>Interest expense, net</w:t>
      </w:r>
    </w:p>
    <w:p w:rsidR="00000000" w:rsidRDefault="00E35CFB">
      <w:pPr>
        <w:pStyle w:val="a3"/>
        <w:spacing w:before="240" w:beforeAutospacing="0" w:after="0" w:afterAutospacing="0"/>
        <w:jc w:val="both"/>
        <w:rPr>
          <w:sz w:val="20"/>
          <w:szCs w:val="20"/>
        </w:rPr>
      </w:pPr>
      <w:r>
        <w:rPr>
          <w:sz w:val="20"/>
          <w:szCs w:val="20"/>
        </w:rPr>
        <w:t>As discussed in more detail hereinafter, on May 12, 2022, we entered into a Third Amended and Restated Credit Agreement, or the New Bank Credit Facility, in an aggregate principal amount of $350.0 million, consisting of a $100.0 million term loan, or the N</w:t>
      </w:r>
      <w:r>
        <w:rPr>
          <w:sz w:val="20"/>
          <w:szCs w:val="20"/>
        </w:rPr>
        <w:t>ew Term Loan A, and a $250.0 revolving credit facility, or the New Revolving Credit Facility.  The New Bank Credit Facility replaced the Second Amended and Restated Credit Agreement, or the Previous Bank Credit Facility, which was in an aggregate principal</w:t>
      </w:r>
      <w:r>
        <w:rPr>
          <w:sz w:val="20"/>
          <w:szCs w:val="20"/>
        </w:rPr>
        <w:t xml:space="preserve"> amount of $1.0 billion and consisted of a term loan with an original principal balance of $200.0 million, or the Previous Term Loan A, and a revolving credit facility with a borrowing capacity of $800.0 million, or the Previous Revolving Credit Facility. </w:t>
      </w:r>
      <w:r>
        <w:rPr>
          <w:sz w:val="20"/>
          <w:szCs w:val="20"/>
        </w:rPr>
        <w:t>The New Bank Credit Facility extends the maturity to May 2026 from the April 2023 maturity under the Previous Bank Credit Facility.  The New Bank Credit Facility and the Previous Bank Credit Facility are together referred to herein as the Bank Credit Facil</w:t>
      </w:r>
      <w:r>
        <w:rPr>
          <w:sz w:val="20"/>
          <w:szCs w:val="20"/>
        </w:rPr>
        <w:t>ity.</w:t>
      </w:r>
    </w:p>
    <w:p w:rsidR="00000000" w:rsidRDefault="00E35CFB">
      <w:pPr>
        <w:pStyle w:val="a3"/>
        <w:spacing w:before="120" w:beforeAutospacing="0" w:after="0" w:afterAutospacing="0"/>
        <w:jc w:val="both"/>
        <w:rPr>
          <w:sz w:val="20"/>
          <w:szCs w:val="20"/>
        </w:rPr>
      </w:pPr>
      <w:r>
        <w:rPr>
          <w:sz w:val="20"/>
          <w:szCs w:val="20"/>
        </w:rPr>
        <w:t>Interest expense is reported net of interest income and capitalized interest for the three and six months ended June 30, 2022 and 2021.  Gross interest expense, net of capitalized interest, was $24.3 million and $25.8 million for the three months ende</w:t>
      </w:r>
      <w:r>
        <w:rPr>
          <w:sz w:val="20"/>
          <w:szCs w:val="20"/>
        </w:rPr>
        <w:t>d June 30, 2022 and 2021, respectively, and was $49.7 million and $46.8 million for the six months ended June 30, 2022 and 2021, respectively. Gross interest expense was based on outstanding borrowings under our Bank Credit Facility, our Term Loan B (which</w:t>
      </w:r>
      <w:r>
        <w:rPr>
          <w:sz w:val="20"/>
          <w:szCs w:val="20"/>
        </w:rPr>
        <w:t xml:space="preserve"> we repaid in full in May 2022, as further described hereinafter), our outstanding senior unsecured notes, and our outstanding non-recourse mortgage notes, as well as the amortization of loan costs and unused facility fees.  Interest expense during the six</w:t>
      </w:r>
      <w:r>
        <w:rPr>
          <w:sz w:val="20"/>
          <w:szCs w:val="20"/>
        </w:rPr>
        <w:t>-month period ended June 30, 2022 compared with the same period in 2021 increased primarily as a result of the issuance of $675.0 million aggregate principal amount of 8.25% senior unsecured notes in April and September 2021, which increased the average in</w:t>
      </w:r>
      <w:r>
        <w:rPr>
          <w:sz w:val="20"/>
          <w:szCs w:val="20"/>
        </w:rPr>
        <w:t>terest rate applicable to our outstanding debt, as further described hereinafter.  However, the increase in gross interest expense was partially offset by a decrease in the average outstanding balance on our Previous Revolving Credit Facility (which we rep</w:t>
      </w:r>
      <w:r>
        <w:rPr>
          <w:sz w:val="20"/>
          <w:szCs w:val="20"/>
        </w:rPr>
        <w:t>aid in full in the third quarter of 2021), the redemption and repurchase of an aggregate of $426.4 million of senior unsecured notes during 2021, the repayment of certain non-recourse mortgage notes during 2021, and the repayment of $90.0 million of the th</w:t>
      </w:r>
      <w:r>
        <w:rPr>
          <w:sz w:val="20"/>
          <w:szCs w:val="20"/>
        </w:rPr>
        <w:t>en-outstanding balance of the Term Loan B during October 2021, all as further described hereinafter, which also contributed to a reduction in interest expense during the three-month period ended June 30, 2022 compared with the same period in 2021.       </w:t>
      </w:r>
    </w:p>
    <w:p w:rsidR="00000000" w:rsidRDefault="00E35CFB">
      <w:pPr>
        <w:pStyle w:val="a3"/>
        <w:spacing w:before="240" w:beforeAutospacing="0" w:after="0" w:afterAutospacing="0"/>
        <w:jc w:val="both"/>
        <w:rPr>
          <w:sz w:val="20"/>
          <w:szCs w:val="20"/>
        </w:rPr>
      </w:pPr>
      <w:r>
        <w:rPr>
          <w:sz w:val="20"/>
          <w:szCs w:val="20"/>
        </w:rPr>
        <w:t>W</w:t>
      </w:r>
      <w:r>
        <w:rPr>
          <w:sz w:val="20"/>
          <w:szCs w:val="20"/>
        </w:rPr>
        <w:t xml:space="preserve">e benefited from relatively low interest rates on our Previous Bank Credit Facility, which was largely based on the London Interbank Offered Rate, or LIBOR.  Based on our total leverage ratio, borrowings under our Previous Bank Credit Facility during most </w:t>
      </w:r>
      <w:r>
        <w:rPr>
          <w:sz w:val="20"/>
          <w:szCs w:val="20"/>
        </w:rPr>
        <w:t>of 2021 were at the base rate plus a margin of 0.50% or at LIBOR plus a margin of 1.50%, and a commitment fee equal to 0.35% of the unfunded balance of the Previous Revolving Credit Facility. During the fourth quarter of 2021, based on a reduction in our t</w:t>
      </w:r>
      <w:r>
        <w:rPr>
          <w:sz w:val="20"/>
          <w:szCs w:val="20"/>
        </w:rPr>
        <w:t>otal leverage ratio, borrowings under our Previous Bank Credit Facility decreased to a base rate plus a margin of 0.25% or LIBOR plus a margin of 1.25%, and a commitment fee equal to 0.30% of the unfunded balance of the Previous Revolving Credit Facility. </w:t>
      </w:r>
      <w:r>
        <w:rPr>
          <w:sz w:val="20"/>
          <w:szCs w:val="20"/>
        </w:rPr>
        <w:t> Based on our current total leverage ratio, loans under our New Bank Credit Facility bear interest at a base rate plus a margin of 2.25% or at the Bloomberg Short-Term Bank Yield Index, or BSBY, rate plus a margin of 3.25%, and a commitment fee equal to 0.</w:t>
      </w:r>
      <w:r>
        <w:rPr>
          <w:sz w:val="20"/>
          <w:szCs w:val="20"/>
        </w:rPr>
        <w:t>45% of the unfunded balance of the New Revolving Credit Facility.  Although we are exposed to rising interest rates, we have reduced our exposure to rising interest rates by paying down our variable rate debt.  The only remaining variable rate debt we have</w:t>
      </w:r>
      <w:r>
        <w:rPr>
          <w:sz w:val="20"/>
          <w:szCs w:val="20"/>
        </w:rPr>
        <w:t xml:space="preserve"> is associated with our New Term Loan A, which had an outstanding balance of $98.8 million as of June 30, 2022, and our New Revolving Credit Facility, which has no outstanding balance and was not drawn during 2022.   </w:t>
      </w:r>
    </w:p>
    <w:p w:rsidR="00000000" w:rsidRDefault="00E35CFB">
      <w:pPr>
        <w:pStyle w:val="a3"/>
        <w:spacing w:before="240" w:beforeAutospacing="0" w:after="0" w:afterAutospacing="0"/>
        <w:jc w:val="both"/>
        <w:rPr>
          <w:sz w:val="20"/>
          <w:szCs w:val="20"/>
        </w:rPr>
      </w:pPr>
      <w:r>
        <w:rPr>
          <w:sz w:val="20"/>
          <w:szCs w:val="20"/>
        </w:rPr>
        <w:t>On May 19, 2022, we voluntarily repaid</w:t>
      </w:r>
      <w:r>
        <w:rPr>
          <w:sz w:val="20"/>
          <w:szCs w:val="20"/>
        </w:rPr>
        <w:t xml:space="preserve"> in full the debt outstanding under our Term Loan B, amounting to $124.1 million, and satisfied all of our outstanding obligations under the Term Loan B.  We did not incur any prepayment penalties in connection with the repayment of the Term Loan B, which </w:t>
      </w:r>
      <w:r>
        <w:rPr>
          <w:sz w:val="20"/>
          <w:szCs w:val="20"/>
        </w:rPr>
        <w:t>had a scheduled maturity of December 18, 2024.  The prepayment was made in full with cash on hand. The Term Loan B bore interest at LIBOR plus 4.50%, with a 1.00% LIBOR floor (or, at our option, a base rate plus 3.50%).  </w:t>
      </w:r>
    </w:p>
    <w:p w:rsidR="00000000" w:rsidRDefault="00E35CFB">
      <w:pPr>
        <w:pStyle w:val="a3"/>
        <w:spacing w:before="240" w:beforeAutospacing="0" w:after="0" w:afterAutospacing="0"/>
        <w:jc w:val="center"/>
        <w:rPr>
          <w:sz w:val="20"/>
          <w:szCs w:val="20"/>
        </w:rPr>
      </w:pPr>
      <w:r>
        <w:rPr>
          <w:sz w:val="20"/>
          <w:szCs w:val="20"/>
        </w:rPr>
        <w:t>35</w:t>
      </w:r>
    </w:p>
    <w:p w:rsidR="00000000" w:rsidRDefault="00E35CFB">
      <w:pPr>
        <w:rPr>
          <w:rFonts w:eastAsia="Times New Roman"/>
        </w:rPr>
      </w:pPr>
      <w:r>
        <w:rPr>
          <w:rFonts w:eastAsia="Times New Roman"/>
        </w:rPr>
        <w:pict>
          <v:rect id="_x0000_i1061"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The 2018 acquisition of the Capital Commerce Center located in Tallahassee, Florida was partially financed with a non-recourse mortgage note, or the Capital Commerce Note, which was fully secured by the Capital Commerce property.  The Capital Comme</w:t>
      </w:r>
      <w:r>
        <w:rPr>
          <w:sz w:val="20"/>
          <w:szCs w:val="20"/>
        </w:rPr>
        <w:t>rce Note carried a fixed interest rate of 4.5%, required monthly principal and interest payments, and was scheduled to mature in January 2033.  The Capital Commerce Note was fully repaid in connection with the sale of the Capital Commerce Center on May 28,</w:t>
      </w:r>
      <w:r>
        <w:rPr>
          <w:sz w:val="20"/>
          <w:szCs w:val="20"/>
        </w:rPr>
        <w:t xml:space="preserve"> 2021. </w:t>
      </w:r>
    </w:p>
    <w:p w:rsidR="00000000" w:rsidRDefault="00E35CFB">
      <w:pPr>
        <w:pStyle w:val="a3"/>
        <w:spacing w:before="240" w:beforeAutospacing="0" w:after="0" w:afterAutospacing="0"/>
        <w:jc w:val="both"/>
        <w:rPr>
          <w:sz w:val="20"/>
          <w:szCs w:val="20"/>
        </w:rPr>
      </w:pPr>
      <w:r>
        <w:rPr>
          <w:sz w:val="20"/>
          <w:szCs w:val="20"/>
        </w:rPr>
        <w:t>In connection with the acquisition of the SSA-Baltimore office building in 2018, a wholly-owned unrestricted subsidiary of ours assumed $157.3 million of in-place financing.  The assumed non-recourse mortgage note, or the SSA Baltimore Note, carrie</w:t>
      </w:r>
      <w:r>
        <w:rPr>
          <w:sz w:val="20"/>
          <w:szCs w:val="20"/>
        </w:rPr>
        <w:t xml:space="preserve">d a fixed interest rate of 4.5% and required monthly principal and interest payments, with a balloon payment of $40.0 million due at maturity in February 2034.  The SSA-Baltimore Note was fully secured by the SSA-Baltimore property. The SSA-Baltimore Note </w:t>
      </w:r>
      <w:r>
        <w:rPr>
          <w:sz w:val="20"/>
          <w:szCs w:val="20"/>
        </w:rPr>
        <w:t xml:space="preserve">was fully repaid in connection with the sale of the SSA-Baltimore property on June 29, 2021. </w:t>
      </w:r>
    </w:p>
    <w:p w:rsidR="00000000" w:rsidRDefault="00E35CFB">
      <w:pPr>
        <w:pStyle w:val="a3"/>
        <w:spacing w:before="240" w:beforeAutospacing="0" w:after="0" w:afterAutospacing="0"/>
        <w:jc w:val="both"/>
        <w:rPr>
          <w:sz w:val="20"/>
          <w:szCs w:val="20"/>
        </w:rPr>
      </w:pPr>
      <w:r>
        <w:rPr>
          <w:sz w:val="20"/>
          <w:szCs w:val="20"/>
        </w:rPr>
        <w:t xml:space="preserve">On April 14, 2021, we completed an underwritten registered offering of $450.0 million aggregate principal amount of 8.25% senior unsecured notes due 2026, or the </w:t>
      </w:r>
      <w:r>
        <w:rPr>
          <w:sz w:val="20"/>
          <w:szCs w:val="20"/>
        </w:rPr>
        <w:t>Original 8.25% Senior Notes, which are guaranteed by our existing and future subsidiaries that guarantee the Bank Credit Facility. The Original 8.25% Senior Notes were priced at 99.0% of face value and as a result have an effective yield to maturity of 8.5</w:t>
      </w:r>
      <w:r>
        <w:rPr>
          <w:sz w:val="20"/>
          <w:szCs w:val="20"/>
        </w:rPr>
        <w:t>0%. We used a significant amount of the net proceeds from the offering of the Original 8.25% Senior Notes (i) to redeem all of our previous $250.0 million aggregate principal amount of 5.0% senior unsecured notes, which were due in 2022, or the 5.0% Senior</w:t>
      </w:r>
      <w:r>
        <w:rPr>
          <w:sz w:val="20"/>
          <w:szCs w:val="20"/>
        </w:rPr>
        <w:t xml:space="preserve"> Notes, including the payment of the applicable "make-whole" redemption amount of $15.5 million and accrued interest, and (ii) to repurchase $149.0 million of our $350.0 million principal amount of 4.625% senior unsecured notes due 2023, or the 4.625% Seni</w:t>
      </w:r>
      <w:r>
        <w:rPr>
          <w:sz w:val="20"/>
          <w:szCs w:val="20"/>
        </w:rPr>
        <w:t>or Notes, at an aggregate purchase price of $151.2 million in privately negotiated transactions, reducing the outstanding balance of the 4.625% Senior Notes to $201.0 million.  In the second and fourth quarters of 2021, we purchased an additional aggregate</w:t>
      </w:r>
      <w:r>
        <w:rPr>
          <w:sz w:val="20"/>
          <w:szCs w:val="20"/>
        </w:rPr>
        <w:t xml:space="preserve"> $27.3 million of our 4.625% Senior Notes at par in open market purchases, further reducing the outstanding balance of the 4.625% Senior Notes to $173.7 million. In addition, in the second quarter of 2022, we purchased an additional $3.6 million of the 4.6</w:t>
      </w:r>
      <w:r>
        <w:rPr>
          <w:sz w:val="20"/>
          <w:szCs w:val="20"/>
        </w:rPr>
        <w:t>25% Senior Notes at a weighted average purchase price approximately equal to par in open market purchases, reducing the outstanding balance of the 4.625% Senior Notes to $170.1 million.  The "make-whole" redemption amount paid in connection with the redemp</w:t>
      </w:r>
      <w:r>
        <w:rPr>
          <w:sz w:val="20"/>
          <w:szCs w:val="20"/>
        </w:rPr>
        <w:t>tion of the 5.0% Senior Notes and the aggregate price paid for the 4.625% Senior Notes in excess of the principal amount of the notes repurchased resulted in charges of approximately $19.2 million during the second quarter of 2021, including costs associat</w:t>
      </w:r>
      <w:r>
        <w:rPr>
          <w:sz w:val="20"/>
          <w:szCs w:val="20"/>
        </w:rPr>
        <w:t>ed with the repurchases and the proportionate write-off of existing debt issuance costs.  The remaining net proceeds were used to pay down a portion of the amounts outstanding under the Previous Revolving Credit Facility and for general corporate purposes.</w:t>
      </w:r>
    </w:p>
    <w:p w:rsidR="00000000" w:rsidRDefault="00E35CFB">
      <w:pPr>
        <w:pStyle w:val="a3"/>
        <w:spacing w:before="240" w:beforeAutospacing="0" w:after="0" w:afterAutospacing="0"/>
        <w:jc w:val="both"/>
        <w:rPr>
          <w:sz w:val="20"/>
          <w:szCs w:val="20"/>
        </w:rPr>
      </w:pPr>
      <w:r>
        <w:rPr>
          <w:sz w:val="20"/>
          <w:szCs w:val="20"/>
        </w:rPr>
        <w:t>On September 29, 2021, we completed an underwritten registered tack-on offering of $225.0 million in aggregate principal amount of 8.25% Senior Notes due 2026, or the Additional 8.25% Senior Notes, at an issue price of 102.25% of their aggregate principal</w:t>
      </w:r>
      <w:r>
        <w:rPr>
          <w:sz w:val="20"/>
          <w:szCs w:val="20"/>
        </w:rPr>
        <w:t xml:space="preserve"> amount, plus accrued interest from the April 14, 2021 issue date for the Original 8.25% Senior Notes, resulting in an effective yield to maturity of 7.65% for the Additional 8.25% Senior Notes. The Additional 8.25% Senior Notes and the Original 8.25% Seni</w:t>
      </w:r>
      <w:r>
        <w:rPr>
          <w:sz w:val="20"/>
          <w:szCs w:val="20"/>
        </w:rPr>
        <w:t>or Notes, together the 8.25% Senior Notes, constitute a single class of securities and have identical terms, other than issue date and issue price. The issuance of the Additional 8.25% Senior Notes increased the total aggregate principal amount of the 8.25</w:t>
      </w:r>
      <w:r>
        <w:rPr>
          <w:sz w:val="20"/>
          <w:szCs w:val="20"/>
        </w:rPr>
        <w:t>% Senior Notes outstanding to $675.0 million. The net proceeds from the issuance of the Additional 8.25% Senior Notes totaled approximately $225.5 million, after deducting the underwriting discounts and estimated offering expenses and including the origina</w:t>
      </w:r>
      <w:r>
        <w:rPr>
          <w:sz w:val="20"/>
          <w:szCs w:val="20"/>
        </w:rPr>
        <w:t xml:space="preserve">l issuance premium. We used the net proceeds from the offering of the Additional 8.25% Senior Notes to pay down our Previous Revolving Credit Facility and for general corporate purposes. </w:t>
      </w:r>
    </w:p>
    <w:p w:rsidR="00000000" w:rsidRDefault="00E35CFB">
      <w:pPr>
        <w:pStyle w:val="a3"/>
        <w:spacing w:before="240" w:beforeAutospacing="0" w:after="0" w:afterAutospacing="0"/>
        <w:jc w:val="both"/>
        <w:rPr>
          <w:sz w:val="20"/>
          <w:szCs w:val="20"/>
        </w:rPr>
      </w:pPr>
      <w:r>
        <w:rPr>
          <w:sz w:val="20"/>
          <w:szCs w:val="20"/>
        </w:rPr>
        <w:t>Gross interest income was $2.6 million for both the three months end</w:t>
      </w:r>
      <w:r>
        <w:rPr>
          <w:sz w:val="20"/>
          <w:szCs w:val="20"/>
        </w:rPr>
        <w:t>ed June 30, 2022 and 2021, and was $5.1 million for both the six months ended June 30, 2022 and 2021.  Gross interest income is earned on notes receivable, investments, cash and cash equivalents, and restricted cash.  Interest income also includes interest</w:t>
      </w:r>
      <w:r>
        <w:rPr>
          <w:sz w:val="20"/>
          <w:szCs w:val="20"/>
        </w:rPr>
        <w:t xml:space="preserve"> income associated with the 20-year finance receivable associated with the Lansing Correctional Facility lease to the Kansas Department of Corrections, which commenced in January 2020, and amounted to $2.2 million for both the three months ended June 30, 2</w:t>
      </w:r>
      <w:r>
        <w:rPr>
          <w:sz w:val="20"/>
          <w:szCs w:val="20"/>
        </w:rPr>
        <w:t xml:space="preserve">022 and 2021, and $4.4 million for both the six months ended June 30, 2022 and 2021.  Total capitalized interest was $0.3 million and $0.1 during the three months ended June 30, 2022 and 2021, respectively, and was $0.5 million and $0.1 million during the </w:t>
      </w:r>
      <w:r>
        <w:rPr>
          <w:sz w:val="20"/>
          <w:szCs w:val="20"/>
        </w:rPr>
        <w:t xml:space="preserve">six months ended June 30, 2022 and 2021, respectively. </w:t>
      </w:r>
    </w:p>
    <w:p w:rsidR="00000000" w:rsidRDefault="00E35CFB">
      <w:pPr>
        <w:pStyle w:val="a3"/>
        <w:spacing w:before="360" w:beforeAutospacing="0" w:after="0" w:afterAutospacing="0"/>
        <w:jc w:val="both"/>
        <w:rPr>
          <w:b/>
          <w:bCs/>
          <w:i/>
          <w:iCs/>
          <w:sz w:val="20"/>
          <w:szCs w:val="20"/>
        </w:rPr>
      </w:pPr>
      <w:r>
        <w:rPr>
          <w:b/>
          <w:bCs/>
          <w:i/>
          <w:iCs/>
          <w:sz w:val="20"/>
          <w:szCs w:val="20"/>
        </w:rPr>
        <w:t>Expenses associated with debt repayments and refinancing transactions</w:t>
      </w:r>
    </w:p>
    <w:p w:rsidR="00000000" w:rsidRDefault="00E35CFB">
      <w:pPr>
        <w:pStyle w:val="a3"/>
        <w:spacing w:before="240" w:beforeAutospacing="0" w:after="0" w:afterAutospacing="0"/>
        <w:jc w:val="both"/>
        <w:rPr>
          <w:sz w:val="20"/>
          <w:szCs w:val="20"/>
        </w:rPr>
      </w:pPr>
      <w:r>
        <w:rPr>
          <w:sz w:val="20"/>
          <w:szCs w:val="20"/>
        </w:rPr>
        <w:t xml:space="preserve">As previously described, during the second quarter of 2022, we incurred charges of $0.8 million for </w:t>
      </w:r>
      <w:r>
        <w:rPr>
          <w:color w:val="242424"/>
          <w:sz w:val="20"/>
          <w:szCs w:val="20"/>
        </w:rPr>
        <w:t xml:space="preserve">the write-off of a portion of </w:t>
      </w:r>
      <w:r>
        <w:rPr>
          <w:color w:val="242424"/>
          <w:sz w:val="20"/>
          <w:szCs w:val="20"/>
        </w:rPr>
        <w:t>the pre-existing loan costs associated with our Previous Bank Credit Facility</w:t>
      </w:r>
      <w:r>
        <w:rPr>
          <w:sz w:val="20"/>
          <w:szCs w:val="20"/>
        </w:rPr>
        <w:t>, as well as $6.0 million associated with the write-off of the remaining unamortized debt issuance costs and original issue discount resulting from the prepayment of our Term Loan</w:t>
      </w:r>
      <w:r>
        <w:rPr>
          <w:sz w:val="20"/>
          <w:szCs w:val="20"/>
        </w:rPr>
        <w:t xml:space="preserve"> B.  </w:t>
      </w:r>
    </w:p>
    <w:p w:rsidR="00000000" w:rsidRDefault="00E35CFB">
      <w:pPr>
        <w:pStyle w:val="a3"/>
        <w:spacing w:before="240" w:beforeAutospacing="0" w:after="0" w:afterAutospacing="0"/>
        <w:jc w:val="both"/>
        <w:rPr>
          <w:sz w:val="20"/>
          <w:szCs w:val="20"/>
        </w:rPr>
      </w:pPr>
      <w:r>
        <w:rPr>
          <w:sz w:val="20"/>
          <w:szCs w:val="20"/>
        </w:rPr>
        <w:t>Also, as previously described, during the second quarter of 2021, we completed the sales of three non-core actively leased properties in two separate transactions for a collective aggregate price of $326.0 million, generating total net proceeds of $1</w:t>
      </w:r>
      <w:r>
        <w:rPr>
          <w:sz w:val="20"/>
          <w:szCs w:val="20"/>
        </w:rPr>
        <w:t>22.6 million after the repayment of two non-recourse mortgage notes associated with two of the properties and other transaction-related costs. In connection with the sales, we incurred charges of $32.5 million associated with the prepayment of the two non-</w:t>
      </w:r>
      <w:r>
        <w:rPr>
          <w:sz w:val="20"/>
          <w:szCs w:val="20"/>
        </w:rPr>
        <w:t xml:space="preserve">recourse mortgage notes and non-cash charges of $0.5 million associated with the write-off of existing debt issuance costs.  Expenses associated with debt repayments </w:t>
      </w:r>
    </w:p>
    <w:p w:rsidR="00000000" w:rsidRDefault="00E35CFB">
      <w:pPr>
        <w:pStyle w:val="a3"/>
        <w:spacing w:before="240" w:beforeAutospacing="0" w:after="0" w:afterAutospacing="0"/>
        <w:jc w:val="center"/>
        <w:rPr>
          <w:sz w:val="20"/>
          <w:szCs w:val="20"/>
        </w:rPr>
      </w:pPr>
      <w:r>
        <w:rPr>
          <w:sz w:val="20"/>
          <w:szCs w:val="20"/>
        </w:rPr>
        <w:t>36</w:t>
      </w:r>
    </w:p>
    <w:p w:rsidR="00000000" w:rsidRDefault="00E35CFB">
      <w:pPr>
        <w:rPr>
          <w:rFonts w:eastAsia="Times New Roman"/>
        </w:rPr>
      </w:pPr>
      <w:r>
        <w:rPr>
          <w:rFonts w:eastAsia="Times New Roman"/>
        </w:rPr>
        <w:pict>
          <v:rect id="_x0000_i1062"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and refinancing transactions during the second q</w:t>
      </w:r>
      <w:r>
        <w:rPr>
          <w:sz w:val="20"/>
          <w:szCs w:val="20"/>
        </w:rPr>
        <w:t xml:space="preserve">uarter of 2021 also included $19.2 million associated with the redemption of </w:t>
      </w:r>
      <w:r>
        <w:rPr>
          <w:color w:val="000000"/>
          <w:sz w:val="20"/>
          <w:szCs w:val="20"/>
        </w:rPr>
        <w:t xml:space="preserve">our $250.0 million in aggregate principal amount of 5.0% Senior Notes originally due in October 2022, as well as the aggregate price paid for our 4.625% Senior Notes in excess of </w:t>
      </w:r>
      <w:r>
        <w:rPr>
          <w:color w:val="000000"/>
          <w:sz w:val="20"/>
          <w:szCs w:val="20"/>
        </w:rPr>
        <w:t>the principal amount of the notes repurchased, costs associated with the repurchases, and the proportionate write-off of existing debt issuance costs.  </w:t>
      </w:r>
    </w:p>
    <w:p w:rsidR="00000000" w:rsidRDefault="00E35CFB">
      <w:pPr>
        <w:pStyle w:val="a3"/>
        <w:spacing w:before="360" w:beforeAutospacing="0" w:after="0" w:afterAutospacing="0"/>
        <w:jc w:val="both"/>
        <w:rPr>
          <w:b/>
          <w:bCs/>
          <w:i/>
          <w:iCs/>
          <w:sz w:val="20"/>
          <w:szCs w:val="20"/>
        </w:rPr>
      </w:pPr>
      <w:r>
        <w:rPr>
          <w:b/>
          <w:bCs/>
          <w:i/>
          <w:iCs/>
          <w:sz w:val="20"/>
          <w:szCs w:val="20"/>
        </w:rPr>
        <w:t>Income tax expense</w:t>
      </w:r>
    </w:p>
    <w:p w:rsidR="00000000" w:rsidRDefault="00E35CFB">
      <w:pPr>
        <w:pStyle w:val="a3"/>
        <w:spacing w:before="240" w:beforeAutospacing="0" w:after="0" w:afterAutospacing="0"/>
        <w:jc w:val="both"/>
        <w:rPr>
          <w:sz w:val="20"/>
          <w:szCs w:val="20"/>
        </w:rPr>
      </w:pPr>
      <w:r>
        <w:rPr>
          <w:sz w:val="20"/>
          <w:szCs w:val="20"/>
        </w:rPr>
        <w:t>On August 5, 2020, we announced that our BOD unanimously approved a plan to revoke o</w:t>
      </w:r>
      <w:r>
        <w:rPr>
          <w:sz w:val="20"/>
          <w:szCs w:val="20"/>
        </w:rPr>
        <w:t>ur REIT election and become a taxable C Corporation, effective January 1, 2021.  As a result, we are no longer required to operate under REIT rules, including the requirement to distribute at least 90% of our taxable income to our stockholders, which provi</w:t>
      </w:r>
      <w:r>
        <w:rPr>
          <w:sz w:val="20"/>
          <w:szCs w:val="20"/>
        </w:rPr>
        <w:t>des us with greater flexibility to use our free cash flow.  We continued to operate as a REIT for the remainder of the 2020 tax year, and existing REIT requirements and limitations, including those established by our organizational documents, remained in p</w:t>
      </w:r>
      <w:r>
        <w:rPr>
          <w:sz w:val="20"/>
          <w:szCs w:val="20"/>
        </w:rPr>
        <w:t>lace until January 1, 2021.  Effective January 1, 2021, we became subject to federal and state income taxes on our taxable income at applicable tax rates, and are no longer entitled to a tax deduction for dividends paid. We recorded an income tax expense o</w:t>
      </w:r>
      <w:r>
        <w:rPr>
          <w:sz w:val="20"/>
          <w:szCs w:val="20"/>
        </w:rPr>
        <w:t xml:space="preserve">f </w:t>
      </w:r>
      <w:r>
        <w:rPr>
          <w:spacing w:val="-2"/>
          <w:sz w:val="20"/>
          <w:szCs w:val="20"/>
        </w:rPr>
        <w:t>$4.0 million</w:t>
      </w:r>
      <w:r>
        <w:rPr>
          <w:sz w:val="20"/>
          <w:szCs w:val="20"/>
        </w:rPr>
        <w:t xml:space="preserve"> and $6.5 million for the three months ended June 30, 2022 and 2021, respectively, and $10.6 million and $120.1 million for the six months ended June 30, 2022 and 2021, respectively. Income tax expense related to operations for the three and </w:t>
      </w:r>
      <w:r>
        <w:rPr>
          <w:sz w:val="20"/>
          <w:szCs w:val="20"/>
        </w:rPr>
        <w:t>six months ended June 30, 2022 was partially offset by an income tax benefit of $2.0 million and $1.4 million, respectively, associated with shareholder litigation expenses and expenses associated with debt repayments and refinancing transactions, net of a</w:t>
      </w:r>
      <w:r>
        <w:rPr>
          <w:sz w:val="20"/>
          <w:szCs w:val="20"/>
        </w:rPr>
        <w:t xml:space="preserve">n income tax expense associated with the gain on sale of real estate assets.  Income tax expense for the first six months of 2021 included $114.2 million primarily resulting from the revaluation of our net deferred tax liabilities due to the completion of </w:t>
      </w:r>
      <w:r>
        <w:rPr>
          <w:sz w:val="20"/>
          <w:szCs w:val="20"/>
        </w:rPr>
        <w:t>all significant actions necessary to revoke our REIT election. No catch-up tax payments or penalties resulted from the revocation of our REIT election.  Income tax expense related to operations for the three and six months ended June 30, 2021 was partially</w:t>
      </w:r>
      <w:r>
        <w:rPr>
          <w:sz w:val="20"/>
          <w:szCs w:val="20"/>
        </w:rPr>
        <w:t xml:space="preserve"> offset by an income tax benefit of $4.2 million and $18.2 million, respectively, associated with the settlement agreement reached on April 16, 2021 in connection with the shareholder litigation, incremental expenses directly associated with COVID-19 (refl</w:t>
      </w:r>
      <w:r>
        <w:rPr>
          <w:sz w:val="20"/>
          <w:szCs w:val="20"/>
        </w:rPr>
        <w:t xml:space="preserve">ected in operating expenses), asset impairments, and expenses associated with debt repayments and refinancing transactions, net of an income tax expense associated with the gain on sale of real estate assets.     </w:t>
      </w:r>
    </w:p>
    <w:p w:rsidR="00000000" w:rsidRDefault="00E35CFB">
      <w:pPr>
        <w:pStyle w:val="a3"/>
        <w:spacing w:before="240" w:beforeAutospacing="0" w:after="0" w:afterAutospacing="0"/>
        <w:jc w:val="both"/>
        <w:rPr>
          <w:spacing w:val="-2"/>
          <w:sz w:val="20"/>
          <w:szCs w:val="20"/>
        </w:rPr>
      </w:pPr>
      <w:r>
        <w:rPr>
          <w:spacing w:val="-2"/>
          <w:sz w:val="20"/>
          <w:szCs w:val="20"/>
        </w:rPr>
        <w:t xml:space="preserve">Our effective tax rate could fluctuate in the future based on changes in estimates of taxable income, the implementation of additional tax planning strategies, changes in federal or state tax rates or laws affecting tax credits available to us, changes in </w:t>
      </w:r>
      <w:r>
        <w:rPr>
          <w:spacing w:val="-2"/>
          <w:sz w:val="20"/>
          <w:szCs w:val="20"/>
        </w:rPr>
        <w:t>other tax laws, changes in estimates related to uncertain tax positions, or changes in state apportionment factors, as well as changes in the valuation allowance applied to our deferred tax assets that are based primarily on the amount of state net operati</w:t>
      </w:r>
      <w:r>
        <w:rPr>
          <w:spacing w:val="-2"/>
          <w:sz w:val="20"/>
          <w:szCs w:val="20"/>
        </w:rPr>
        <w:t>ng losses and tax credits that could expire unused.</w:t>
      </w:r>
    </w:p>
    <w:p w:rsidR="00000000" w:rsidRDefault="00E35CFB">
      <w:pPr>
        <w:pStyle w:val="a3"/>
        <w:spacing w:before="360" w:beforeAutospacing="0" w:after="0" w:afterAutospacing="0"/>
        <w:jc w:val="both"/>
        <w:rPr>
          <w:b/>
          <w:bCs/>
          <w:sz w:val="20"/>
          <w:szCs w:val="20"/>
        </w:rPr>
      </w:pPr>
      <w:r>
        <w:rPr>
          <w:b/>
          <w:bCs/>
          <w:sz w:val="20"/>
          <w:szCs w:val="20"/>
        </w:rPr>
        <w:t>LIQUIDITY AND CAPITAL RESOURCES</w:t>
      </w:r>
    </w:p>
    <w:p w:rsidR="00000000" w:rsidRDefault="00E35CFB">
      <w:pPr>
        <w:pStyle w:val="a3"/>
        <w:spacing w:before="120" w:beforeAutospacing="0" w:after="0" w:afterAutospacing="0"/>
        <w:jc w:val="both"/>
        <w:rPr>
          <w:sz w:val="20"/>
          <w:szCs w:val="20"/>
        </w:rPr>
      </w:pPr>
      <w:r>
        <w:rPr>
          <w:sz w:val="20"/>
          <w:szCs w:val="20"/>
        </w:rPr>
        <w:t>Our principal capital requirements are for working capital, capital expenditures, and debt service payments, as well as outstanding commitments and contingencies, as furthe</w:t>
      </w:r>
      <w:r>
        <w:rPr>
          <w:sz w:val="20"/>
          <w:szCs w:val="20"/>
        </w:rPr>
        <w:t>r discussed in the notes to our financial statements.  Effective January 1, 2021, we became subject to federal and state income taxes on our taxable income at applicable tax rates, and are no longer entitled to a tax deduction for dividends paid, which wer</w:t>
      </w:r>
      <w:r>
        <w:rPr>
          <w:sz w:val="20"/>
          <w:szCs w:val="20"/>
        </w:rPr>
        <w:t>e available when we elected REIT status. However, we believe this conversion in corporate tax structure improves our overall credit profile and will lower our overall cost of capital, as we are able to allocate our free cash flow toward the repayment of de</w:t>
      </w:r>
      <w:r>
        <w:rPr>
          <w:sz w:val="20"/>
          <w:szCs w:val="20"/>
        </w:rPr>
        <w:t>bt, which may include the purchase of our outstanding debt in open market transactions, privately negotiated transactions or otherwise. Any such debt repurchases will depend upon prevailing market conditions, our liquidity requirements, contractual require</w:t>
      </w:r>
      <w:r>
        <w:rPr>
          <w:sz w:val="20"/>
          <w:szCs w:val="20"/>
        </w:rPr>
        <w:t>ments, applicable securities laws requirements, and other factors.  During 2021 and the first six months of 2022, we repaid $465.4 million of debt, net of the change in cash.  Following our first priority of utilizing free cash flow to reduce debt, we expe</w:t>
      </w:r>
      <w:r>
        <w:rPr>
          <w:sz w:val="20"/>
          <w:szCs w:val="20"/>
        </w:rPr>
        <w:t>ct to allocate a substantial portion of our free cash flow to returning capital to our shareholders, which could include share repurchases and future dividends.  Any future dividend is subject to the BOD's determinations as to the amount of distributions a</w:t>
      </w:r>
      <w:r>
        <w:rPr>
          <w:sz w:val="20"/>
          <w:szCs w:val="20"/>
        </w:rPr>
        <w:t xml:space="preserve">nd the timing thereof, as well as limitations under the Company's debt covenants.  We were not able to implement a meaningful share repurchase program under the REIT structure without increasing our debt because a substantial portion of our free cash flow </w:t>
      </w:r>
      <w:r>
        <w:rPr>
          <w:sz w:val="20"/>
          <w:szCs w:val="20"/>
        </w:rPr>
        <w:t>was required to satisfy the distribution requirements under the REIT structure. On May 2, 2022, the BOD approved a share repurchase program to purchase up to $150.0 million of our common stock.  On August 2, 2022, the BOD increased the authorization to rep</w:t>
      </w:r>
      <w:r>
        <w:rPr>
          <w:sz w:val="20"/>
          <w:szCs w:val="20"/>
        </w:rPr>
        <w:t>urchase under the share purchase program by up to an additional $75.0 million of our common stock, which resulted in a total aggregate authorized amount to repurchase of up to $225.0 million of our common stock.  Repurchases of our outstanding common stock</w:t>
      </w:r>
      <w:r>
        <w:rPr>
          <w:sz w:val="20"/>
          <w:szCs w:val="20"/>
        </w:rPr>
        <w:t xml:space="preserve"> will be made in accordance with applicable securities laws and may be made at our discretion based on parameters set by our BOD from time to time in the open market, through privately negotiated transactions, or otherwise.  The share repurchase program ha</w:t>
      </w:r>
      <w:r>
        <w:rPr>
          <w:sz w:val="20"/>
          <w:szCs w:val="20"/>
        </w:rPr>
        <w:t>s no time limit and does not obligate us to purchase any particular amount of our common stock.  The authorization for the share repurchase program may be terminated, suspended, increased or decreased by the BOD in its discretion at any time.  Through June</w:t>
      </w:r>
      <w:r>
        <w:rPr>
          <w:sz w:val="20"/>
          <w:szCs w:val="20"/>
        </w:rPr>
        <w:t xml:space="preserve"> 30, 2022, we completed the repurchase of 3.0 million shares of our common stock at a total cost of $37.5 million, using cash on hand and net cash provided by operations.  </w:t>
      </w:r>
    </w:p>
    <w:p w:rsidR="00000000" w:rsidRDefault="00E35CFB">
      <w:pPr>
        <w:pStyle w:val="a3"/>
        <w:spacing w:before="240" w:beforeAutospacing="0" w:after="0" w:afterAutospacing="0"/>
        <w:jc w:val="both"/>
        <w:rPr>
          <w:sz w:val="20"/>
          <w:szCs w:val="20"/>
        </w:rPr>
      </w:pPr>
      <w:r>
        <w:rPr>
          <w:sz w:val="20"/>
          <w:szCs w:val="20"/>
        </w:rPr>
        <w:t>We will also pursue attractive growth opportunities, including new development oppo</w:t>
      </w:r>
      <w:r>
        <w:rPr>
          <w:sz w:val="20"/>
          <w:szCs w:val="20"/>
        </w:rPr>
        <w:t xml:space="preserve">rtunities in our Properties segment to meet the need to modernize outdated correctional infrastructure across the country, and explore potential opportunities to expand the scope of </w:t>
      </w:r>
    </w:p>
    <w:p w:rsidR="00000000" w:rsidRDefault="00E35CFB">
      <w:pPr>
        <w:pStyle w:val="a3"/>
        <w:spacing w:before="240" w:beforeAutospacing="0" w:after="0" w:afterAutospacing="0"/>
        <w:jc w:val="center"/>
        <w:rPr>
          <w:sz w:val="20"/>
          <w:szCs w:val="20"/>
        </w:rPr>
      </w:pPr>
      <w:r>
        <w:rPr>
          <w:sz w:val="20"/>
          <w:szCs w:val="20"/>
        </w:rPr>
        <w:t>37</w:t>
      </w:r>
    </w:p>
    <w:p w:rsidR="00000000" w:rsidRDefault="00E35CFB">
      <w:pPr>
        <w:rPr>
          <w:rFonts w:eastAsia="Times New Roman"/>
        </w:rPr>
      </w:pPr>
      <w:r>
        <w:rPr>
          <w:rFonts w:eastAsia="Times New Roman"/>
        </w:rPr>
        <w:pict>
          <v:rect id="_x0000_i1063"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non-residential correctional alt</w:t>
      </w:r>
      <w:r>
        <w:rPr>
          <w:sz w:val="20"/>
          <w:szCs w:val="20"/>
        </w:rPr>
        <w:t>ernatives we provide in our Community segment that were not available under the REIT structure.  As a REIT, we depended on the capital markets to provide resources we could deploy toward acquisition and development opportunities.  This capital was not alwa</w:t>
      </w:r>
      <w:r>
        <w:rPr>
          <w:sz w:val="20"/>
          <w:szCs w:val="20"/>
        </w:rPr>
        <w:t>ys available to us and came at an increasing cost.  The revocation of our REIT election provides us with significantly more liquidity and financial flexibility, which enables us to reduce our reliance on the capital markets and enabled us to reduce the siz</w:t>
      </w:r>
      <w:r>
        <w:rPr>
          <w:sz w:val="20"/>
          <w:szCs w:val="20"/>
        </w:rPr>
        <w:t>e of our Bank Credit Facility.  </w:t>
      </w:r>
    </w:p>
    <w:p w:rsidR="00000000" w:rsidRDefault="00E35CFB">
      <w:pPr>
        <w:pStyle w:val="a3"/>
        <w:spacing w:before="240" w:beforeAutospacing="0" w:after="0" w:afterAutospacing="0"/>
        <w:jc w:val="both"/>
        <w:rPr>
          <w:sz w:val="20"/>
          <w:szCs w:val="20"/>
        </w:rPr>
      </w:pPr>
      <w:r>
        <w:rPr>
          <w:sz w:val="20"/>
          <w:szCs w:val="20"/>
        </w:rPr>
        <w:t xml:space="preserve">With the extensively aged criminal justice infrastructure in the U.S. today, we believe we can bring real estate and financing solutions to government agencies like we did in connection with the construction of the Lansing </w:t>
      </w:r>
      <w:r>
        <w:rPr>
          <w:sz w:val="20"/>
          <w:szCs w:val="20"/>
        </w:rPr>
        <w:t>Correctional Facility that commenced operations in January 2020.  We financed the construction of the Lansing Correctional Facility 100% with project specific financing, requiring no equity commitment from us.  We believe we can also provide other real est</w:t>
      </w:r>
      <w:r>
        <w:rPr>
          <w:sz w:val="20"/>
          <w:szCs w:val="20"/>
        </w:rPr>
        <w:t xml:space="preserve">ate solutions to government agencies faced with extensively aged criminal justice infrastructure, including "turn-key" solutions like those we will provide to the state of Arizona in connection with the new contract awarded to us during the fourth quarter </w:t>
      </w:r>
      <w:r>
        <w:rPr>
          <w:sz w:val="20"/>
          <w:szCs w:val="20"/>
        </w:rPr>
        <w:t>of 2021 at our La Palma Correctional Center, as well as real estate only solutions to government agencies that need correctional capacity where they prefer to perform the operations. We expect to incur $4.0 million to $5.0 million in capital expenditures f</w:t>
      </w:r>
      <w:r>
        <w:rPr>
          <w:sz w:val="20"/>
          <w:szCs w:val="20"/>
        </w:rPr>
        <w:t>or the award from the state of Arizona, and most real estate only solutions would not require material capital expenditures if we have existing capacity.  However, in the future we could incur capital expenditures to provide replacement capacity for govern</w:t>
      </w:r>
      <w:r>
        <w:rPr>
          <w:sz w:val="20"/>
          <w:szCs w:val="20"/>
        </w:rPr>
        <w:t xml:space="preserve">ment agencies that have extensively aged criminal justice infrastructure and are in need of new capacity. </w:t>
      </w:r>
    </w:p>
    <w:p w:rsidR="00000000" w:rsidRDefault="00E35CFB">
      <w:pPr>
        <w:pStyle w:val="a3"/>
        <w:spacing w:before="240" w:beforeAutospacing="0" w:after="0" w:afterAutospacing="0"/>
        <w:jc w:val="both"/>
        <w:rPr>
          <w:sz w:val="20"/>
          <w:szCs w:val="20"/>
        </w:rPr>
      </w:pPr>
      <w:r>
        <w:rPr>
          <w:sz w:val="20"/>
          <w:szCs w:val="20"/>
        </w:rPr>
        <w:t>In July 2022, we entered into a Purchase &amp; Sale Agreement with the Georgia Building Authority to purchase our 1,978-bed McRae Correctional Facility f</w:t>
      </w:r>
      <w:r>
        <w:rPr>
          <w:sz w:val="20"/>
          <w:szCs w:val="20"/>
        </w:rPr>
        <w:t>or a price of $130.0 million in order to update their aged and inefficient public sector correctional infrastructure.  We currently expect the sale, which is subject to customary closing conditions, to be completed during the third quarter of 2022.  We als</w:t>
      </w:r>
      <w:r>
        <w:rPr>
          <w:sz w:val="20"/>
          <w:szCs w:val="20"/>
        </w:rPr>
        <w:t xml:space="preserve">o sold two additional properties and a parcel of land during the third quarter of 2022 that generated net sales proceeds of approximately $15.6 million.  These sales will provide additional liquidity to us for general corporate purposes, which may include </w:t>
      </w:r>
      <w:r>
        <w:rPr>
          <w:sz w:val="20"/>
          <w:szCs w:val="20"/>
        </w:rPr>
        <w:t>making repurchases under our share repurchase plan and/or reducing our outstanding indebtedness.  </w:t>
      </w:r>
    </w:p>
    <w:p w:rsidR="00000000" w:rsidRDefault="00E35CFB">
      <w:pPr>
        <w:pStyle w:val="a3"/>
        <w:spacing w:before="240" w:beforeAutospacing="0" w:after="0" w:afterAutospacing="0"/>
        <w:jc w:val="both"/>
        <w:rPr>
          <w:spacing w:val="-2"/>
          <w:sz w:val="20"/>
          <w:szCs w:val="20"/>
        </w:rPr>
      </w:pPr>
      <w:r>
        <w:rPr>
          <w:spacing w:val="-2"/>
          <w:sz w:val="20"/>
          <w:szCs w:val="20"/>
        </w:rPr>
        <w:t>As of June 30, 2022, we had cash on hand of $115.6 million, and $233.2 million available under our New Revolving Credit Facility.  During the six months ende</w:t>
      </w:r>
      <w:r>
        <w:rPr>
          <w:spacing w:val="-2"/>
          <w:sz w:val="20"/>
          <w:szCs w:val="20"/>
        </w:rPr>
        <w:t xml:space="preserve">d June 30, 2022 and 2021, we generated $94.3 million and $82.3 million, respectively, in cash through operating activities.  We currently expect to be able to meet our cash expenditure requirements for the next year and beyond utilizing cash on hand, cash </w:t>
      </w:r>
      <w:r>
        <w:rPr>
          <w:spacing w:val="-2"/>
          <w:sz w:val="20"/>
          <w:szCs w:val="20"/>
        </w:rPr>
        <w:t>flows from operations, and availability under our New Revolving Credit Facility. Following the completion of the offering of the Original 8.25% Senior Notes and redemption of our 5.0% Senior Notes in the second quarter of 2021, and of the entry into our Ne</w:t>
      </w:r>
      <w:r>
        <w:rPr>
          <w:spacing w:val="-2"/>
          <w:sz w:val="20"/>
          <w:szCs w:val="20"/>
        </w:rPr>
        <w:t>w Bank Credit Facility in the second quarter of 2022, we have no debt maturities until May 2023, when $170.1 million of the 4.625% Senior Notes matures.  We currently anticipate that we will have sufficient liquidity to repay the remaining outstanding 4.62</w:t>
      </w:r>
      <w:r>
        <w:rPr>
          <w:spacing w:val="-2"/>
          <w:sz w:val="20"/>
          <w:szCs w:val="20"/>
        </w:rPr>
        <w:t xml:space="preserve">5% Senior Notes upon maturity.   </w:t>
      </w:r>
    </w:p>
    <w:p w:rsidR="00000000" w:rsidRDefault="00E35CFB">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receive sufficient appropriations to cover its cont</w:t>
      </w:r>
      <w:r>
        <w:rPr>
          <w:sz w:val="20"/>
          <w:szCs w:val="20"/>
        </w:rPr>
        <w:t>ractual obligations, it may terminate our contract or delay or reduce payment to us.  Delays in payment from our major customers or the termination of contracts from our major customers could have an adverse effect on our cash flow and financial condition.</w:t>
      </w:r>
      <w:r>
        <w:rPr>
          <w:sz w:val="20"/>
          <w:szCs w:val="20"/>
        </w:rPr>
        <w:t>  Although our revenue has been negatively impacted by COVID-19, we have not experienced any unusual delays in payments from our major customers.</w:t>
      </w:r>
    </w:p>
    <w:p w:rsidR="00000000" w:rsidRDefault="00E35CFB">
      <w:pPr>
        <w:pStyle w:val="a3"/>
        <w:spacing w:before="360" w:beforeAutospacing="0" w:after="0" w:afterAutospacing="0"/>
        <w:jc w:val="both"/>
        <w:rPr>
          <w:b/>
          <w:bCs/>
          <w:i/>
          <w:iCs/>
          <w:sz w:val="20"/>
          <w:szCs w:val="20"/>
        </w:rPr>
      </w:pPr>
      <w:r>
        <w:rPr>
          <w:b/>
          <w:bCs/>
          <w:i/>
          <w:iCs/>
          <w:sz w:val="20"/>
          <w:szCs w:val="20"/>
        </w:rPr>
        <w:t xml:space="preserve">Debt </w:t>
      </w:r>
    </w:p>
    <w:p w:rsidR="00000000" w:rsidRDefault="00E35CFB">
      <w:pPr>
        <w:pStyle w:val="a3"/>
        <w:spacing w:before="120" w:beforeAutospacing="0" w:after="0" w:afterAutospacing="0"/>
        <w:jc w:val="both"/>
        <w:rPr>
          <w:spacing w:val="-2"/>
          <w:sz w:val="20"/>
          <w:szCs w:val="20"/>
        </w:rPr>
      </w:pPr>
      <w:r>
        <w:rPr>
          <w:spacing w:val="-2"/>
          <w:sz w:val="20"/>
          <w:szCs w:val="20"/>
        </w:rPr>
        <w:t xml:space="preserve">As of June 30, 2022, we had $170.1 million principal amount of unsecured notes outstanding with a fixed </w:t>
      </w:r>
      <w:r>
        <w:rPr>
          <w:spacing w:val="-2"/>
          <w:sz w:val="20"/>
          <w:szCs w:val="20"/>
        </w:rPr>
        <w:t>stated interest rate of 4.625%, $250.0 million principal amount of unsecured notes outstanding with a fixed stated interest rate of 4.75%, and $675.0 million principal amount of unsecured notes outstanding with a fixed stated interest rate of 8.25%, or col</w:t>
      </w:r>
      <w:r>
        <w:rPr>
          <w:spacing w:val="-2"/>
          <w:sz w:val="20"/>
          <w:szCs w:val="20"/>
        </w:rPr>
        <w:t>lectively, the Senior Notes.  In addition, we had $152.7 million outstanding under the Kansas Notes with a fixed stated interest rate of 4.43% and $98.8 million outstanding under our New Term Loan A with a variable interest rate of 4.5%. There was no amoun</w:t>
      </w:r>
      <w:r>
        <w:rPr>
          <w:spacing w:val="-2"/>
          <w:sz w:val="20"/>
          <w:szCs w:val="20"/>
        </w:rPr>
        <w:t>t outstanding under our New Revolving Credit Facility as of June 30, 2022.  As of June 30, 2022, our total weighted average effective interest rate was 6.9%, while our total weighted average maturity was 5.3 years.</w:t>
      </w:r>
    </w:p>
    <w:p w:rsidR="00000000" w:rsidRDefault="00E35CFB">
      <w:pPr>
        <w:pStyle w:val="a3"/>
        <w:spacing w:before="240" w:beforeAutospacing="0" w:after="0" w:afterAutospacing="0"/>
        <w:jc w:val="both"/>
        <w:rPr>
          <w:sz w:val="20"/>
          <w:szCs w:val="20"/>
        </w:rPr>
      </w:pPr>
      <w:r>
        <w:rPr>
          <w:sz w:val="20"/>
          <w:szCs w:val="20"/>
        </w:rPr>
        <w:t xml:space="preserve">On May 12, 2022, we entered into the New </w:t>
      </w:r>
      <w:r>
        <w:rPr>
          <w:sz w:val="20"/>
          <w:szCs w:val="20"/>
        </w:rPr>
        <w:t>Bank Credit Facility in an aggregate principal amount of $350.0 million, consisting of the New Term Loan A of $100.0 million and the New Revolving Credit Facility with a borrowing capacity of $250.0 million. The New Bank Credit Facility replaced the Previo</w:t>
      </w:r>
      <w:r>
        <w:rPr>
          <w:sz w:val="20"/>
          <w:szCs w:val="20"/>
        </w:rPr>
        <w:t>us Bank Credit Facility, which was in an aggregate principal amount of $1.0 billion and consisted of the Previous Term Loan A with an original principal balance of $200.0 million and the Previous Revolving Credit facility with a borrowing capacity of $800.</w:t>
      </w:r>
      <w:r>
        <w:rPr>
          <w:sz w:val="20"/>
          <w:szCs w:val="20"/>
        </w:rPr>
        <w:t>0 million. The New Bank Credit Facility extends the maturity to May 2026 from the April 2023 maturity under the Previous Bank Credit Facility.  The New Bank Credit Facility includes an option to increase the availability under the New Revolving Credit Faci</w:t>
      </w:r>
      <w:r>
        <w:rPr>
          <w:sz w:val="20"/>
          <w:szCs w:val="20"/>
        </w:rPr>
        <w:t>lity and to request term loans from the lenders in an aggregate amount not to exceed the greater of (a) $200.0 million and (b) 50% of consolidated EBITDA for the most recently ended four-quarter period, subject to, among other things, the receipt of commit</w:t>
      </w:r>
      <w:r>
        <w:rPr>
          <w:sz w:val="20"/>
          <w:szCs w:val="20"/>
        </w:rPr>
        <w:t xml:space="preserve">ments for the increased amount. At our option, interest on outstanding borrowings under the New Bank Credit Facility is based on either a base rate plus a margin ranging from 1.75% to 3.5%, or at the BSBY rate plus a margin ranging from 2.75% to 4.5% </w:t>
      </w:r>
    </w:p>
    <w:p w:rsidR="00000000" w:rsidRDefault="00E35CFB">
      <w:pPr>
        <w:pStyle w:val="a3"/>
        <w:spacing w:before="240" w:beforeAutospacing="0" w:after="0" w:afterAutospacing="0"/>
        <w:jc w:val="center"/>
        <w:rPr>
          <w:sz w:val="20"/>
          <w:szCs w:val="20"/>
        </w:rPr>
      </w:pPr>
      <w:r>
        <w:rPr>
          <w:sz w:val="20"/>
          <w:szCs w:val="20"/>
        </w:rPr>
        <w:t>38</w:t>
      </w:r>
    </w:p>
    <w:p w:rsidR="00000000" w:rsidRDefault="00E35CFB">
      <w:pPr>
        <w:rPr>
          <w:rFonts w:eastAsia="Times New Roman"/>
        </w:rPr>
      </w:pPr>
      <w:r>
        <w:rPr>
          <w:rFonts w:eastAsia="Times New Roman"/>
        </w:rPr>
        <w:pict>
          <v:rect id="_x0000_i1064"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240" w:beforeAutospacing="0" w:after="0" w:afterAutospacing="0"/>
        <w:jc w:val="both"/>
        <w:rPr>
          <w:sz w:val="20"/>
          <w:szCs w:val="20"/>
        </w:rPr>
      </w:pPr>
      <w:r>
        <w:rPr>
          <w:sz w:val="20"/>
          <w:szCs w:val="20"/>
        </w:rPr>
        <w:t>based on our then-current total leverage ratio.  The New Revolving Credit Facility includes a $25.0 million sublimit for swing line loans that enables us to borrow at the base rate from the Administrative Agent on same</w:t>
      </w:r>
      <w:r>
        <w:rPr>
          <w:sz w:val="20"/>
          <w:szCs w:val="20"/>
        </w:rPr>
        <w:t xml:space="preserve">-day notice and also has a $100.0 million sublimit for the issuance of standby letters of credit. </w:t>
      </w:r>
    </w:p>
    <w:p w:rsidR="00000000" w:rsidRDefault="00E35CFB">
      <w:pPr>
        <w:pStyle w:val="a3"/>
        <w:spacing w:before="240" w:beforeAutospacing="0" w:after="0" w:afterAutospacing="0"/>
        <w:jc w:val="both"/>
        <w:rPr>
          <w:sz w:val="20"/>
          <w:szCs w:val="20"/>
        </w:rPr>
      </w:pPr>
      <w:r>
        <w:rPr>
          <w:sz w:val="20"/>
          <w:szCs w:val="20"/>
        </w:rPr>
        <w:t xml:space="preserve">The New Bank Credit Facility requires us to meet certain financial covenants, including, without limitation, a total leverage ratio of not more than 4.50 to </w:t>
      </w:r>
      <w:r>
        <w:rPr>
          <w:sz w:val="20"/>
          <w:szCs w:val="20"/>
        </w:rPr>
        <w:t xml:space="preserve">1.00 (from 5.50 to 1.00 under the Previous Bank Credit Facility) for which we may net unrestricted cash and cash equivalents not exceeding $100.0 million when calculating, a secured leverage ratio of not more than 2.50 to 1.00 (from 3.25 to 1.00 under the </w:t>
      </w:r>
      <w:r>
        <w:rPr>
          <w:sz w:val="20"/>
          <w:szCs w:val="20"/>
        </w:rPr>
        <w:t>Previous Bank Credit Facility) for which we may net unrestricted cash and cash equivalents not exceeding $100.0 million when calculating, and a fixed charge coverage ratio of not less than 1.75 to 1.00 (unchanged from the Previous Bank Credit Facility).  T</w:t>
      </w:r>
      <w:r>
        <w:rPr>
          <w:sz w:val="20"/>
          <w:szCs w:val="20"/>
        </w:rPr>
        <w:t xml:space="preserve">he New Bank Credit Facility is secured by a pledge of all of the capital stock (or other ownership interests) of our domestic restricted subsidiaries, 65% of the capital stock (or other ownership interests) of our "first-tier" foreign subsidiaries, all of </w:t>
      </w:r>
      <w:r>
        <w:rPr>
          <w:sz w:val="20"/>
          <w:szCs w:val="20"/>
        </w:rPr>
        <w:t>our accounts receivable and those of our domestic restricted subsidiaries, and substantially all of our deposit accounts and those of our domestic restricted subsidiaries. In the event that (a) the consolidated total leverage equals or exceeds 4.00 to 1.00</w:t>
      </w:r>
      <w:r>
        <w:rPr>
          <w:sz w:val="20"/>
          <w:szCs w:val="20"/>
        </w:rPr>
        <w:t xml:space="preserve"> or (b) we incur certain debt above a specified threshold, certain intangible assets and unencumbered real estate assets that meet a 50% loan-to-value requirement are required to be added as collateral. In addition, the New Bank Credit Facility contains ce</w:t>
      </w:r>
      <w:r>
        <w:rPr>
          <w:sz w:val="20"/>
          <w:szCs w:val="20"/>
        </w:rPr>
        <w:t>rtain covenants that, among other things, limit the incurrence of additional indebtedness, payment of dividends and other customary restricted payments, permitted investments, transactions with affiliates, asset sales, mergers and consolidations, liquidati</w:t>
      </w:r>
      <w:r>
        <w:rPr>
          <w:sz w:val="20"/>
          <w:szCs w:val="20"/>
        </w:rPr>
        <w:t>ons, prepayments and modifications of other indebtedness, liens and other encumbrances and other matters customarily restricted in such agreements.  The New Bank Credit Facility is subject to certain cross-default provisions with terms of our other unsecur</w:t>
      </w:r>
      <w:r>
        <w:rPr>
          <w:sz w:val="20"/>
          <w:szCs w:val="20"/>
        </w:rPr>
        <w:t xml:space="preserve">ed indebtedness, and is subject to acceleration upon the occurrence of a change of control. </w:t>
      </w:r>
    </w:p>
    <w:p w:rsidR="00000000" w:rsidRDefault="00E35CFB">
      <w:pPr>
        <w:pStyle w:val="a3"/>
        <w:spacing w:before="360" w:beforeAutospacing="0" w:after="0" w:afterAutospacing="0"/>
        <w:jc w:val="both"/>
        <w:rPr>
          <w:b/>
          <w:bCs/>
          <w:sz w:val="20"/>
          <w:szCs w:val="20"/>
        </w:rPr>
      </w:pPr>
      <w:r>
        <w:rPr>
          <w:b/>
          <w:bCs/>
          <w:sz w:val="20"/>
          <w:szCs w:val="20"/>
        </w:rPr>
        <w:t>Operating Activities</w:t>
      </w:r>
    </w:p>
    <w:p w:rsidR="00000000" w:rsidRDefault="00E35CFB">
      <w:pPr>
        <w:pStyle w:val="a3"/>
        <w:spacing w:before="120" w:beforeAutospacing="0" w:after="0" w:afterAutospacing="0"/>
        <w:jc w:val="both"/>
        <w:rPr>
          <w:sz w:val="20"/>
          <w:szCs w:val="20"/>
        </w:rPr>
      </w:pPr>
      <w:r>
        <w:rPr>
          <w:sz w:val="20"/>
          <w:szCs w:val="20"/>
        </w:rPr>
        <w:t>Our net cash provided by operating activities for the six months ended June 30, 2022 was $94.3 million, compared with $82.3 million for the sa</w:t>
      </w:r>
      <w:r>
        <w:rPr>
          <w:sz w:val="20"/>
          <w:szCs w:val="20"/>
        </w:rPr>
        <w:t>me period in the prior year.  Cash provided by operating activities represents the year to date net income (loss) plus depreciation and amortization, changes in various components of working capital, and various non-cash charges.</w:t>
      </w:r>
    </w:p>
    <w:p w:rsidR="00000000" w:rsidRDefault="00E35CFB">
      <w:pPr>
        <w:pStyle w:val="a3"/>
        <w:spacing w:before="360" w:beforeAutospacing="0" w:after="0" w:afterAutospacing="0"/>
        <w:jc w:val="both"/>
        <w:rPr>
          <w:b/>
          <w:bCs/>
          <w:sz w:val="20"/>
          <w:szCs w:val="20"/>
        </w:rPr>
      </w:pPr>
      <w:r>
        <w:rPr>
          <w:b/>
          <w:bCs/>
          <w:sz w:val="20"/>
          <w:szCs w:val="20"/>
        </w:rPr>
        <w:t>Investing Activities</w:t>
      </w:r>
    </w:p>
    <w:p w:rsidR="00000000" w:rsidRDefault="00E35CFB">
      <w:pPr>
        <w:pStyle w:val="a3"/>
        <w:spacing w:before="120" w:beforeAutospacing="0" w:after="0" w:afterAutospacing="0"/>
        <w:jc w:val="both"/>
        <w:rPr>
          <w:sz w:val="20"/>
          <w:szCs w:val="20"/>
        </w:rPr>
      </w:pPr>
      <w:r>
        <w:rPr>
          <w:sz w:val="20"/>
          <w:szCs w:val="20"/>
        </w:rPr>
        <w:t>Our net cash flow used in investing activities was $22.7 million for the six months ended June 30, 2022 and was primarily attributable to capital expenditures for facility development and expansions of $13.8 million and $20.1 million f</w:t>
      </w:r>
      <w:r>
        <w:rPr>
          <w:sz w:val="20"/>
          <w:szCs w:val="20"/>
        </w:rPr>
        <w:t>or facility maintenance and information technology capital expenditures, partially offset by $11.0 million in net proceeds from the sale of assets.  Our net cash flow provided by investing activities was $286.6 million for the six months ended June 30, 202</w:t>
      </w:r>
      <w:r>
        <w:rPr>
          <w:sz w:val="20"/>
          <w:szCs w:val="20"/>
        </w:rPr>
        <w:t>1 and was primarily attributable to $320.7 million in net proceeds from the sale of assets, partially offset by capital expenditures for facility development and expansions of $8.7 million and $24.7 million for facility maintenance and information technolo</w:t>
      </w:r>
      <w:r>
        <w:rPr>
          <w:sz w:val="20"/>
          <w:szCs w:val="20"/>
        </w:rPr>
        <w:t xml:space="preserve">gy capital expenditures.      </w:t>
      </w:r>
    </w:p>
    <w:p w:rsidR="00000000" w:rsidRDefault="00E35CFB">
      <w:pPr>
        <w:pStyle w:val="a3"/>
        <w:spacing w:before="360" w:beforeAutospacing="0" w:after="0" w:afterAutospacing="0"/>
        <w:jc w:val="both"/>
        <w:rPr>
          <w:b/>
          <w:bCs/>
          <w:sz w:val="20"/>
          <w:szCs w:val="20"/>
        </w:rPr>
      </w:pPr>
      <w:r>
        <w:rPr>
          <w:b/>
          <w:bCs/>
          <w:sz w:val="20"/>
          <w:szCs w:val="20"/>
        </w:rPr>
        <w:t>Financing Activities</w:t>
      </w:r>
    </w:p>
    <w:p w:rsidR="00000000" w:rsidRDefault="00E35CFB">
      <w:pPr>
        <w:pStyle w:val="a3"/>
        <w:spacing w:before="120" w:beforeAutospacing="0" w:after="0" w:afterAutospacing="0"/>
        <w:jc w:val="both"/>
        <w:rPr>
          <w:sz w:val="20"/>
          <w:szCs w:val="20"/>
        </w:rPr>
      </w:pPr>
      <w:r>
        <w:rPr>
          <w:sz w:val="20"/>
          <w:szCs w:val="20"/>
        </w:rPr>
        <w:t>Our net cash flow used in financing activities was $254.9 million for the six months ended June 30, 2022 and was primarily attributable to debt repayments, including the aforementioned $167.5 million rela</w:t>
      </w:r>
      <w:r>
        <w:rPr>
          <w:sz w:val="20"/>
          <w:szCs w:val="20"/>
        </w:rPr>
        <w:t>ted to our Previous Term Loan A, $124.1 million related to our Term Loan B, and $3.6 million related to our 4.625% Senior Notes.  In addition, our net cash flow used in financing activities was attributable to $10.3 million of scheduled principal repayment</w:t>
      </w:r>
      <w:r>
        <w:rPr>
          <w:sz w:val="20"/>
          <w:szCs w:val="20"/>
        </w:rPr>
        <w:t>s under our Term Loan A, Term Loan B, and our non-recourse mortgage note.  Our net cash flow used in financing activities also included $40.2 million for the share repurchase program our BOD authorized during the second quarter of 2022, as well as the purc</w:t>
      </w:r>
      <w:r>
        <w:rPr>
          <w:sz w:val="20"/>
          <w:szCs w:val="20"/>
        </w:rPr>
        <w:t>hase and retirement of common stock that was issued in connection with equity-based compensation, and dividend payments on restricted stock units that became vested of $0.9 million.  These payments were partially offset by the $100.0 million of proceeds fr</w:t>
      </w:r>
      <w:r>
        <w:rPr>
          <w:sz w:val="20"/>
          <w:szCs w:val="20"/>
        </w:rPr>
        <w:t>om the aforementioned issuance of the New Term Loan A.</w:t>
      </w:r>
    </w:p>
    <w:p w:rsidR="00000000" w:rsidRDefault="00E35CFB">
      <w:pPr>
        <w:pStyle w:val="a3"/>
        <w:spacing w:before="120" w:beforeAutospacing="0" w:after="0" w:afterAutospacing="0"/>
        <w:jc w:val="both"/>
        <w:rPr>
          <w:sz w:val="20"/>
          <w:szCs w:val="20"/>
        </w:rPr>
      </w:pPr>
      <w:r>
        <w:rPr>
          <w:sz w:val="20"/>
          <w:szCs w:val="20"/>
        </w:rPr>
        <w:t>Our net cash flow used in financing activities was $333.9 million for the six months ended June 30, 2021 and was primarily attributable to net repayments under our revolving credit facility of $107.0 m</w:t>
      </w:r>
      <w:r>
        <w:rPr>
          <w:sz w:val="20"/>
          <w:szCs w:val="20"/>
        </w:rPr>
        <w:t>illion.  In addition, cash flow used in financing activities included $19.5 million of scheduled principal repayments under our Previous Term Loan A, Term Loan B, and non-recourse mortgage notes, as well as $426.0 million for the aforementioned repayment o</w:t>
      </w:r>
      <w:r>
        <w:rPr>
          <w:sz w:val="20"/>
          <w:szCs w:val="20"/>
        </w:rPr>
        <w:t>f senior notes, $161.9 million for the repayment of non-recourse mortgage notes in connection with the aforementioned sale of assets, and $60.4 million for debt defeasance, issuance, and other refinancing and related costs.  Cash flow used in financing act</w:t>
      </w:r>
      <w:r>
        <w:rPr>
          <w:sz w:val="20"/>
          <w:szCs w:val="20"/>
        </w:rPr>
        <w:t>ivities also included $1.0 million of contingent consideration associated with the acquisition of a business acquired in 2019 and $1.6 million for the purchase and retirement of common stock that was issued in connection with equity-based compensation.  Th</w:t>
      </w:r>
      <w:r>
        <w:rPr>
          <w:sz w:val="20"/>
          <w:szCs w:val="20"/>
        </w:rPr>
        <w:t>ese payments were partially offset by the $445.5 million of proceeds from the aforementioned issuance of the Original 8.25% Senior Notes that were issued at 99.0% of face value.</w:t>
      </w:r>
    </w:p>
    <w:p w:rsidR="00000000" w:rsidRDefault="00E35CFB">
      <w:pPr>
        <w:pStyle w:val="a3"/>
        <w:spacing w:before="240" w:beforeAutospacing="0" w:after="0" w:afterAutospacing="0"/>
        <w:jc w:val="center"/>
        <w:rPr>
          <w:sz w:val="20"/>
          <w:szCs w:val="20"/>
        </w:rPr>
      </w:pPr>
      <w:r>
        <w:rPr>
          <w:sz w:val="20"/>
          <w:szCs w:val="20"/>
        </w:rPr>
        <w:t>39</w:t>
      </w:r>
    </w:p>
    <w:p w:rsidR="00000000" w:rsidRDefault="00E35CFB">
      <w:pPr>
        <w:rPr>
          <w:rFonts w:eastAsia="Times New Roman"/>
        </w:rPr>
      </w:pPr>
      <w:r>
        <w:rPr>
          <w:rFonts w:eastAsia="Times New Roman"/>
        </w:rPr>
        <w:pict>
          <v:rect id="_x0000_i1065"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jc w:val="both"/>
        <w:rPr>
          <w:b/>
          <w:bCs/>
          <w:sz w:val="20"/>
          <w:szCs w:val="20"/>
        </w:rPr>
      </w:pPr>
      <w:r>
        <w:rPr>
          <w:b/>
          <w:bCs/>
          <w:sz w:val="20"/>
          <w:szCs w:val="20"/>
        </w:rPr>
        <w:t>Supplemental Guarantor Information</w:t>
      </w:r>
    </w:p>
    <w:p w:rsidR="00000000" w:rsidRDefault="00E35CFB">
      <w:pPr>
        <w:pStyle w:val="a3"/>
        <w:spacing w:before="120" w:beforeAutospacing="0" w:after="0" w:afterAutospacing="0"/>
        <w:jc w:val="both"/>
        <w:rPr>
          <w:sz w:val="20"/>
          <w:szCs w:val="20"/>
        </w:rPr>
      </w:pPr>
      <w:r>
        <w:rPr>
          <w:sz w:val="20"/>
          <w:szCs w:val="20"/>
        </w:rPr>
        <w:t>On March 2, 2020, the SEC adopted final rules that amended and simplified the financial disclosure requirements for subsidiary issuers and guarantors of registered debt securities under Rules 3-10 and 3-16 of SEC Regulati</w:t>
      </w:r>
      <w:r>
        <w:rPr>
          <w:sz w:val="20"/>
          <w:szCs w:val="20"/>
        </w:rPr>
        <w:t>on S-X.  The rules permit registrants to provide certain alternative financial disclosures and non-financial disclosures in lieu of separate consolidating financial statements for subsidiary issuers and guarantors of registered debt securities (which we pr</w:t>
      </w:r>
      <w:r>
        <w:rPr>
          <w:sz w:val="20"/>
          <w:szCs w:val="20"/>
        </w:rPr>
        <w:t>eviously included within the notes to our financial statements included in our Annual Reports on Form 10-K and Quarterly Reports on Form 10-Q) if certain conditions are met. Although the disclosures required by the amendments did not become mandatory until</w:t>
      </w:r>
      <w:r>
        <w:rPr>
          <w:sz w:val="20"/>
          <w:szCs w:val="20"/>
        </w:rPr>
        <w:t xml:space="preserve"> January 4, 2021, voluntary early compliance was permitted.  We elected to voluntarily comply beginning with the quarterly period ended June 30, 2020.</w:t>
      </w:r>
    </w:p>
    <w:p w:rsidR="00000000" w:rsidRDefault="00E35CFB">
      <w:pPr>
        <w:pStyle w:val="a3"/>
        <w:spacing w:before="240" w:beforeAutospacing="0" w:after="0" w:afterAutospacing="0"/>
        <w:jc w:val="both"/>
        <w:rPr>
          <w:sz w:val="20"/>
          <w:szCs w:val="20"/>
        </w:rPr>
      </w:pPr>
      <w:r>
        <w:rPr>
          <w:sz w:val="20"/>
          <w:szCs w:val="20"/>
        </w:rPr>
        <w:t>All of the domestic subsidiaries of CoreCivic (as the parent corporation) that guarantee the Credit Agree</w:t>
      </w:r>
      <w:r>
        <w:rPr>
          <w:sz w:val="20"/>
          <w:szCs w:val="20"/>
        </w:rPr>
        <w:t xml:space="preserve">ments have provided full and unconditional guarantees of our Senior Notes.  All of CoreCivic's subsidiaries guaranteeing the Senior Notes are 100% owned direct or indirect subsidiaries of CoreCivic, and the subsidiary guarantees are full and unconditional </w:t>
      </w:r>
      <w:r>
        <w:rPr>
          <w:sz w:val="20"/>
          <w:szCs w:val="20"/>
        </w:rPr>
        <w:t xml:space="preserve">and are joint and several obligations of the guarantors. </w:t>
      </w:r>
    </w:p>
    <w:p w:rsidR="00000000" w:rsidRDefault="00E35CFB">
      <w:pPr>
        <w:pStyle w:val="a3"/>
        <w:spacing w:before="240" w:beforeAutospacing="0" w:after="0" w:afterAutospacing="0"/>
        <w:jc w:val="both"/>
        <w:rPr>
          <w:sz w:val="20"/>
          <w:szCs w:val="20"/>
        </w:rPr>
      </w:pPr>
      <w:r>
        <w:rPr>
          <w:sz w:val="20"/>
          <w:szCs w:val="20"/>
        </w:rPr>
        <w:t>As of June 30, 2022, neither CoreCivic nor any of its subsidiary guarantors had any material or significant restrictions on CoreCivic's ability to obtain funds from its subsidiaries by dividend or l</w:t>
      </w:r>
      <w:r>
        <w:rPr>
          <w:sz w:val="20"/>
          <w:szCs w:val="20"/>
        </w:rPr>
        <w:t>oan or to transfer assets from such subsidiaries.</w:t>
      </w:r>
    </w:p>
    <w:p w:rsidR="00000000" w:rsidRDefault="00E35CFB">
      <w:pPr>
        <w:pStyle w:val="a3"/>
        <w:spacing w:before="24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 among other things, create or permit to</w:t>
      </w:r>
      <w:r>
        <w:rPr>
          <w:sz w:val="20"/>
          <w:szCs w:val="20"/>
        </w:rPr>
        <w:t xml:space="preserve"> exist certain liens and consolidate, merge or transfer all or substantially all of CoreCivic's assets.  In addition, if CoreCivic experiences specific kinds of changes in control, CoreCivic must offer to repurchase all or a portion of the Senior Notes.  T</w:t>
      </w:r>
      <w:r>
        <w:rPr>
          <w:sz w:val="20"/>
          <w:szCs w:val="20"/>
        </w:rPr>
        <w:t>he offer price for the Senior Notes in connection with a change in control would be 101% of the aggregate principal amount of the notes repurchased plus accrued and unpaid interest, if any, on the notes repurchased to the date of purchase.  The indenture r</w:t>
      </w:r>
      <w:r>
        <w:rPr>
          <w:sz w:val="20"/>
          <w:szCs w:val="20"/>
        </w:rPr>
        <w:t xml:space="preserve">elated to our 8.25% Senior Notes due 2026 additionally limits our ability to incur indebtedness, make restricted payments and investments and prepay certain indebtedness.   </w:t>
      </w:r>
    </w:p>
    <w:p w:rsidR="00000000" w:rsidRDefault="00E35CFB">
      <w:pPr>
        <w:pStyle w:val="a3"/>
        <w:spacing w:before="240" w:beforeAutospacing="0" w:after="0" w:afterAutospacing="0"/>
        <w:jc w:val="both"/>
        <w:rPr>
          <w:sz w:val="20"/>
          <w:szCs w:val="20"/>
        </w:rPr>
      </w:pPr>
      <w:r>
        <w:rPr>
          <w:sz w:val="20"/>
          <w:szCs w:val="20"/>
        </w:rPr>
        <w:t>The following tables present summarized information for CoreCivic and the subsidia</w:t>
      </w:r>
      <w:r>
        <w:rPr>
          <w:sz w:val="20"/>
          <w:szCs w:val="20"/>
        </w:rPr>
        <w:t>ry guarantors, on a combined basis after elimination of (i) intercompany transactions and balances among CoreCivic and the subsidiary guarantors and (ii) equity in earnings from, and any investments in, any subsidiary that is a non-guarantor (in thousands)</w:t>
      </w:r>
      <w:r>
        <w:rPr>
          <w:sz w:val="20"/>
          <w:szCs w:val="20"/>
        </w:rPr>
        <w:t>.  </w:t>
      </w:r>
    </w:p>
    <w:p w:rsidR="00000000" w:rsidRDefault="00E35CFB">
      <w:pPr>
        <w:pStyle w:val="a3"/>
        <w:spacing w:before="240" w:beforeAutospacing="0" w:after="0" w:afterAutospacing="0"/>
        <w:jc w:val="both"/>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4"/>
        <w:gridCol w:w="65"/>
        <w:gridCol w:w="115"/>
        <w:gridCol w:w="857"/>
        <w:gridCol w:w="65"/>
        <w:gridCol w:w="65"/>
        <w:gridCol w:w="116"/>
        <w:gridCol w:w="1213"/>
        <w:gridCol w:w="65"/>
      </w:tblGrid>
      <w:tr w:rsidR="00000000">
        <w:trPr>
          <w:divId w:val="1903590670"/>
        </w:trPr>
        <w:tc>
          <w:tcPr>
            <w:tcW w:w="335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June 30, 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903590670"/>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409,650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531,626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Real estate and related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2,410,610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2,502,135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Other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217,003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224,277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2,627,613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2,726,412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371,571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237,795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Long-term debt, net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1,003,576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1,344,606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284,098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293,456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903590670"/>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1,287,674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1,638,062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jc w:val="both"/>
        <w:rPr>
          <w:b/>
          <w:bCs/>
          <w:sz w:val="20"/>
          <w:szCs w:val="20"/>
        </w:rPr>
      </w:pPr>
      <w:r>
        <w:rPr>
          <w:b/>
          <w:bCs/>
          <w:sz w:val="20"/>
          <w:szCs w:val="20"/>
        </w:rPr>
        <w:t> </w:t>
      </w:r>
    </w:p>
    <w:p w:rsidR="00000000" w:rsidRDefault="00E35CFB">
      <w:pPr>
        <w:pStyle w:val="a3"/>
        <w:spacing w:before="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942"/>
        <w:gridCol w:w="102"/>
        <w:gridCol w:w="115"/>
        <w:gridCol w:w="934"/>
        <w:gridCol w:w="65"/>
        <w:gridCol w:w="99"/>
        <w:gridCol w:w="115"/>
        <w:gridCol w:w="1021"/>
        <w:gridCol w:w="82"/>
      </w:tblGrid>
      <w:tr w:rsidR="00000000">
        <w:trPr>
          <w:divId w:val="417406233"/>
        </w:trPr>
        <w:tc>
          <w:tcPr>
            <w:tcW w:w="331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6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w:t>
            </w:r>
          </w:p>
          <w:p w:rsidR="00000000" w:rsidRDefault="00E35CFB">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 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E35CFB">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417406233"/>
        </w:trPr>
        <w:tc>
          <w:tcPr>
            <w:tcW w:w="331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Revenue</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908,991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9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1,848,315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17406233"/>
        </w:trPr>
        <w:tc>
          <w:tcPr>
            <w:tcW w:w="331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Operating expenses</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693,619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1,332,248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17406233"/>
        </w:trPr>
        <w:tc>
          <w:tcPr>
            <w:tcW w:w="331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Other expenses</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128,801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336,084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17406233"/>
        </w:trPr>
        <w:tc>
          <w:tcPr>
            <w:tcW w:w="3315"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Total expenses</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822,420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1,668,332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17406233"/>
        </w:trPr>
        <w:tc>
          <w:tcPr>
            <w:tcW w:w="3315"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Income before income taxes</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38,722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60,543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17406233"/>
        </w:trPr>
        <w:tc>
          <w:tcPr>
            <w:tcW w:w="3315"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 (loss)</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28,099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(77,456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bl>
    <w:p w:rsidR="00000000" w:rsidRDefault="00E35CFB">
      <w:pPr>
        <w:pStyle w:val="a3"/>
        <w:spacing w:before="240" w:beforeAutospacing="0" w:after="0" w:afterAutospacing="0"/>
        <w:jc w:val="center"/>
        <w:rPr>
          <w:sz w:val="20"/>
          <w:szCs w:val="20"/>
        </w:rPr>
      </w:pPr>
      <w:r>
        <w:rPr>
          <w:sz w:val="20"/>
          <w:szCs w:val="20"/>
        </w:rPr>
        <w:t>40</w:t>
      </w:r>
    </w:p>
    <w:p w:rsidR="00000000" w:rsidRDefault="00E35CFB">
      <w:pPr>
        <w:rPr>
          <w:rFonts w:eastAsia="Times New Roman"/>
        </w:rPr>
      </w:pPr>
      <w:r>
        <w:rPr>
          <w:rFonts w:eastAsia="Times New Roman"/>
        </w:rPr>
        <w:pict>
          <v:rect id="_x0000_i1066"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both"/>
        <w:rPr>
          <w:b/>
          <w:bCs/>
          <w:sz w:val="20"/>
          <w:szCs w:val="20"/>
        </w:rPr>
      </w:pPr>
      <w:r>
        <w:rPr>
          <w:b/>
          <w:bCs/>
          <w:sz w:val="20"/>
          <w:szCs w:val="20"/>
        </w:rPr>
        <w:t> </w:t>
      </w:r>
    </w:p>
    <w:p w:rsidR="00000000" w:rsidRDefault="00E35CFB">
      <w:pPr>
        <w:pStyle w:val="a3"/>
        <w:spacing w:before="160" w:beforeAutospacing="0" w:after="0" w:afterAutospacing="0"/>
        <w:jc w:val="both"/>
        <w:rPr>
          <w:b/>
          <w:bCs/>
          <w:sz w:val="20"/>
          <w:szCs w:val="20"/>
        </w:rPr>
      </w:pPr>
      <w:r>
        <w:rPr>
          <w:b/>
          <w:bCs/>
          <w:sz w:val="20"/>
          <w:szCs w:val="20"/>
        </w:rPr>
        <w:t>Funds from Operations</w:t>
      </w:r>
    </w:p>
    <w:p w:rsidR="00000000" w:rsidRDefault="00E35CFB">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w:t>
      </w:r>
      <w:r>
        <w:rPr>
          <w:sz w:val="20"/>
          <w:szCs w:val="20"/>
        </w:rPr>
        <w:t>te Investment Trusts, or NAREIT, defines FFO as net income computed in accordance with GAAP, excluding gains or losses from sales of property and extraordinary items, plus depreciation and amortization of real estate and impairment of depreciable real esta</w:t>
      </w:r>
      <w:r>
        <w:rPr>
          <w:sz w:val="20"/>
          <w:szCs w:val="20"/>
        </w:rPr>
        <w:t>te and after adjustments for unconsolidated partnerships and joint ventures calculated to reflect funds from operations on the same basis.  We believe FFO is an important supplemental measure of our operating performance and believe it is frequently used b</w:t>
      </w:r>
      <w:r>
        <w:rPr>
          <w:sz w:val="20"/>
          <w:szCs w:val="20"/>
        </w:rPr>
        <w:t xml:space="preserve">y securities analysts, investors and other interested parties in the evaluation of REITs and other real estate operating companies, many of which present FFO when reporting results. </w:t>
      </w:r>
    </w:p>
    <w:p w:rsidR="00000000" w:rsidRDefault="00E35CFB">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performance. We may make adjustments to FFO from time to time for certain other income and expenses that we consider non-recurrin</w:t>
      </w:r>
      <w:r>
        <w:rPr>
          <w:spacing w:val="-2"/>
          <w:sz w:val="20"/>
          <w:szCs w:val="20"/>
        </w:rPr>
        <w:t>g, infrequent or unusual, even though such items may require cash settlement, because such items do not reflect a necessary or ordinary component of our ongoing operations.  Normalized FFO excludes the effects of such items.</w:t>
      </w:r>
    </w:p>
    <w:p w:rsidR="00000000" w:rsidRDefault="00E35CFB">
      <w:pPr>
        <w:pStyle w:val="a3"/>
        <w:spacing w:before="240" w:beforeAutospacing="0" w:after="0" w:afterAutospacing="0"/>
        <w:jc w:val="both"/>
        <w:rPr>
          <w:sz w:val="20"/>
          <w:szCs w:val="20"/>
        </w:rPr>
      </w:pPr>
      <w:r>
        <w:rPr>
          <w:sz w:val="20"/>
          <w:szCs w:val="20"/>
        </w:rPr>
        <w:t>FFO and Normalized FFO are supp</w:t>
      </w:r>
      <w:r>
        <w:rPr>
          <w:sz w:val="20"/>
          <w:szCs w:val="20"/>
        </w:rPr>
        <w:t>lemental non-GAAP financial measures of real estate companies' operating performance, which do not represent cash generated from operating activities in accordance with GAAP and therefore should not be considered an alternative for net income or as a measu</w:t>
      </w:r>
      <w:r>
        <w:rPr>
          <w:sz w:val="20"/>
          <w:szCs w:val="20"/>
        </w:rPr>
        <w:t>re of liquidity. Our method of calculating FFO and Normalized FFO may be different from methods used by other REITs and real estate operating companies and, accordingly, may not be comparable to such REITs and other real estate operating companies.</w:t>
      </w:r>
    </w:p>
    <w:p w:rsidR="00000000" w:rsidRDefault="00E35CFB">
      <w:pPr>
        <w:pStyle w:val="a3"/>
        <w:spacing w:before="240" w:beforeAutospacing="0" w:after="0" w:afterAutospacing="0"/>
        <w:jc w:val="both"/>
        <w:rPr>
          <w:sz w:val="20"/>
          <w:szCs w:val="20"/>
        </w:rPr>
      </w:pPr>
      <w:r>
        <w:rPr>
          <w:sz w:val="20"/>
          <w:szCs w:val="20"/>
        </w:rPr>
        <w:t>Our rec</w:t>
      </w:r>
      <w:r>
        <w:rPr>
          <w:sz w:val="20"/>
          <w:szCs w:val="20"/>
        </w:rPr>
        <w:t>onciliation of net income to FFO and Normalized FFO for the three and six months ended June 30, 2022 and 2021 is as follows (in thousands):</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1007756095"/>
        </w:trPr>
        <w:tc>
          <w:tcPr>
            <w:tcW w:w="335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007756095"/>
        </w:trPr>
        <w:tc>
          <w:tcPr>
            <w:tcW w:w="335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10,562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24,501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24,926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Gain on sale of real estate assets, net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(1,060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007756095"/>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tax expense for special items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283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9,641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34,286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11,424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Expenses associated with debt repayments</w:t>
            </w:r>
          </w:p>
          <w:p w:rsidR="00000000" w:rsidRDefault="00E35CFB">
            <w:pPr>
              <w:pStyle w:val="a3"/>
              <w:spacing w:before="0" w:beforeAutospacing="0" w:after="0" w:afterAutospacing="0"/>
              <w:rPr>
                <w:color w:val="000000"/>
                <w:sz w:val="20"/>
                <w:szCs w:val="20"/>
              </w:rPr>
            </w:pPr>
            <w:r>
              <w:rPr>
                <w:color w:val="000000"/>
                <w:sz w:val="20"/>
                <w:szCs w:val="20"/>
              </w:rPr>
              <w:t>     and refinancing transactions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836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07756095"/>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(2,324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(13,826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1007756095"/>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40,667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56,017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240" w:beforeAutospacing="0" w:after="0" w:afterAutospacing="0"/>
        <w:jc w:val="center"/>
        <w:rPr>
          <w:sz w:val="20"/>
          <w:szCs w:val="20"/>
        </w:rPr>
      </w:pPr>
      <w:r>
        <w:rPr>
          <w:sz w:val="20"/>
          <w:szCs w:val="20"/>
        </w:rPr>
        <w:t>41</w:t>
      </w:r>
    </w:p>
    <w:p w:rsidR="00000000" w:rsidRDefault="00E35CFB">
      <w:pPr>
        <w:rPr>
          <w:rFonts w:eastAsia="Times New Roman"/>
        </w:rPr>
      </w:pPr>
      <w:r>
        <w:rPr>
          <w:rFonts w:eastAsia="Times New Roman"/>
        </w:rPr>
        <w:pict>
          <v:rect id="_x0000_i1067"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493187336"/>
        </w:trPr>
        <w:tc>
          <w:tcPr>
            <w:tcW w:w="335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E35CFB">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493187336"/>
        </w:trPr>
        <w:tc>
          <w:tcPr>
            <w:tcW w:w="3354"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29,565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48,667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48,685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Gain on sale of real estate assets, net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(3,321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tax expense for special items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908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9,291</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75,819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(89,427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Expenses associated with debt repayments</w:t>
            </w:r>
          </w:p>
          <w:p w:rsidR="00000000" w:rsidRDefault="00E35CFB">
            <w:pPr>
              <w:pStyle w:val="a3"/>
              <w:spacing w:before="0" w:beforeAutospacing="0" w:after="0" w:afterAutospacing="0"/>
              <w:rPr>
                <w:color w:val="000000"/>
                <w:sz w:val="20"/>
                <w:szCs w:val="20"/>
              </w:rPr>
            </w:pPr>
            <w:r>
              <w:rPr>
                <w:color w:val="000000"/>
                <w:sz w:val="20"/>
                <w:szCs w:val="20"/>
              </w:rPr>
              <w:t>    and refinancing transactions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6,805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2,434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taxes associated with change in corporate</w:t>
            </w:r>
          </w:p>
          <w:p w:rsidR="00000000" w:rsidRDefault="00E35CFB">
            <w:pPr>
              <w:pStyle w:val="a3"/>
              <w:spacing w:before="0" w:beforeAutospacing="0" w:after="0" w:afterAutospacing="0"/>
              <w:rPr>
                <w:color w:val="000000"/>
                <w:sz w:val="20"/>
                <w:szCs w:val="20"/>
              </w:rPr>
            </w:pPr>
            <w:r>
              <w:rPr>
                <w:color w:val="000000"/>
                <w:sz w:val="20"/>
                <w:szCs w:val="20"/>
              </w:rPr>
              <w:t>   tax structure and other special tax items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114,249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1,900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54,295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493187336"/>
        </w:trPr>
        <w:tc>
          <w:tcPr>
            <w:tcW w:w="3354"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(2,324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(27,536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r>
      <w:tr w:rsidR="00000000">
        <w:trPr>
          <w:divId w:val="493187336"/>
        </w:trPr>
        <w:tc>
          <w:tcPr>
            <w:tcW w:w="3354"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82,200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109,048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160" w:beforeAutospacing="0" w:after="0" w:afterAutospacing="0"/>
        <w:jc w:val="both"/>
        <w:rPr>
          <w:b/>
          <w:bCs/>
          <w:sz w:val="20"/>
          <w:szCs w:val="20"/>
        </w:rPr>
      </w:pPr>
      <w:r>
        <w:rPr>
          <w:b/>
          <w:bCs/>
          <w:sz w:val="20"/>
          <w:szCs w:val="20"/>
        </w:rPr>
        <w:t> </w:t>
      </w:r>
    </w:p>
    <w:p w:rsidR="00000000" w:rsidRDefault="00E35CFB">
      <w:pPr>
        <w:pStyle w:val="a3"/>
        <w:spacing w:before="160" w:beforeAutospacing="0" w:after="0" w:afterAutospacing="0"/>
        <w:jc w:val="both"/>
        <w:rPr>
          <w:b/>
          <w:bCs/>
          <w:sz w:val="20"/>
          <w:szCs w:val="20"/>
        </w:rPr>
      </w:pPr>
      <w:r>
        <w:rPr>
          <w:b/>
          <w:bCs/>
          <w:sz w:val="20"/>
          <w:szCs w:val="20"/>
        </w:rPr>
        <w:t>Material Cash Requirements</w:t>
      </w:r>
    </w:p>
    <w:p w:rsidR="00000000" w:rsidRDefault="00E35CFB">
      <w:pPr>
        <w:pStyle w:val="a3"/>
        <w:spacing w:before="120" w:beforeAutospacing="0" w:after="0" w:afterAutospacing="0"/>
        <w:jc w:val="both"/>
        <w:rPr>
          <w:sz w:val="20"/>
          <w:szCs w:val="20"/>
        </w:rPr>
      </w:pPr>
      <w:r>
        <w:rPr>
          <w:sz w:val="20"/>
          <w:szCs w:val="20"/>
        </w:rPr>
        <w:t>The following schedule summarizes our contractual cash obligations by the indicated period as of June 30, 2022 (in thousands):</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24"/>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815"/>
        <w:gridCol w:w="65"/>
      </w:tblGrid>
      <w:tr w:rsidR="00000000">
        <w:trPr>
          <w:divId w:val="193271423"/>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sz w:val="20"/>
                <w:szCs w:val="20"/>
              </w:rPr>
            </w:pPr>
            <w:r>
              <w:rPr>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066"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000000">
        <w:trPr>
          <w:divId w:val="193271423"/>
        </w:trPr>
        <w:tc>
          <w:tcPr>
            <w:tcW w:w="1840"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2022</w:t>
            </w:r>
          </w:p>
          <w:p w:rsidR="00000000" w:rsidRDefault="00E35CFB">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2026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Thereafter</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16"/>
                <w:szCs w:val="16"/>
              </w:rPr>
            </w:pPr>
            <w:r>
              <w:rPr>
                <w:b/>
                <w:bCs/>
                <w:color w:val="000000"/>
                <w:sz w:val="16"/>
                <w:szCs w:val="16"/>
              </w:rPr>
              <w:t> </w:t>
            </w:r>
          </w:p>
        </w:tc>
      </w:tr>
      <w:tr w:rsidR="00E35CFB">
        <w:trPr>
          <w:divId w:val="193271423"/>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Long-term debt</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4,786</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181,845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14,722</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17,698</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749,450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378,014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1,346,515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93271423"/>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Interest on senior and mortgage notes</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41,084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78,079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73,921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73,677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45,567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54,852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367,180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93271423"/>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Contractual facility developments and</w:t>
            </w:r>
          </w:p>
          <w:p w:rsidR="00000000" w:rsidRDefault="00E35CFB">
            <w:pPr>
              <w:pStyle w:val="a3"/>
              <w:spacing w:before="0" w:beforeAutospacing="0" w:after="0" w:afterAutospacing="0"/>
              <w:rPr>
                <w:color w:val="000000"/>
                <w:sz w:val="20"/>
                <w:szCs w:val="20"/>
              </w:rPr>
            </w:pPr>
            <w:r>
              <w:rPr>
                <w:color w:val="000000"/>
                <w:sz w:val="20"/>
                <w:szCs w:val="20"/>
              </w:rPr>
              <w:t>   other commitments</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2,420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2,420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93271423"/>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South Texas Family Residential Center</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25,922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38,460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218,786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93271423"/>
        </w:trPr>
        <w:tc>
          <w:tcPr>
            <w:tcW w:w="1840"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Leases</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2,495</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4,734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4,683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4,560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4,297</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18,484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39,253</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E35CFB">
        <w:trPr>
          <w:divId w:val="193271423"/>
        </w:trPr>
        <w:tc>
          <w:tcPr>
            <w:tcW w:w="1840"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Total contractual cash obligations</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76,707</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316,079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144,888</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147,356</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837,774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451,350</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1,974,154</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
                <w:szCs w:val="2"/>
              </w:rPr>
            </w:pPr>
            <w:r>
              <w:rPr>
                <w:color w:val="000000"/>
                <w:sz w:val="2"/>
                <w:szCs w:val="2"/>
              </w:rPr>
              <w:t> </w:t>
            </w:r>
          </w:p>
        </w:tc>
      </w:tr>
    </w:tbl>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both"/>
        <w:rPr>
          <w:sz w:val="20"/>
          <w:szCs w:val="20"/>
        </w:rPr>
      </w:pPr>
      <w:r>
        <w:rPr>
          <w:sz w:val="20"/>
          <w:szCs w:val="20"/>
        </w:rPr>
        <w:t xml:space="preserve">The cash obligations in the table above do not include future cash obligations for variable interest expense </w:t>
      </w:r>
      <w:r>
        <w:rPr>
          <w:sz w:val="20"/>
          <w:szCs w:val="20"/>
        </w:rPr>
        <w:t>associated with our New Term Loan A or the balance on our outstanding New Revolving Credit Facility, if any, as projections would be based on future outstanding balances as well as future variable interest rates, and we are unable to make reliable estimate</w:t>
      </w:r>
      <w:r>
        <w:rPr>
          <w:sz w:val="20"/>
          <w:szCs w:val="20"/>
        </w:rPr>
        <w:t>s of either.  We have two renovation projects, totaling approximately $23.0 million, with $4.1 million remaining to be incurred as of June 30, 2022, for which we have entered into a contract with a customer that obligates us to complete the projects.  Howe</w:t>
      </w:r>
      <w:r>
        <w:rPr>
          <w:sz w:val="20"/>
          <w:szCs w:val="20"/>
        </w:rPr>
        <w:t>ver, the federal government reimbursed us over a twelve-month period for these two projects. Certain of our other ongoing construction projects are not currently under contract and thus are not included as a contractual obligation above as we may generally</w:t>
      </w:r>
      <w:r>
        <w:rPr>
          <w:sz w:val="20"/>
          <w:szCs w:val="20"/>
        </w:rPr>
        <w:t xml:space="preserve"> suspend or terminate such projects without substantial penalty.  With respect to the South Texas Family Residential Center, the cash obligations included in the table above reflect the full contractual obligations of the lease of the site, excluding conti</w:t>
      </w:r>
      <w:r>
        <w:rPr>
          <w:sz w:val="20"/>
          <w:szCs w:val="20"/>
        </w:rPr>
        <w:t>ngent payments, even though the lease agreement provides us with the ability to terminate if ICE terminates the amended IGSA associated with the facility.  </w:t>
      </w:r>
    </w:p>
    <w:p w:rsidR="00000000" w:rsidRDefault="00E35CFB">
      <w:pPr>
        <w:pStyle w:val="a3"/>
        <w:spacing w:before="240" w:beforeAutospacing="0" w:after="0" w:afterAutospacing="0"/>
        <w:jc w:val="both"/>
        <w:rPr>
          <w:sz w:val="20"/>
          <w:szCs w:val="20"/>
        </w:rPr>
      </w:pPr>
      <w:r>
        <w:rPr>
          <w:sz w:val="20"/>
          <w:szCs w:val="20"/>
        </w:rPr>
        <w:t>We had $16.8 million of letters of credit outstanding at June 30, 2022 primarily to support our requirement to repay fees and claims under our self-insured workers' compensation plan in the event we do not repay the fees and claims due in accordance with t</w:t>
      </w:r>
      <w:r>
        <w:rPr>
          <w:sz w:val="20"/>
          <w:szCs w:val="20"/>
        </w:rPr>
        <w:t xml:space="preserve">he terms of the plan, and for a debt service reserve requirement under terms of the Kansas Notes.  The letters of credit are renewable annually.  We did not have any draws under these outstanding letters of credit during the six months ended June 30, 2022 </w:t>
      </w:r>
      <w:r>
        <w:rPr>
          <w:sz w:val="20"/>
          <w:szCs w:val="20"/>
        </w:rPr>
        <w:t>or 2021.  </w:t>
      </w:r>
    </w:p>
    <w:p w:rsidR="00000000" w:rsidRDefault="00E35CFB">
      <w:pPr>
        <w:pStyle w:val="a3"/>
        <w:spacing w:before="240" w:beforeAutospacing="0" w:after="0" w:afterAutospacing="0"/>
        <w:jc w:val="center"/>
        <w:rPr>
          <w:sz w:val="20"/>
          <w:szCs w:val="20"/>
        </w:rPr>
      </w:pPr>
      <w:r>
        <w:rPr>
          <w:sz w:val="20"/>
          <w:szCs w:val="20"/>
        </w:rPr>
        <w:t>42</w:t>
      </w:r>
    </w:p>
    <w:p w:rsidR="00000000" w:rsidRDefault="00E35CFB">
      <w:pPr>
        <w:rPr>
          <w:rFonts w:eastAsia="Times New Roman"/>
        </w:rPr>
      </w:pPr>
      <w:r>
        <w:rPr>
          <w:rFonts w:eastAsia="Times New Roman"/>
        </w:rPr>
        <w:pict>
          <v:rect id="_x0000_i1068"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360" w:beforeAutospacing="0" w:after="0" w:afterAutospacing="0"/>
        <w:jc w:val="both"/>
        <w:rPr>
          <w:b/>
          <w:bCs/>
          <w:sz w:val="20"/>
          <w:szCs w:val="20"/>
        </w:rPr>
      </w:pPr>
      <w:r>
        <w:rPr>
          <w:b/>
          <w:bCs/>
          <w:sz w:val="20"/>
          <w:szCs w:val="20"/>
        </w:rPr>
        <w:t>INFLATION</w:t>
      </w:r>
    </w:p>
    <w:p w:rsidR="00000000" w:rsidRDefault="00E35CFB">
      <w:pPr>
        <w:pStyle w:val="a3"/>
        <w:spacing w:before="120" w:beforeAutospacing="0" w:after="0" w:afterAutospacing="0"/>
        <w:jc w:val="both"/>
        <w:rPr>
          <w:sz w:val="20"/>
          <w:szCs w:val="20"/>
        </w:rPr>
      </w:pPr>
      <w:r>
        <w:rPr>
          <w:sz w:val="20"/>
          <w:szCs w:val="20"/>
        </w:rPr>
        <w:t>Many of our contracts include provisions for inflationary indexing, which may mitigate an adverse impact of inflation on net income.  However, a substantial increase in personnel costs, workers'</w:t>
      </w:r>
      <w:r>
        <w:rPr>
          <w:sz w:val="20"/>
          <w:szCs w:val="20"/>
        </w:rPr>
        <w:t xml:space="preserve"> compensation or food and medical expenses could have an adverse impact on our results of operations in the future to the extent that these expenses increase at a faster pace than the per diem or fixed rates we receive for our management services.  As prev</w:t>
      </w:r>
      <w:r>
        <w:rPr>
          <w:sz w:val="20"/>
          <w:szCs w:val="20"/>
        </w:rPr>
        <w:t>iously described herein, we have experienced increases in personnel costs and expect the labor market to remain challenging, which could have a material adverse effect on our operations.  We outsource our food service operations to a third party.  The cont</w:t>
      </w:r>
      <w:r>
        <w:rPr>
          <w:sz w:val="20"/>
          <w:szCs w:val="20"/>
        </w:rPr>
        <w:t>ract with our outsourced food service vendor contains certain protections against increases in food costs.  </w:t>
      </w:r>
    </w:p>
    <w:p w:rsidR="00000000" w:rsidRDefault="00E35CFB">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E35CFB">
      <w:pPr>
        <w:pStyle w:val="a3"/>
        <w:spacing w:before="120" w:beforeAutospacing="0" w:after="0" w:afterAutospacing="0"/>
        <w:jc w:val="both"/>
        <w:rPr>
          <w:sz w:val="20"/>
          <w:szCs w:val="20"/>
        </w:rPr>
      </w:pPr>
      <w:r>
        <w:rPr>
          <w:sz w:val="20"/>
          <w:szCs w:val="20"/>
        </w:rPr>
        <w:t xml:space="preserve">Certain aspects of our business are subject to seasonal fluctuations.  Because we are generally compensated for </w:t>
      </w:r>
      <w:r>
        <w:rPr>
          <w:sz w:val="20"/>
          <w:szCs w:val="20"/>
        </w:rPr>
        <w:t>operating and managing correctional, detention, and reentry facilities at a per diem rate, our financial results are impacted by the number of calendar days in a fiscal quarter. Our fiscal year follows the calendar year and therefore, our daily profits for</w:t>
      </w:r>
      <w:r>
        <w:rPr>
          <w:sz w:val="20"/>
          <w:szCs w:val="20"/>
        </w:rPr>
        <w:t xml:space="preserve"> the third and fourth quarters include two more days than the first quarter (except in leap years) and one more day than the second quarter.  Further, salaries and benefits represent the most significant component of operating expenses.  Significant portio</w:t>
      </w:r>
      <w:r>
        <w:rPr>
          <w:sz w:val="20"/>
          <w:szCs w:val="20"/>
        </w:rPr>
        <w:t>ns of our unemployment taxes are recognized during the first quarter, when base wage rates reset for unemployment tax purposes.  Quarterly results are also affected by government funding initiatives, acquisitions, the timing of the opening of new facilitie</w:t>
      </w:r>
      <w:r>
        <w:rPr>
          <w:sz w:val="20"/>
          <w:szCs w:val="20"/>
        </w:rPr>
        <w:t xml:space="preserve">s, or the commencement of new management contracts and related start-up expenses which may mitigate or exacerbate the impact of other seasonal influences.  Because of seasonality factors, and other factors described herein, results for any quarter are not </w:t>
      </w:r>
      <w:r>
        <w:rPr>
          <w:sz w:val="20"/>
          <w:szCs w:val="20"/>
        </w:rPr>
        <w:t xml:space="preserve">necessarily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309288826"/>
        </w:trPr>
        <w:tc>
          <w:tcPr>
            <w:tcW w:w="453" w:type="pct"/>
            <w:noWrap/>
            <w:hideMark/>
          </w:tcPr>
          <w:p w:rsidR="00000000" w:rsidRDefault="00E35CFB">
            <w:pPr>
              <w:pStyle w:val="a3"/>
              <w:spacing w:before="360" w:beforeAutospacing="0" w:after="0" w:afterAutospacing="0"/>
              <w:rPr>
                <w:b/>
                <w:bCs/>
                <w:sz w:val="20"/>
                <w:szCs w:val="20"/>
              </w:rPr>
            </w:pPr>
            <w:r>
              <w:rPr>
                <w:b/>
                <w:bCs/>
                <w:sz w:val="20"/>
                <w:szCs w:val="20"/>
              </w:rPr>
              <w:t>ITEM 3.</w:t>
            </w:r>
          </w:p>
        </w:tc>
        <w:tc>
          <w:tcPr>
            <w:tcW w:w="0" w:type="auto"/>
            <w:hideMark/>
          </w:tcPr>
          <w:p w:rsidR="00000000" w:rsidRDefault="00E35CFB">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E35CFB">
      <w:pPr>
        <w:pStyle w:val="a3"/>
        <w:spacing w:before="120" w:beforeAutospacing="0" w:after="0" w:afterAutospacing="0"/>
        <w:jc w:val="both"/>
        <w:rPr>
          <w:sz w:val="20"/>
          <w:szCs w:val="20"/>
        </w:rPr>
      </w:pPr>
      <w:r>
        <w:rPr>
          <w:sz w:val="20"/>
          <w:szCs w:val="20"/>
        </w:rPr>
        <w:t>Our primary market risk exposure is to changes in U.S. interest rates.  We are exposed to market risk</w:t>
      </w:r>
      <w:r>
        <w:rPr>
          <w:sz w:val="20"/>
          <w:szCs w:val="20"/>
        </w:rPr>
        <w:t xml:space="preserve"> related to our New Revolving Credit Facility and our New Term Loan A, which include interest rate spreads that apply the BSBY rate rather than LIBOR, because the interest rates on these loans are subject to fluctuations in the market.  We were also expose</w:t>
      </w:r>
      <w:r>
        <w:rPr>
          <w:sz w:val="20"/>
          <w:szCs w:val="20"/>
        </w:rPr>
        <w:t>d to market risk related to our Term Loan B prior to its prepayment in full in May 2022.  If the interest rate for our outstanding indebtedness under the Revolving Credit Facility, the Term Loan A, and the Term Loan B was 100 basis points higher or lower (</w:t>
      </w:r>
      <w:r>
        <w:rPr>
          <w:sz w:val="20"/>
          <w:szCs w:val="20"/>
        </w:rPr>
        <w:t>but not less than 0%) during the three and six months ended June 30, 2022, our interest expense, net of amounts capitalized, would have been increased by $0.4 million and $0.9 million, respectively, and would have been decreased by $0.2 million and $0.3 mi</w:t>
      </w:r>
      <w:r>
        <w:rPr>
          <w:sz w:val="20"/>
          <w:szCs w:val="20"/>
        </w:rPr>
        <w:t xml:space="preserve">llion, respectively. </w:t>
      </w:r>
    </w:p>
    <w:p w:rsidR="00000000" w:rsidRDefault="00E35CFB">
      <w:pPr>
        <w:pStyle w:val="a3"/>
        <w:spacing w:before="240" w:beforeAutospacing="0" w:after="0" w:afterAutospacing="0"/>
        <w:jc w:val="both"/>
        <w:rPr>
          <w:sz w:val="20"/>
          <w:szCs w:val="20"/>
        </w:rPr>
      </w:pPr>
      <w:r>
        <w:rPr>
          <w:sz w:val="20"/>
          <w:szCs w:val="20"/>
        </w:rPr>
        <w:t xml:space="preserve">As of June 30, 2022, we had outstanding $170.1 million of senior notes due 2023 with a fixed interest rate of 4.625%, $675.0 million of senior notes due 2026 with a fixed interest rate of 8.25%, and $250.0 million of senior notes due </w:t>
      </w:r>
      <w:r>
        <w:rPr>
          <w:sz w:val="20"/>
          <w:szCs w:val="20"/>
        </w:rPr>
        <w:t xml:space="preserve">2027 with a fixed interest rate of 4.75%. We also had $152.7 million outstanding under the Kansas Notes with a fixed interest rate of 4.43%. Because the interest rates with respect to these instruments are fixed, a hypothetical 100 basis point increase or </w:t>
      </w:r>
      <w:r>
        <w:rPr>
          <w:sz w:val="20"/>
          <w:szCs w:val="20"/>
        </w:rPr>
        <w:t>decrease in market interest rates would not have a material impact on our financial statements.</w:t>
      </w:r>
    </w:p>
    <w:p w:rsidR="00000000" w:rsidRDefault="00E35CFB">
      <w:pPr>
        <w:pStyle w:val="a3"/>
        <w:spacing w:before="240" w:beforeAutospacing="0" w:after="0" w:afterAutospacing="0"/>
        <w:jc w:val="both"/>
        <w:rPr>
          <w:sz w:val="20"/>
          <w:szCs w:val="20"/>
        </w:rPr>
      </w:pPr>
      <w:r>
        <w:rPr>
          <w:sz w:val="20"/>
          <w:szCs w:val="20"/>
        </w:rPr>
        <w:t>We may, from time to time, invest our cash in a variety of short-term financial instruments.  These instruments generally consist of highly liquid investments w</w:t>
      </w:r>
      <w:r>
        <w:rPr>
          <w:sz w:val="20"/>
          <w:szCs w:val="20"/>
        </w:rPr>
        <w:t>ith original maturities at the date of purchase of three months or less.  While these investments are subject to interest rate risk and will decline in value if market interest rates increase, a hypothetical 100 basis point increase or decrease in market i</w:t>
      </w:r>
      <w:r>
        <w:rPr>
          <w:sz w:val="20"/>
          <w:szCs w:val="20"/>
        </w:rPr>
        <w:t>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39403662"/>
        </w:trPr>
        <w:tc>
          <w:tcPr>
            <w:tcW w:w="453" w:type="pct"/>
            <w:noWrap/>
            <w:hideMark/>
          </w:tcPr>
          <w:p w:rsidR="00000000" w:rsidRDefault="00E35CFB">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E35CFB">
            <w:pPr>
              <w:pStyle w:val="a3"/>
              <w:spacing w:before="360" w:beforeAutospacing="0" w:after="0" w:afterAutospacing="0"/>
              <w:jc w:val="both"/>
              <w:rPr>
                <w:b/>
                <w:bCs/>
                <w:sz w:val="20"/>
                <w:szCs w:val="20"/>
              </w:rPr>
            </w:pPr>
            <w:r>
              <w:rPr>
                <w:b/>
                <w:bCs/>
                <w:sz w:val="20"/>
                <w:szCs w:val="20"/>
              </w:rPr>
              <w:t>CONTROLS AND PROCEDURES.</w:t>
            </w:r>
          </w:p>
        </w:tc>
      </w:tr>
    </w:tbl>
    <w:p w:rsidR="00000000" w:rsidRDefault="00E35CFB">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w:t>
      </w:r>
      <w:r>
        <w:rPr>
          <w:sz w:val="20"/>
          <w:szCs w:val="20"/>
        </w:rPr>
        <w:t xml:space="preserve">y to materially affect, our internal control over financial reporting. </w:t>
      </w:r>
    </w:p>
    <w:p w:rsidR="00000000" w:rsidRDefault="00E35CFB">
      <w:pPr>
        <w:pStyle w:val="a3"/>
        <w:spacing w:before="240" w:beforeAutospacing="0" w:after="0" w:afterAutospacing="0"/>
        <w:jc w:val="center"/>
        <w:rPr>
          <w:sz w:val="20"/>
          <w:szCs w:val="20"/>
        </w:rPr>
      </w:pPr>
      <w:r>
        <w:rPr>
          <w:sz w:val="20"/>
          <w:szCs w:val="20"/>
        </w:rPr>
        <w:t>43</w:t>
      </w:r>
    </w:p>
    <w:p w:rsidR="00000000" w:rsidRDefault="00E35CFB">
      <w:pPr>
        <w:rPr>
          <w:rFonts w:eastAsia="Times New Roman"/>
        </w:rPr>
      </w:pPr>
      <w:r>
        <w:rPr>
          <w:rFonts w:eastAsia="Times New Roman"/>
        </w:rPr>
        <w:pict>
          <v:rect id="_x0000_i1069"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604116427"/>
        </w:trPr>
        <w:tc>
          <w:tcPr>
            <w:tcW w:w="453" w:type="pct"/>
            <w:noWrap/>
            <w:hideMark/>
          </w:tcPr>
          <w:p w:rsidR="00000000" w:rsidRDefault="00E35CFB">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E35CFB">
            <w:pPr>
              <w:pStyle w:val="a3"/>
              <w:spacing w:before="240" w:beforeAutospacing="0" w:after="0" w:afterAutospacing="0"/>
              <w:jc w:val="both"/>
              <w:rPr>
                <w:b/>
                <w:bCs/>
                <w:sz w:val="20"/>
                <w:szCs w:val="20"/>
              </w:rPr>
            </w:pPr>
            <w:r>
              <w:rPr>
                <w:b/>
                <w:bCs/>
                <w:sz w:val="20"/>
                <w:szCs w:val="20"/>
              </w:rPr>
              <w:t>LEGAL PROCEEDINGS.</w:t>
            </w:r>
          </w:p>
        </w:tc>
      </w:tr>
    </w:tbl>
    <w:p w:rsidR="00000000" w:rsidRDefault="00E35CFB">
      <w:pPr>
        <w:pStyle w:val="a3"/>
        <w:spacing w:before="0" w:beforeAutospacing="0" w:after="0" w:afterAutospacing="0"/>
        <w:jc w:val="both"/>
        <w:rPr>
          <w:b/>
          <w:bCs/>
          <w:sz w:val="12"/>
          <w:szCs w:val="12"/>
        </w:rPr>
      </w:pPr>
      <w:r>
        <w:rPr>
          <w:b/>
          <w:bCs/>
          <w:sz w:val="12"/>
          <w:szCs w:val="12"/>
        </w:rPr>
        <w:t> </w:t>
      </w:r>
    </w:p>
    <w:p w:rsidR="00000000" w:rsidRDefault="00E35CFB">
      <w:pPr>
        <w:pStyle w:val="a3"/>
        <w:spacing w:before="0" w:beforeAutospacing="0" w:after="0" w:afterAutospacing="0"/>
        <w:jc w:val="both"/>
        <w:rPr>
          <w:sz w:val="20"/>
          <w:szCs w:val="20"/>
        </w:rPr>
      </w:pPr>
      <w:r>
        <w:rPr>
          <w:sz w:val="20"/>
          <w:szCs w:val="20"/>
        </w:rPr>
        <w:t xml:space="preserve">See the information reported in Note 8 to the financial statements included in Part </w:t>
      </w:r>
      <w:r>
        <w:rPr>
          <w:sz w:val="20"/>
          <w:szCs w:val="20"/>
        </w:rPr>
        <w:t>I, which information is incorporated hereunder by this reference.</w:t>
      </w:r>
    </w:p>
    <w:p w:rsidR="00000000" w:rsidRDefault="00E35CFB">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453644018"/>
        </w:trPr>
        <w:tc>
          <w:tcPr>
            <w:tcW w:w="453" w:type="pct"/>
            <w:noWrap/>
            <w:hideMark/>
          </w:tcPr>
          <w:p w:rsidR="00000000" w:rsidRDefault="00E35CFB">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RISK FACTORS.</w:t>
            </w:r>
          </w:p>
        </w:tc>
      </w:tr>
    </w:tbl>
    <w:p w:rsidR="00000000" w:rsidRDefault="00E35CFB">
      <w:pPr>
        <w:pStyle w:val="a3"/>
        <w:spacing w:before="120" w:beforeAutospacing="0" w:after="0" w:afterAutospacing="0"/>
        <w:jc w:val="both"/>
        <w:rPr>
          <w:sz w:val="20"/>
          <w:szCs w:val="20"/>
        </w:rPr>
      </w:pPr>
      <w:r>
        <w:rPr>
          <w:sz w:val="20"/>
          <w:szCs w:val="20"/>
        </w:rPr>
        <w:t xml:space="preserve">Item 1A of Part 1 of our 2021 Form 10-K includes a detailed discussion of the risk factors that could materially affect our business, financial condition or future prospects.  There have been no material changes in our risk factors previously disclosed in </w:t>
      </w:r>
      <w:r>
        <w:rPr>
          <w:sz w:val="20"/>
          <w:szCs w:val="20"/>
        </w:rPr>
        <w:t>the 2021 Form 10-K.</w:t>
      </w:r>
    </w:p>
    <w:p w:rsidR="00000000" w:rsidRDefault="00E35C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025861356"/>
        </w:trPr>
        <w:tc>
          <w:tcPr>
            <w:tcW w:w="453" w:type="pct"/>
            <w:noWrap/>
            <w:hideMark/>
          </w:tcPr>
          <w:p w:rsidR="00000000" w:rsidRDefault="00E35CFB">
            <w:pPr>
              <w:pStyle w:val="a3"/>
              <w:spacing w:before="160" w:beforeAutospacing="0" w:after="0" w:afterAutospacing="0"/>
              <w:jc w:val="both"/>
              <w:rPr>
                <w:b/>
                <w:bCs/>
                <w:sz w:val="20"/>
                <w:szCs w:val="20"/>
              </w:rPr>
            </w:pPr>
            <w:r>
              <w:rPr>
                <w:b/>
                <w:bCs/>
                <w:sz w:val="20"/>
                <w:szCs w:val="20"/>
              </w:rPr>
              <w:t>ITEM 2.</w:t>
            </w:r>
          </w:p>
        </w:tc>
        <w:tc>
          <w:tcPr>
            <w:tcW w:w="0" w:type="auto"/>
            <w:hideMark/>
          </w:tcPr>
          <w:p w:rsidR="00000000" w:rsidRDefault="00E35CFB">
            <w:pPr>
              <w:pStyle w:val="a3"/>
              <w:spacing w:before="160" w:beforeAutospacing="0" w:after="0" w:afterAutospacing="0"/>
              <w:jc w:val="both"/>
              <w:rPr>
                <w:b/>
                <w:bCs/>
                <w:sz w:val="20"/>
                <w:szCs w:val="20"/>
              </w:rPr>
            </w:pPr>
            <w:r>
              <w:rPr>
                <w:b/>
                <w:bCs/>
                <w:sz w:val="20"/>
                <w:szCs w:val="20"/>
              </w:rPr>
              <w:t>UNREGISTERED SALES OF EQUITY SECURITIES AND USE OF PROCEEDS.</w:t>
            </w:r>
          </w:p>
        </w:tc>
      </w:tr>
    </w:tbl>
    <w:p w:rsidR="00000000" w:rsidRDefault="00E35CFB">
      <w:pPr>
        <w:pStyle w:val="a3"/>
        <w:spacing w:before="0" w:beforeAutospacing="0" w:after="0" w:afterAutospacing="0"/>
        <w:jc w:val="both"/>
        <w:rPr>
          <w:sz w:val="12"/>
          <w:szCs w:val="12"/>
        </w:rPr>
      </w:pPr>
      <w:r>
        <w:rPr>
          <w:sz w:val="12"/>
          <w:szCs w:val="12"/>
        </w:rPr>
        <w:t> </w:t>
      </w:r>
    </w:p>
    <w:p w:rsidR="00000000" w:rsidRDefault="00E35CFB">
      <w:pPr>
        <w:pStyle w:val="a3"/>
        <w:spacing w:before="0" w:beforeAutospacing="0" w:after="0" w:afterAutospacing="0"/>
        <w:jc w:val="both"/>
        <w:rPr>
          <w:b/>
          <w:bCs/>
          <w:sz w:val="20"/>
          <w:szCs w:val="20"/>
        </w:rPr>
      </w:pPr>
      <w:r>
        <w:rPr>
          <w:b/>
          <w:bCs/>
          <w:sz w:val="20"/>
          <w:szCs w:val="20"/>
        </w:rPr>
        <w:t>Issuer Purchases of Equity Securities</w:t>
      </w:r>
    </w:p>
    <w:p w:rsidR="00000000" w:rsidRDefault="00E35CFB">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474"/>
        <w:gridCol w:w="304"/>
        <w:gridCol w:w="78"/>
        <w:gridCol w:w="942"/>
        <w:gridCol w:w="78"/>
        <w:gridCol w:w="167"/>
        <w:gridCol w:w="116"/>
        <w:gridCol w:w="747"/>
        <w:gridCol w:w="79"/>
        <w:gridCol w:w="167"/>
        <w:gridCol w:w="79"/>
        <w:gridCol w:w="1151"/>
        <w:gridCol w:w="79"/>
        <w:gridCol w:w="167"/>
        <w:gridCol w:w="116"/>
        <w:gridCol w:w="1483"/>
        <w:gridCol w:w="79"/>
      </w:tblGrid>
      <w:tr w:rsidR="00000000">
        <w:trPr>
          <w:divId w:val="1038355857"/>
        </w:trPr>
        <w:tc>
          <w:tcPr>
            <w:tcW w:w="1491" w:type="pct"/>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Period</w:t>
            </w:r>
          </w:p>
        </w:tc>
        <w:tc>
          <w:tcPr>
            <w:tcW w:w="18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Total Number</w:t>
            </w:r>
          </w:p>
          <w:p w:rsidR="00000000" w:rsidRDefault="00E35CFB">
            <w:pPr>
              <w:pStyle w:val="a3"/>
              <w:spacing w:before="0" w:beforeAutospacing="0" w:after="0" w:afterAutospacing="0"/>
              <w:jc w:val="center"/>
              <w:rPr>
                <w:b/>
                <w:bCs/>
                <w:color w:val="000000"/>
                <w:sz w:val="20"/>
                <w:szCs w:val="20"/>
              </w:rPr>
            </w:pPr>
            <w:r>
              <w:rPr>
                <w:b/>
                <w:bCs/>
                <w:color w:val="000000"/>
                <w:sz w:val="20"/>
                <w:szCs w:val="20"/>
              </w:rPr>
              <w:t>of Shares</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Purchased</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Average Price</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Paid per Share</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 </w:t>
            </w:r>
          </w:p>
        </w:tc>
        <w:tc>
          <w:tcPr>
            <w:tcW w:w="7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Total Number</w:t>
            </w:r>
          </w:p>
          <w:p w:rsidR="00000000" w:rsidRDefault="00E35CFB">
            <w:pPr>
              <w:pStyle w:val="a3"/>
              <w:spacing w:before="0" w:beforeAutospacing="0" w:after="0" w:afterAutospacing="0"/>
              <w:jc w:val="center"/>
              <w:rPr>
                <w:b/>
                <w:bCs/>
                <w:color w:val="000000"/>
                <w:sz w:val="20"/>
                <w:szCs w:val="20"/>
              </w:rPr>
            </w:pPr>
            <w:r>
              <w:rPr>
                <w:b/>
                <w:bCs/>
                <w:color w:val="000000"/>
                <w:sz w:val="20"/>
                <w:szCs w:val="20"/>
              </w:rPr>
              <w:t>of Shares</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Purchased as</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Part of Publicly</w:t>
            </w:r>
          </w:p>
          <w:p w:rsidR="00000000" w:rsidRDefault="00E35CFB">
            <w:pPr>
              <w:pStyle w:val="a3"/>
              <w:spacing w:before="0" w:beforeAutospacing="0" w:after="0" w:afterAutospacing="0"/>
              <w:jc w:val="center"/>
              <w:rPr>
                <w:b/>
                <w:bCs/>
                <w:color w:val="000000"/>
                <w:sz w:val="20"/>
                <w:szCs w:val="20"/>
              </w:rPr>
            </w:pPr>
            <w:r>
              <w:rPr>
                <w:b/>
                <w:bCs/>
                <w:color w:val="000000"/>
                <w:sz w:val="20"/>
                <w:szCs w:val="20"/>
              </w:rPr>
              <w:t>Announced</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Plans or</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Programs</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9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center"/>
              <w:rPr>
                <w:b/>
                <w:bCs/>
                <w:color w:val="000000"/>
                <w:sz w:val="20"/>
                <w:szCs w:val="20"/>
              </w:rPr>
            </w:pPr>
            <w:r>
              <w:rPr>
                <w:b/>
                <w:bCs/>
                <w:color w:val="000000"/>
                <w:sz w:val="20"/>
                <w:szCs w:val="20"/>
              </w:rPr>
              <w:t>Approximate</w:t>
            </w:r>
          </w:p>
          <w:p w:rsidR="00000000" w:rsidRDefault="00E35CFB">
            <w:pPr>
              <w:pStyle w:val="a3"/>
              <w:spacing w:before="0" w:beforeAutospacing="0" w:after="0" w:afterAutospacing="0"/>
              <w:jc w:val="center"/>
              <w:rPr>
                <w:b/>
                <w:bCs/>
                <w:color w:val="000000"/>
                <w:sz w:val="20"/>
                <w:szCs w:val="20"/>
              </w:rPr>
            </w:pPr>
            <w:r>
              <w:rPr>
                <w:b/>
                <w:bCs/>
                <w:color w:val="000000"/>
                <w:sz w:val="20"/>
                <w:szCs w:val="20"/>
              </w:rPr>
              <w:t>Dollar Value of</w:t>
            </w:r>
          </w:p>
          <w:p w:rsidR="00000000" w:rsidRDefault="00E35CFB">
            <w:pPr>
              <w:pStyle w:val="a3"/>
              <w:spacing w:before="0" w:beforeAutospacing="0" w:after="0" w:afterAutospacing="0"/>
              <w:jc w:val="center"/>
              <w:rPr>
                <w:b/>
                <w:bCs/>
                <w:color w:val="000000"/>
                <w:sz w:val="20"/>
                <w:szCs w:val="20"/>
              </w:rPr>
            </w:pPr>
            <w:r>
              <w:rPr>
                <w:b/>
                <w:bCs/>
                <w:color w:val="000000"/>
                <w:sz w:val="20"/>
                <w:szCs w:val="20"/>
              </w:rPr>
              <w:t>Shares that</w:t>
            </w:r>
          </w:p>
          <w:p w:rsidR="00000000" w:rsidRDefault="00E35CFB">
            <w:pPr>
              <w:pStyle w:val="a3"/>
              <w:spacing w:before="0" w:beforeAutospacing="0" w:after="0" w:afterAutospacing="0"/>
              <w:jc w:val="center"/>
              <w:rPr>
                <w:b/>
                <w:bCs/>
                <w:color w:val="000000"/>
                <w:sz w:val="20"/>
                <w:szCs w:val="20"/>
              </w:rPr>
            </w:pPr>
            <w:r>
              <w:rPr>
                <w:b/>
                <w:bCs/>
                <w:color w:val="000000"/>
                <w:sz w:val="20"/>
                <w:szCs w:val="20"/>
              </w:rPr>
              <w:t>May Yet Be</w:t>
            </w:r>
          </w:p>
          <w:p w:rsidR="00000000" w:rsidRDefault="00E35CFB">
            <w:pPr>
              <w:pStyle w:val="a3"/>
              <w:spacing w:before="0" w:beforeAutospacing="0" w:after="0" w:afterAutospacing="0"/>
              <w:jc w:val="center"/>
              <w:rPr>
                <w:b/>
                <w:bCs/>
                <w:color w:val="000000"/>
                <w:sz w:val="20"/>
                <w:szCs w:val="20"/>
              </w:rPr>
            </w:pPr>
            <w:r>
              <w:rPr>
                <w:b/>
                <w:bCs/>
                <w:color w:val="000000"/>
                <w:sz w:val="20"/>
                <w:szCs w:val="20"/>
              </w:rPr>
              <w:t>Purchased</w:t>
            </w:r>
          </w:p>
          <w:p w:rsidR="00000000" w:rsidRDefault="00E35CFB">
            <w:pPr>
              <w:pStyle w:val="a3"/>
              <w:spacing w:before="0" w:beforeAutospacing="0" w:after="0" w:afterAutospacing="0"/>
              <w:jc w:val="center"/>
              <w:rPr>
                <w:b/>
                <w:bCs/>
                <w:color w:val="000000"/>
                <w:sz w:val="20"/>
                <w:szCs w:val="20"/>
              </w:rPr>
            </w:pPr>
            <w:r>
              <w:rPr>
                <w:b/>
                <w:bCs/>
                <w:color w:val="000000"/>
                <w:sz w:val="20"/>
                <w:szCs w:val="20"/>
              </w:rPr>
              <w:t>Under the Plans</w:t>
            </w:r>
          </w:p>
          <w:p w:rsidR="00000000" w:rsidRDefault="00E35CFB">
            <w:pPr>
              <w:pStyle w:val="a3"/>
              <w:spacing w:before="0" w:beforeAutospacing="0" w:after="0" w:afterAutospacing="0"/>
              <w:jc w:val="center"/>
              <w:rPr>
                <w:b/>
                <w:bCs/>
                <w:color w:val="000000"/>
                <w:sz w:val="20"/>
                <w:szCs w:val="20"/>
              </w:rPr>
            </w:pPr>
            <w:r>
              <w:rPr>
                <w:b/>
                <w:bCs/>
                <w:color w:val="000000"/>
                <w:sz w:val="20"/>
                <w:szCs w:val="20"/>
              </w:rPr>
              <w:t>or Programs (1)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r>
      <w:tr w:rsidR="00000000">
        <w:trPr>
          <w:divId w:val="1038355857"/>
        </w:trPr>
        <w:tc>
          <w:tcPr>
            <w:tcW w:w="1491" w:type="pct"/>
            <w:tcBorders>
              <w:top w:val="single" w:sz="6" w:space="0" w:color="000000"/>
            </w:tcBorders>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April 1, 2022 - April 30, 2022</w:t>
            </w:r>
          </w:p>
        </w:tc>
        <w:tc>
          <w:tcPr>
            <w:tcW w:w="18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9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89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38355857"/>
        </w:trPr>
        <w:tc>
          <w:tcPr>
            <w:tcW w:w="1491" w:type="pct"/>
            <w:shd w:val="clear" w:color="auto" w:fill="FFFFFF"/>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May 1, 2022 - May 31, 2022</w:t>
            </w:r>
          </w:p>
        </w:tc>
        <w:tc>
          <w:tcPr>
            <w:tcW w:w="18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9"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2,004,711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2"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12.71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2,004,711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894"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199,558,805</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38355857"/>
        </w:trPr>
        <w:tc>
          <w:tcPr>
            <w:tcW w:w="1491" w:type="pct"/>
            <w:shd w:val="clear" w:color="auto" w:fill="CFF0FC"/>
            <w:tcMar>
              <w:top w:w="15" w:type="dxa"/>
              <w:left w:w="0" w:type="dxa"/>
              <w:bottom w:w="0" w:type="dxa"/>
              <w:right w:w="15" w:type="dxa"/>
            </w:tcMar>
            <w:hideMark/>
          </w:tcPr>
          <w:p w:rsidR="00000000" w:rsidRDefault="00E35CFB">
            <w:pPr>
              <w:pStyle w:val="a3"/>
              <w:spacing w:before="0" w:beforeAutospacing="0" w:after="0" w:afterAutospacing="0"/>
              <w:rPr>
                <w:color w:val="000000"/>
                <w:sz w:val="20"/>
                <w:szCs w:val="20"/>
              </w:rPr>
            </w:pPr>
            <w:r>
              <w:rPr>
                <w:color w:val="000000"/>
                <w:sz w:val="20"/>
                <w:szCs w:val="20"/>
              </w:rPr>
              <w:t>June 1, 2022 - June 30, 2022</w:t>
            </w:r>
          </w:p>
        </w:tc>
        <w:tc>
          <w:tcPr>
            <w:tcW w:w="186"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56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978,700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12.34</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69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978,700</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c>
          <w:tcPr>
            <w:tcW w:w="103" w:type="pct"/>
            <w:shd w:val="clear" w:color="auto" w:fill="CFF0FC"/>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w:t>
            </w:r>
          </w:p>
        </w:tc>
        <w:tc>
          <w:tcPr>
            <w:tcW w:w="89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color w:val="000000"/>
                <w:sz w:val="20"/>
                <w:szCs w:val="20"/>
              </w:rPr>
            </w:pPr>
            <w:r>
              <w:rPr>
                <w:color w:val="000000"/>
                <w:sz w:val="20"/>
                <w:szCs w:val="20"/>
              </w:rPr>
              <w:t>187,497,419</w:t>
            </w:r>
          </w:p>
        </w:tc>
        <w:tc>
          <w:tcPr>
            <w:tcW w:w="50" w:type="pct"/>
            <w:shd w:val="clear" w:color="auto" w:fill="CFF0FC"/>
            <w:noWrap/>
            <w:tcMar>
              <w:top w:w="15" w:type="dxa"/>
              <w:left w:w="0" w:type="dxa"/>
              <w:bottom w:w="0" w:type="dxa"/>
              <w:right w:w="15" w:type="dxa"/>
            </w:tcMar>
            <w:vAlign w:val="bottom"/>
            <w:hideMark/>
          </w:tcPr>
          <w:p w:rsidR="00000000" w:rsidRDefault="00E35CFB">
            <w:pPr>
              <w:pStyle w:val="a3"/>
              <w:spacing w:before="0" w:beforeAutospacing="0" w:after="0" w:afterAutospacing="0"/>
              <w:rPr>
                <w:color w:val="000000"/>
                <w:sz w:val="20"/>
                <w:szCs w:val="20"/>
              </w:rPr>
            </w:pPr>
            <w:r>
              <w:rPr>
                <w:color w:val="000000"/>
                <w:sz w:val="20"/>
                <w:szCs w:val="20"/>
              </w:rPr>
              <w:t> </w:t>
            </w:r>
          </w:p>
        </w:tc>
      </w:tr>
      <w:tr w:rsidR="00000000">
        <w:trPr>
          <w:divId w:val="1038355857"/>
        </w:trPr>
        <w:tc>
          <w:tcPr>
            <w:tcW w:w="1491"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Total</w:t>
            </w:r>
          </w:p>
        </w:tc>
        <w:tc>
          <w:tcPr>
            <w:tcW w:w="186"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5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2,983,411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12.59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69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2,983,411</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 </w:t>
            </w:r>
          </w:p>
        </w:tc>
        <w:tc>
          <w:tcPr>
            <w:tcW w:w="103" w:type="pct"/>
            <w:shd w:val="clear" w:color="auto" w:fill="FFFFFF"/>
            <w:tcMar>
              <w:top w:w="15" w:type="dxa"/>
              <w:left w:w="0" w:type="dxa"/>
              <w:bottom w:w="0" w:type="dxa"/>
              <w:right w:w="15" w:type="dxa"/>
            </w:tcMar>
            <w:vAlign w:val="bottom"/>
            <w:hideMark/>
          </w:tcPr>
          <w:p w:rsidR="00000000" w:rsidRDefault="00E35CFB">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0"/>
                <w:szCs w:val="20"/>
              </w:rPr>
            </w:pPr>
            <w:r>
              <w:rPr>
                <w:b/>
                <w:bCs/>
                <w:color w:val="000000"/>
                <w:sz w:val="20"/>
                <w:szCs w:val="20"/>
              </w:rPr>
              <w:t>$</w:t>
            </w:r>
          </w:p>
        </w:tc>
        <w:tc>
          <w:tcPr>
            <w:tcW w:w="89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jc w:val="right"/>
              <w:rPr>
                <w:b/>
                <w:bCs/>
                <w:color w:val="000000"/>
                <w:sz w:val="20"/>
                <w:szCs w:val="20"/>
              </w:rPr>
            </w:pPr>
            <w:r>
              <w:rPr>
                <w:b/>
                <w:bCs/>
                <w:color w:val="000000"/>
                <w:sz w:val="20"/>
                <w:szCs w:val="20"/>
              </w:rPr>
              <w:t>187,497,419</w:t>
            </w:r>
          </w:p>
        </w:tc>
        <w:tc>
          <w:tcPr>
            <w:tcW w:w="50" w:type="pct"/>
            <w:shd w:val="clear" w:color="auto" w:fill="FFFFFF"/>
            <w:noWrap/>
            <w:tcMar>
              <w:top w:w="15" w:type="dxa"/>
              <w:left w:w="0" w:type="dxa"/>
              <w:bottom w:w="0" w:type="dxa"/>
              <w:right w:w="15" w:type="dxa"/>
            </w:tcMar>
            <w:vAlign w:val="bottom"/>
            <w:hideMark/>
          </w:tcPr>
          <w:p w:rsidR="00000000" w:rsidRDefault="00E35CFB">
            <w:pPr>
              <w:pStyle w:val="a3"/>
              <w:spacing w:before="0" w:beforeAutospacing="0" w:after="0" w:afterAutospacing="0"/>
              <w:rPr>
                <w:b/>
                <w:bCs/>
                <w:color w:val="000000"/>
                <w:sz w:val="2"/>
                <w:szCs w:val="2"/>
              </w:rPr>
            </w:pPr>
            <w:r>
              <w:rPr>
                <w:b/>
                <w:bCs/>
                <w:color w:val="000000"/>
                <w:sz w:val="2"/>
                <w:szCs w:val="2"/>
              </w:rPr>
              <w:t> </w:t>
            </w:r>
          </w:p>
        </w:tc>
      </w:tr>
    </w:tbl>
    <w:p w:rsidR="00000000" w:rsidRDefault="00E35CFB">
      <w:pPr>
        <w:pStyle w:val="a3"/>
        <w:spacing w:before="160" w:beforeAutospacing="0" w:after="0" w:afterAutospacing="0"/>
        <w:jc w:val="both"/>
        <w:rPr>
          <w:b/>
          <w:bCs/>
          <w:sz w:val="20"/>
          <w:szCs w:val="20"/>
        </w:rPr>
      </w:pPr>
      <w:r>
        <w:rPr>
          <w:b/>
          <w:bCs/>
          <w:sz w:val="20"/>
          <w:szCs w:val="20"/>
        </w:rPr>
        <w:t> </w:t>
      </w:r>
    </w:p>
    <w:p w:rsidR="00000000" w:rsidRDefault="00E35CFB">
      <w:pPr>
        <w:pStyle w:val="a3"/>
        <w:spacing w:before="0" w:beforeAutospacing="0" w:after="0" w:afterAutospacing="0"/>
        <w:jc w:val="both"/>
        <w:rPr>
          <w:sz w:val="20"/>
          <w:szCs w:val="20"/>
        </w:rPr>
      </w:pPr>
      <w:r>
        <w:rPr>
          <w:sz w:val="20"/>
          <w:szCs w:val="20"/>
        </w:rPr>
        <w:t>(1) On M</w:t>
      </w:r>
      <w:r>
        <w:rPr>
          <w:sz w:val="20"/>
          <w:szCs w:val="20"/>
        </w:rPr>
        <w:t>ay 12, 2022, the Company announced that its Board of Directors, or BOD, had approved a share repurchase program to repurchase up to $150.0 million of the Company's common stock.  On August 2, 2022, the BOD increased the authorization to repurchase under th</w:t>
      </w:r>
      <w:r>
        <w:rPr>
          <w:sz w:val="20"/>
          <w:szCs w:val="20"/>
        </w:rPr>
        <w:t>e share repurchase program by up to an additional $75.0 million of the Company's common stock, which resulted in a total aggregate amount to repurchase of up to $225.0 million of our common stock.  Repurchases of the Company's outstanding common stock will</w:t>
      </w:r>
      <w:r>
        <w:rPr>
          <w:sz w:val="20"/>
          <w:szCs w:val="20"/>
        </w:rPr>
        <w:t xml:space="preserve"> be made in accordance with applicable securities laws and may be made at the Company's discretion based on parameters set by the BOD from time to time in the open market, through privately negotiated transactions, or otherwise.  The share repurchase progr</w:t>
      </w:r>
      <w:r>
        <w:rPr>
          <w:sz w:val="20"/>
          <w:szCs w:val="20"/>
        </w:rPr>
        <w:t>am has no time limit and does not obligate the Company to purchase any particular amount of its common stock.  The authorization for the share repurchase program may be terminated, suspended, increased or decreased by the BOD in its discretion at any time.</w:t>
      </w:r>
      <w:r>
        <w:rPr>
          <w:sz w:val="20"/>
          <w:szCs w:val="20"/>
        </w:rPr>
        <w:t xml:space="preserve"> As of June 30, 2022, the Company had repurchased a total of 3.0 million common shares at an aggregate cost of approximately $37.5 million.</w:t>
      </w:r>
    </w:p>
    <w:p w:rsidR="00000000" w:rsidRDefault="00E35CFB">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066759143"/>
        </w:trPr>
        <w:tc>
          <w:tcPr>
            <w:tcW w:w="453" w:type="pct"/>
            <w:noWrap/>
            <w:hideMark/>
          </w:tcPr>
          <w:p w:rsidR="00000000" w:rsidRDefault="00E35CFB">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DEFAULTS UPON SENIOR SECURITIES.</w:t>
            </w:r>
          </w:p>
        </w:tc>
      </w:tr>
    </w:tbl>
    <w:p w:rsidR="00000000" w:rsidRDefault="00E35CFB">
      <w:pPr>
        <w:pStyle w:val="a3"/>
        <w:spacing w:before="0" w:beforeAutospacing="0" w:after="0" w:afterAutospacing="0"/>
        <w:jc w:val="both"/>
        <w:rPr>
          <w:sz w:val="12"/>
          <w:szCs w:val="12"/>
        </w:rPr>
      </w:pPr>
      <w:r>
        <w:rPr>
          <w:sz w:val="12"/>
          <w:szCs w:val="12"/>
        </w:rPr>
        <w:t> </w:t>
      </w:r>
    </w:p>
    <w:p w:rsidR="00000000" w:rsidRDefault="00E35CFB">
      <w:pPr>
        <w:pStyle w:val="a3"/>
        <w:spacing w:before="0" w:beforeAutospacing="0" w:after="0" w:afterAutospacing="0"/>
        <w:jc w:val="both"/>
        <w:rPr>
          <w:sz w:val="20"/>
          <w:szCs w:val="20"/>
        </w:rPr>
      </w:pPr>
      <w:r>
        <w:rPr>
          <w:sz w:val="20"/>
          <w:szCs w:val="20"/>
        </w:rPr>
        <w:t>None.</w:t>
      </w:r>
    </w:p>
    <w:p w:rsidR="00000000" w:rsidRDefault="00E35CFB">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388961712"/>
        </w:trPr>
        <w:tc>
          <w:tcPr>
            <w:tcW w:w="453" w:type="pct"/>
            <w:noWrap/>
            <w:hideMark/>
          </w:tcPr>
          <w:p w:rsidR="00000000" w:rsidRDefault="00E35CFB">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MINE SAFETY DISCLOSURES.</w:t>
            </w:r>
          </w:p>
        </w:tc>
      </w:tr>
    </w:tbl>
    <w:p w:rsidR="00000000" w:rsidRDefault="00E35CFB">
      <w:pPr>
        <w:pStyle w:val="a3"/>
        <w:spacing w:before="0" w:beforeAutospacing="0" w:after="0" w:afterAutospacing="0"/>
        <w:ind w:left="1547" w:hanging="1632"/>
        <w:rPr>
          <w:b/>
          <w:bCs/>
          <w:sz w:val="12"/>
          <w:szCs w:val="12"/>
        </w:rPr>
      </w:pPr>
      <w:r>
        <w:rPr>
          <w:b/>
          <w:bCs/>
          <w:sz w:val="12"/>
          <w:szCs w:val="12"/>
        </w:rPr>
        <w:t> </w:t>
      </w:r>
    </w:p>
    <w:p w:rsidR="00000000" w:rsidRDefault="00E35CFB">
      <w:pPr>
        <w:pStyle w:val="a3"/>
        <w:spacing w:before="0" w:beforeAutospacing="0" w:after="0" w:afterAutospacing="0"/>
        <w:ind w:left="1547" w:hanging="1632"/>
        <w:rPr>
          <w:sz w:val="20"/>
          <w:szCs w:val="20"/>
        </w:rPr>
      </w:pPr>
      <w:r>
        <w:rPr>
          <w:sz w:val="20"/>
          <w:szCs w:val="20"/>
        </w:rPr>
        <w:t>None.</w:t>
      </w:r>
    </w:p>
    <w:p w:rsidR="00000000" w:rsidRDefault="00E35CFB">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052076609"/>
        </w:trPr>
        <w:tc>
          <w:tcPr>
            <w:tcW w:w="453" w:type="pct"/>
            <w:noWrap/>
            <w:hideMark/>
          </w:tcPr>
          <w:p w:rsidR="00000000" w:rsidRDefault="00E35CFB">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OTHER INFORMATION.</w:t>
            </w:r>
          </w:p>
        </w:tc>
      </w:tr>
    </w:tbl>
    <w:p w:rsidR="00000000" w:rsidRDefault="00E35CFB">
      <w:pPr>
        <w:pStyle w:val="a3"/>
        <w:spacing w:before="0" w:beforeAutospacing="0" w:after="0" w:afterAutospacing="0"/>
        <w:ind w:left="1547" w:hanging="1632"/>
        <w:jc w:val="both"/>
        <w:rPr>
          <w:sz w:val="12"/>
          <w:szCs w:val="12"/>
        </w:rPr>
      </w:pPr>
      <w:r>
        <w:rPr>
          <w:sz w:val="12"/>
          <w:szCs w:val="12"/>
        </w:rPr>
        <w:t> </w:t>
      </w:r>
    </w:p>
    <w:p w:rsidR="00000000" w:rsidRDefault="00E35CFB">
      <w:pPr>
        <w:pStyle w:val="a3"/>
        <w:spacing w:before="0" w:beforeAutospacing="0" w:after="0" w:afterAutospacing="0"/>
        <w:ind w:left="1547" w:hanging="1632"/>
        <w:jc w:val="both"/>
        <w:rPr>
          <w:sz w:val="20"/>
          <w:szCs w:val="20"/>
        </w:rPr>
      </w:pPr>
      <w:r>
        <w:rPr>
          <w:sz w:val="20"/>
          <w:szCs w:val="20"/>
        </w:rPr>
        <w:t>None.</w:t>
      </w:r>
    </w:p>
    <w:p w:rsidR="00000000" w:rsidRDefault="00E35CFB">
      <w:pPr>
        <w:pStyle w:val="a3"/>
        <w:spacing w:before="160" w:beforeAutospacing="0" w:after="0" w:afterAutospacing="0"/>
        <w:jc w:val="both"/>
        <w:rPr>
          <w:b/>
          <w:bCs/>
          <w:sz w:val="20"/>
          <w:szCs w:val="20"/>
        </w:rPr>
      </w:pPr>
      <w:r>
        <w:rPr>
          <w:b/>
          <w:bCs/>
          <w:sz w:val="20"/>
          <w:szCs w:val="20"/>
        </w:rPr>
        <w:t> </w:t>
      </w:r>
    </w:p>
    <w:p w:rsidR="00000000" w:rsidRDefault="00E35CFB">
      <w:pPr>
        <w:pStyle w:val="a3"/>
        <w:spacing w:before="240" w:beforeAutospacing="0" w:after="0" w:afterAutospacing="0"/>
        <w:jc w:val="center"/>
        <w:rPr>
          <w:sz w:val="20"/>
          <w:szCs w:val="20"/>
        </w:rPr>
      </w:pPr>
      <w:r>
        <w:rPr>
          <w:sz w:val="20"/>
          <w:szCs w:val="20"/>
        </w:rPr>
        <w:t>44</w:t>
      </w:r>
    </w:p>
    <w:p w:rsidR="00000000" w:rsidRDefault="00E35CFB">
      <w:pPr>
        <w:rPr>
          <w:rFonts w:eastAsia="Times New Roman"/>
        </w:rPr>
      </w:pPr>
      <w:r>
        <w:rPr>
          <w:rFonts w:eastAsia="Times New Roman"/>
        </w:rPr>
        <w:pict>
          <v:rect id="_x0000_i1070"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843206050"/>
        </w:trPr>
        <w:tc>
          <w:tcPr>
            <w:tcW w:w="453" w:type="pct"/>
            <w:noWrap/>
            <w:hideMark/>
          </w:tcPr>
          <w:p w:rsidR="00000000" w:rsidRDefault="00E35CFB">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E35CFB">
            <w:pPr>
              <w:pStyle w:val="a3"/>
              <w:spacing w:before="0" w:beforeAutospacing="0" w:after="0" w:afterAutospacing="0"/>
              <w:jc w:val="both"/>
              <w:rPr>
                <w:b/>
                <w:bCs/>
                <w:sz w:val="20"/>
                <w:szCs w:val="20"/>
              </w:rPr>
            </w:pPr>
            <w:r>
              <w:rPr>
                <w:b/>
                <w:bCs/>
                <w:sz w:val="20"/>
                <w:szCs w:val="20"/>
              </w:rPr>
              <w:t>EXHIBITS.</w:t>
            </w:r>
          </w:p>
        </w:tc>
      </w:tr>
    </w:tbl>
    <w:p w:rsidR="00000000" w:rsidRDefault="00E35C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728575130"/>
        </w:trPr>
        <w:tc>
          <w:tcPr>
            <w:tcW w:w="492" w:type="pct"/>
            <w:vAlign w:val="center"/>
            <w:hideMark/>
          </w:tcPr>
          <w:p w:rsidR="00000000" w:rsidRDefault="00E35CFB">
            <w:pPr>
              <w:rPr>
                <w:sz w:val="20"/>
                <w:szCs w:val="20"/>
              </w:rPr>
            </w:pPr>
          </w:p>
        </w:tc>
        <w:tc>
          <w:tcPr>
            <w:tcW w:w="108" w:type="pct"/>
            <w:vAlign w:val="center"/>
            <w:hideMark/>
          </w:tcPr>
          <w:p w:rsidR="00000000" w:rsidRDefault="00E35CFB">
            <w:pPr>
              <w:spacing w:before="100" w:beforeAutospacing="1" w:after="100" w:afterAutospacing="1"/>
              <w:rPr>
                <w:rFonts w:eastAsia="Times New Roman"/>
                <w:sz w:val="20"/>
                <w:szCs w:val="20"/>
              </w:rPr>
            </w:pPr>
          </w:p>
        </w:tc>
        <w:tc>
          <w:tcPr>
            <w:tcW w:w="4399" w:type="pct"/>
            <w:vAlign w:val="center"/>
            <w:hideMark/>
          </w:tcPr>
          <w:p w:rsidR="00000000" w:rsidRDefault="00E35CFB">
            <w:pPr>
              <w:spacing w:before="100" w:beforeAutospacing="1" w:after="100" w:afterAutospacing="1"/>
              <w:rPr>
                <w:rFonts w:eastAsia="Times New Roman"/>
                <w:sz w:val="20"/>
                <w:szCs w:val="20"/>
              </w:rPr>
            </w:pPr>
          </w:p>
        </w:tc>
      </w:tr>
      <w:tr w:rsidR="00000000">
        <w:trPr>
          <w:divId w:val="728575130"/>
        </w:trPr>
        <w:tc>
          <w:tcPr>
            <w:tcW w:w="0" w:type="auto"/>
            <w:vAlign w:val="bottom"/>
            <w:hideMark/>
          </w:tcPr>
          <w:p w:rsidR="00000000" w:rsidRDefault="00E35CFB">
            <w:pPr>
              <w:pStyle w:val="a3"/>
              <w:spacing w:before="0" w:beforeAutospacing="0" w:after="0" w:afterAutospacing="0"/>
              <w:jc w:val="center"/>
              <w:rPr>
                <w:sz w:val="20"/>
                <w:szCs w:val="20"/>
              </w:rPr>
            </w:pPr>
            <w:r>
              <w:rPr>
                <w:sz w:val="20"/>
                <w:szCs w:val="20"/>
              </w:rPr>
              <w:t>Exhibit</w:t>
            </w:r>
          </w:p>
          <w:p w:rsidR="00000000" w:rsidRDefault="00E35CFB">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E35CFB">
            <w:pPr>
              <w:pStyle w:val="a3"/>
              <w:spacing w:before="0" w:beforeAutospacing="0" w:after="0" w:afterAutospacing="0"/>
              <w:jc w:val="center"/>
              <w:rPr>
                <w:sz w:val="20"/>
                <w:szCs w:val="20"/>
              </w:rPr>
            </w:pPr>
            <w:r>
              <w:rPr>
                <w:sz w:val="20"/>
                <w:szCs w:val="20"/>
                <w:u w:val="single"/>
              </w:rPr>
              <w:t>Description of Exhibits</w:t>
            </w:r>
          </w:p>
        </w:tc>
      </w:tr>
      <w:tr w:rsidR="00000000">
        <w:trPr>
          <w:divId w:val="728575130"/>
        </w:trPr>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10.1</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4" w:history="1">
              <w:r>
                <w:rPr>
                  <w:rStyle w:val="a4"/>
                  <w:sz w:val="20"/>
                  <w:szCs w:val="20"/>
                </w:rPr>
                <w:t>Third Amended and Restated Credit Agreement, dated May 12, 2022</w:t>
              </w:r>
            </w:hyperlink>
            <w:r>
              <w:rPr>
                <w:sz w:val="20"/>
                <w:szCs w:val="20"/>
              </w:rPr>
              <w:t xml:space="preserve"> (previously filed as Exhibit 10.1 to the Company’s Current Report on Form 8-K (Commiss</w:t>
            </w:r>
            <w:r>
              <w:rPr>
                <w:sz w:val="20"/>
                <w:szCs w:val="20"/>
              </w:rPr>
              <w:t>ion File no. 001-16109), filed with the Commission on May 13, 2022 and incorporated herein by this reference).</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22.1*</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5" w:history="1">
              <w:r>
                <w:rPr>
                  <w:rStyle w:val="a4"/>
                  <w:sz w:val="20"/>
                  <w:szCs w:val="20"/>
                </w:rPr>
                <w:t>List of Guarantor Subsidiaries</w:t>
              </w:r>
            </w:hyperlink>
            <w:r>
              <w:rPr>
                <w:sz w:val="20"/>
                <w:szCs w:val="20"/>
              </w:rPr>
              <w:t>.</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31.1*</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6"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31.2*</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7"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32.1**</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8" w:history="1">
              <w:r>
                <w:rPr>
                  <w:rStyle w:val="a4"/>
                  <w:sz w:val="20"/>
                  <w:szCs w:val="20"/>
                </w:rPr>
                <w:t>Certification of the Company's Chief Executive Officer pursuant to 18 U.S.C. Section 1350, as adopted pursuant to Section 906 of the Sarbanes-Oxley Act of 2002.</w:t>
              </w:r>
            </w:hyperlink>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32.2**</w:t>
            </w:r>
          </w:p>
        </w:tc>
        <w:tc>
          <w:tcPr>
            <w:tcW w:w="0" w:type="auto"/>
            <w:hideMark/>
          </w:tcPr>
          <w:p w:rsidR="00000000" w:rsidRDefault="00E35CFB">
            <w:pPr>
              <w:pStyle w:val="a3"/>
              <w:spacing w:before="0" w:beforeAutospacing="0" w:after="0" w:afterAutospacing="0"/>
              <w:jc w:val="both"/>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hyperlink r:id="rId9" w:history="1">
              <w:r>
                <w:rPr>
                  <w:rStyle w:val="a4"/>
                  <w:sz w:val="20"/>
                  <w:szCs w:val="20"/>
                </w:rPr>
                <w:t>Certification of the Company's Chief Financial Officer pursuant to 18 U.S.C. Section 1350, as adopted pursuant to Section 906 of the Sarbanes-Oxley Act of 2002.</w:t>
              </w:r>
            </w:hyperlink>
          </w:p>
        </w:tc>
      </w:tr>
      <w:tr w:rsidR="00000000">
        <w:trPr>
          <w:divId w:val="728575130"/>
        </w:trPr>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101*</w:t>
            </w:r>
          </w:p>
        </w:tc>
        <w:tc>
          <w:tcPr>
            <w:tcW w:w="0" w:type="auto"/>
            <w:hideMark/>
          </w:tcPr>
          <w:p w:rsidR="00000000" w:rsidRDefault="00E35CFB">
            <w:pPr>
              <w:pStyle w:val="a3"/>
              <w:spacing w:before="0" w:beforeAutospacing="0" w:after="0" w:afterAutospacing="0"/>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 xml:space="preserve">The following financial information from the Company's Quarterly Report on Form </w:t>
            </w:r>
            <w:r>
              <w:rPr>
                <w:sz w:val="20"/>
                <w:szCs w:val="20"/>
              </w:rPr>
              <w:t>10-Q for the quarter ended June 30, 2022, formatted in Inline XBRL (Extensible Business Reporting Language) includes: (i) the Consolidated Balance Sheets, (ii) the Consolidated Statements of Operations, (iii) the Consolidated Statements of Cash Flows, (iv)</w:t>
            </w:r>
            <w:r>
              <w:rPr>
                <w:sz w:val="20"/>
                <w:szCs w:val="20"/>
              </w:rPr>
              <w:t xml:space="preserve"> the Consolidated Statements of Stockholders' Equity, and (v) the Notes to Consolidated Financial Statements. The instance document does not appear in the interactive data file because its XBRL tags are embedded within the Inline XBRL document.</w:t>
            </w:r>
          </w:p>
        </w:tc>
      </w:tr>
      <w:tr w:rsidR="00000000">
        <w:trPr>
          <w:divId w:val="728575130"/>
          <w:trHeight w:val="180"/>
        </w:trPr>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c>
          <w:tcPr>
            <w:tcW w:w="0" w:type="auto"/>
            <w:hideMark/>
          </w:tcPr>
          <w:p w:rsidR="00000000" w:rsidRDefault="00E35CFB">
            <w:pPr>
              <w:pStyle w:val="a3"/>
              <w:spacing w:before="0" w:beforeAutospacing="0" w:after="0" w:afterAutospacing="0"/>
              <w:jc w:val="both"/>
              <w:rPr>
                <w:sz w:val="12"/>
                <w:szCs w:val="12"/>
              </w:rPr>
            </w:pPr>
            <w:r>
              <w:rPr>
                <w:sz w:val="12"/>
                <w:szCs w:val="12"/>
              </w:rPr>
              <w:t> </w:t>
            </w:r>
          </w:p>
        </w:tc>
      </w:tr>
      <w:tr w:rsidR="00000000">
        <w:trPr>
          <w:divId w:val="728575130"/>
        </w:trPr>
        <w:tc>
          <w:tcPr>
            <w:tcW w:w="0" w:type="auto"/>
            <w:hideMark/>
          </w:tcPr>
          <w:p w:rsidR="00000000" w:rsidRDefault="00E35CFB">
            <w:pPr>
              <w:pStyle w:val="a3"/>
              <w:spacing w:before="0" w:beforeAutospacing="0" w:after="0" w:afterAutospacing="0"/>
              <w:jc w:val="both"/>
              <w:rPr>
                <w:sz w:val="20"/>
                <w:szCs w:val="20"/>
              </w:rPr>
            </w:pPr>
            <w:r>
              <w:rPr>
                <w:sz w:val="20"/>
                <w:szCs w:val="20"/>
              </w:rPr>
              <w:t>104</w:t>
            </w:r>
            <w:r>
              <w:rPr>
                <w:sz w:val="20"/>
                <w:szCs w:val="20"/>
              </w:rPr>
              <w:t>*</w:t>
            </w:r>
          </w:p>
        </w:tc>
        <w:tc>
          <w:tcPr>
            <w:tcW w:w="0" w:type="auto"/>
            <w:hideMark/>
          </w:tcPr>
          <w:p w:rsidR="00000000" w:rsidRDefault="00E35CFB">
            <w:pPr>
              <w:pStyle w:val="a3"/>
              <w:spacing w:before="0" w:beforeAutospacing="0" w:after="0" w:afterAutospacing="0"/>
              <w:rPr>
                <w:sz w:val="20"/>
                <w:szCs w:val="20"/>
              </w:rPr>
            </w:pPr>
            <w:r>
              <w:rPr>
                <w:sz w:val="20"/>
                <w:szCs w:val="20"/>
              </w:rPr>
              <w:t> </w:t>
            </w:r>
          </w:p>
        </w:tc>
        <w:tc>
          <w:tcPr>
            <w:tcW w:w="0" w:type="auto"/>
            <w:hideMark/>
          </w:tcPr>
          <w:p w:rsidR="00000000" w:rsidRDefault="00E35CFB">
            <w:pPr>
              <w:pStyle w:val="a3"/>
              <w:spacing w:before="0" w:beforeAutospacing="0" w:after="0" w:afterAutospacing="0"/>
              <w:rPr>
                <w:sz w:val="20"/>
                <w:szCs w:val="20"/>
              </w:rPr>
            </w:pPr>
            <w:r>
              <w:rPr>
                <w:sz w:val="20"/>
                <w:szCs w:val="20"/>
              </w:rPr>
              <w:t>The cover page from the Company's Quarterly Report on Form 10-Q for the quarter ended June 30, 2022, formatted in Inline XBRL (included in Exhibit 101).</w:t>
            </w:r>
          </w:p>
        </w:tc>
      </w:tr>
    </w:tbl>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71271440"/>
        </w:trPr>
        <w:tc>
          <w:tcPr>
            <w:tcW w:w="227" w:type="pct"/>
            <w:noWrap/>
            <w:hideMark/>
          </w:tcPr>
          <w:p w:rsidR="00000000" w:rsidRDefault="00E35CFB">
            <w:pPr>
              <w:pStyle w:val="a3"/>
              <w:spacing w:before="0" w:beforeAutospacing="0" w:after="0" w:afterAutospacing="0"/>
              <w:rPr>
                <w:sz w:val="20"/>
                <w:szCs w:val="20"/>
              </w:rPr>
            </w:pPr>
            <w:r>
              <w:rPr>
                <w:sz w:val="20"/>
                <w:szCs w:val="20"/>
              </w:rPr>
              <w:t>*</w:t>
            </w:r>
          </w:p>
        </w:tc>
        <w:tc>
          <w:tcPr>
            <w:tcW w:w="0" w:type="auto"/>
            <w:hideMark/>
          </w:tcPr>
          <w:p w:rsidR="00000000" w:rsidRDefault="00E35CFB">
            <w:pPr>
              <w:pStyle w:val="a3"/>
              <w:spacing w:before="0" w:beforeAutospacing="0" w:after="0" w:afterAutospacing="0"/>
              <w:rPr>
                <w:sz w:val="20"/>
                <w:szCs w:val="20"/>
              </w:rPr>
            </w:pPr>
            <w:r>
              <w:rPr>
                <w:sz w:val="20"/>
                <w:szCs w:val="20"/>
              </w:rPr>
              <w:t>Filed herewith.</w:t>
            </w:r>
          </w:p>
        </w:tc>
      </w:tr>
    </w:tbl>
    <w:p w:rsidR="00000000" w:rsidRDefault="00E35CFB">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40616357"/>
        </w:trPr>
        <w:tc>
          <w:tcPr>
            <w:tcW w:w="227" w:type="pct"/>
            <w:noWrap/>
            <w:hideMark/>
          </w:tcPr>
          <w:p w:rsidR="00000000" w:rsidRDefault="00E35CFB">
            <w:pPr>
              <w:pStyle w:val="a3"/>
              <w:spacing w:before="0" w:beforeAutospacing="0" w:after="0" w:afterAutospacing="0"/>
              <w:jc w:val="both"/>
              <w:rPr>
                <w:sz w:val="20"/>
                <w:szCs w:val="20"/>
              </w:rPr>
            </w:pPr>
            <w:r>
              <w:rPr>
                <w:sz w:val="20"/>
                <w:szCs w:val="20"/>
              </w:rPr>
              <w:t>**</w:t>
            </w:r>
          </w:p>
        </w:tc>
        <w:tc>
          <w:tcPr>
            <w:tcW w:w="0" w:type="auto"/>
            <w:hideMark/>
          </w:tcPr>
          <w:p w:rsidR="00000000" w:rsidRDefault="00E35CFB">
            <w:pPr>
              <w:pStyle w:val="a3"/>
              <w:spacing w:before="0" w:beforeAutospacing="0" w:after="0" w:afterAutospacing="0"/>
              <w:jc w:val="both"/>
              <w:rPr>
                <w:sz w:val="20"/>
                <w:szCs w:val="20"/>
              </w:rPr>
            </w:pPr>
            <w:r>
              <w:rPr>
                <w:sz w:val="20"/>
                <w:szCs w:val="20"/>
              </w:rPr>
              <w:t xml:space="preserve">Furnished herewith. </w:t>
            </w:r>
          </w:p>
        </w:tc>
      </w:tr>
    </w:tbl>
    <w:p w:rsidR="00000000" w:rsidRDefault="00E35CFB">
      <w:pPr>
        <w:pStyle w:val="a3"/>
        <w:spacing w:before="240" w:beforeAutospacing="0" w:after="0" w:afterAutospacing="0"/>
        <w:jc w:val="center"/>
        <w:rPr>
          <w:sz w:val="20"/>
          <w:szCs w:val="20"/>
        </w:rPr>
      </w:pPr>
      <w:r>
        <w:rPr>
          <w:sz w:val="20"/>
          <w:szCs w:val="20"/>
        </w:rPr>
        <w:t>45</w:t>
      </w:r>
    </w:p>
    <w:p w:rsidR="00000000" w:rsidRDefault="00E35CFB">
      <w:pPr>
        <w:rPr>
          <w:rFonts w:eastAsia="Times New Roman"/>
        </w:rPr>
      </w:pPr>
      <w:r>
        <w:rPr>
          <w:rFonts w:eastAsia="Times New Roman"/>
        </w:rPr>
        <w:pict>
          <v:rect id="_x0000_i1071" style="width:0;height:1.5pt" o:hralign="center" o:hrstd="t" o:hr="t" fillcolor="#a0a0a0" stroked="f"/>
        </w:pic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rPr>
          <w:sz w:val="20"/>
          <w:szCs w:val="20"/>
        </w:rPr>
      </w:pPr>
      <w:r>
        <w:rPr>
          <w:sz w:val="20"/>
          <w:szCs w:val="20"/>
        </w:rPr>
        <w:t> </w:t>
      </w:r>
    </w:p>
    <w:p w:rsidR="00000000" w:rsidRDefault="00E35CFB">
      <w:pPr>
        <w:pStyle w:val="a3"/>
        <w:spacing w:before="0" w:beforeAutospacing="0" w:after="0" w:afterAutospacing="0"/>
        <w:jc w:val="center"/>
        <w:rPr>
          <w:b/>
          <w:bCs/>
          <w:sz w:val="20"/>
          <w:szCs w:val="20"/>
        </w:rPr>
      </w:pPr>
      <w:r>
        <w:rPr>
          <w:b/>
          <w:bCs/>
          <w:sz w:val="20"/>
          <w:szCs w:val="20"/>
        </w:rPr>
        <w:t>SIGNATURES</w:t>
      </w:r>
    </w:p>
    <w:p w:rsidR="00000000" w:rsidRDefault="00E35CFB">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E35C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gridSpan w:val="2"/>
            <w:hideMark/>
          </w:tcPr>
          <w:p w:rsidR="00000000" w:rsidRDefault="00E35CFB">
            <w:pPr>
              <w:pStyle w:val="a3"/>
              <w:spacing w:before="0" w:beforeAutospacing="0" w:after="0" w:afterAutospacing="0"/>
              <w:rPr>
                <w:b/>
                <w:bCs/>
                <w:sz w:val="20"/>
                <w:szCs w:val="20"/>
              </w:rPr>
            </w:pPr>
            <w:r>
              <w:rPr>
                <w:b/>
                <w:bCs/>
                <w:sz w:val="20"/>
                <w:szCs w:val="20"/>
              </w:rPr>
              <w:t>CORECIVIC, INC.</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hideMark/>
          </w:tcPr>
          <w:p w:rsidR="00000000" w:rsidRDefault="00E35CFB">
            <w:pPr>
              <w:pStyle w:val="a3"/>
              <w:spacing w:before="0" w:beforeAutospacing="0" w:after="0" w:afterAutospacing="0"/>
              <w:rPr>
                <w:sz w:val="20"/>
                <w:szCs w:val="20"/>
              </w:rPr>
            </w:pPr>
            <w:r>
              <w:rPr>
                <w:sz w:val="20"/>
                <w:szCs w:val="20"/>
              </w:rPr>
              <w:t> </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Date:  August 3, 2022</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hideMark/>
          </w:tcPr>
          <w:p w:rsidR="00000000" w:rsidRDefault="00E35CFB">
            <w:pPr>
              <w:pStyle w:val="a3"/>
              <w:spacing w:before="0" w:beforeAutospacing="0" w:after="0" w:afterAutospacing="0"/>
              <w:rPr>
                <w:sz w:val="20"/>
                <w:szCs w:val="20"/>
              </w:rPr>
            </w:pPr>
            <w:r>
              <w:rPr>
                <w:sz w:val="20"/>
                <w:szCs w:val="20"/>
              </w:rPr>
              <w:t> </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E35CFB">
            <w:pPr>
              <w:pStyle w:val="a3"/>
              <w:spacing w:before="0" w:beforeAutospacing="0" w:after="0" w:afterAutospacing="0"/>
              <w:rPr>
                <w:sz w:val="20"/>
                <w:szCs w:val="20"/>
              </w:rPr>
            </w:pPr>
            <w:r>
              <w:rPr>
                <w:sz w:val="20"/>
                <w:szCs w:val="20"/>
              </w:rPr>
              <w:t>/s/ Damon T. Hininger</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E35CFB">
            <w:pPr>
              <w:pStyle w:val="a3"/>
              <w:spacing w:before="0" w:beforeAutospacing="0" w:after="0" w:afterAutospacing="0"/>
              <w:rPr>
                <w:sz w:val="20"/>
                <w:szCs w:val="20"/>
              </w:rPr>
            </w:pPr>
            <w:r>
              <w:rPr>
                <w:sz w:val="20"/>
                <w:szCs w:val="20"/>
              </w:rPr>
              <w:t>Damon T. Hininger</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hideMark/>
          </w:tcPr>
          <w:p w:rsidR="00000000" w:rsidRDefault="00E35CFB">
            <w:pPr>
              <w:pStyle w:val="a3"/>
              <w:spacing w:before="0" w:beforeAutospacing="0" w:after="0" w:afterAutospacing="0"/>
              <w:rPr>
                <w:sz w:val="20"/>
                <w:szCs w:val="20"/>
              </w:rPr>
            </w:pPr>
            <w:r>
              <w:rPr>
                <w:sz w:val="20"/>
                <w:szCs w:val="20"/>
              </w:rPr>
              <w:t>President and Chief Executive Officer</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hideMark/>
          </w:tcPr>
          <w:p w:rsidR="00000000" w:rsidRDefault="00E35CFB">
            <w:pPr>
              <w:pStyle w:val="a3"/>
              <w:spacing w:before="0" w:beforeAutospacing="0" w:after="0" w:afterAutospacing="0"/>
              <w:rPr>
                <w:sz w:val="20"/>
                <w:szCs w:val="20"/>
              </w:rPr>
            </w:pPr>
            <w:r>
              <w:rPr>
                <w:sz w:val="20"/>
                <w:szCs w:val="20"/>
              </w:rPr>
              <w:t> </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E35CFB">
            <w:pPr>
              <w:pStyle w:val="a3"/>
              <w:spacing w:before="0" w:beforeAutospacing="0" w:after="0" w:afterAutospacing="0"/>
              <w:rPr>
                <w:sz w:val="20"/>
                <w:szCs w:val="20"/>
              </w:rPr>
            </w:pPr>
            <w:r>
              <w:rPr>
                <w:sz w:val="20"/>
                <w:szCs w:val="20"/>
              </w:rPr>
              <w:t>/s/ David M. Garfinkle</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E35CFB">
            <w:pPr>
              <w:pStyle w:val="a3"/>
              <w:spacing w:before="0" w:beforeAutospacing="0" w:after="0" w:afterAutospacing="0"/>
              <w:rPr>
                <w:sz w:val="20"/>
                <w:szCs w:val="20"/>
              </w:rPr>
            </w:pPr>
            <w:r>
              <w:rPr>
                <w:sz w:val="20"/>
                <w:szCs w:val="20"/>
              </w:rPr>
              <w:t>David M. Garfinkle</w:t>
            </w:r>
          </w:p>
        </w:tc>
      </w:tr>
      <w:tr w:rsidR="00000000">
        <w:trPr>
          <w:divId w:val="193856423"/>
        </w:trPr>
        <w:tc>
          <w:tcPr>
            <w:tcW w:w="2500" w:type="pct"/>
            <w:hideMark/>
          </w:tcPr>
          <w:p w:rsidR="00000000" w:rsidRDefault="00E35CFB">
            <w:pPr>
              <w:pStyle w:val="a3"/>
              <w:spacing w:before="0" w:beforeAutospacing="0" w:after="0" w:afterAutospacing="0"/>
              <w:rPr>
                <w:sz w:val="20"/>
                <w:szCs w:val="20"/>
              </w:rPr>
            </w:pPr>
            <w:r>
              <w:rPr>
                <w:sz w:val="20"/>
                <w:szCs w:val="20"/>
              </w:rPr>
              <w:t> </w:t>
            </w:r>
          </w:p>
        </w:tc>
        <w:tc>
          <w:tcPr>
            <w:tcW w:w="250" w:type="pct"/>
            <w:hideMark/>
          </w:tcPr>
          <w:p w:rsidR="00000000" w:rsidRDefault="00E35CFB">
            <w:pPr>
              <w:pStyle w:val="a3"/>
              <w:spacing w:before="0" w:beforeAutospacing="0" w:after="0" w:afterAutospacing="0"/>
              <w:rPr>
                <w:sz w:val="20"/>
                <w:szCs w:val="20"/>
              </w:rPr>
            </w:pPr>
            <w:r>
              <w:rPr>
                <w:sz w:val="20"/>
                <w:szCs w:val="20"/>
              </w:rPr>
              <w:t> </w:t>
            </w:r>
          </w:p>
        </w:tc>
        <w:tc>
          <w:tcPr>
            <w:tcW w:w="2250" w:type="pct"/>
            <w:hideMark/>
          </w:tcPr>
          <w:p w:rsidR="00000000" w:rsidRDefault="00E35CFB">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E35CFB">
      <w:pPr>
        <w:pStyle w:val="a3"/>
        <w:spacing w:before="0" w:beforeAutospacing="0" w:after="0" w:afterAutospacing="0"/>
        <w:rPr>
          <w:sz w:val="23"/>
          <w:szCs w:val="23"/>
        </w:rPr>
      </w:pPr>
      <w:r>
        <w:rPr>
          <w:sz w:val="23"/>
          <w:szCs w:val="23"/>
        </w:rPr>
        <w:t> </w:t>
      </w:r>
    </w:p>
    <w:p w:rsidR="00E35CFB" w:rsidRDefault="00E35CFB">
      <w:pPr>
        <w:pStyle w:val="a3"/>
        <w:spacing w:before="240" w:beforeAutospacing="0" w:after="0" w:afterAutospacing="0"/>
        <w:jc w:val="center"/>
        <w:rPr>
          <w:sz w:val="20"/>
          <w:szCs w:val="20"/>
        </w:rPr>
      </w:pPr>
      <w:r>
        <w:rPr>
          <w:sz w:val="20"/>
          <w:szCs w:val="20"/>
        </w:rPr>
        <w:t>46</w:t>
      </w:r>
    </w:p>
    <w:sectPr w:rsidR="00E35CF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5CFB"/>
    <w:rsid w:val="00E35CFB"/>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20630"/>
  <w:attachedSchema w:val="http://fasb.org/us-types/2022"/>
  <w:attachedSchema w:val="http://fasb.org/us-gaap/2022"/>
  <w:attachedSchema w:val="http://xbrl.sec.gov/stpr/2022"/>
  <w:attachedSchema w:val="http://www.xbrl.org/dtr/type/2020-01-21"/>
  <w:attachedSchema w:val="http://fasb.org/srt-types/2022"/>
  <w:attachedSchema w:val="http://fasb.org/srt/2022"/>
  <w:attachedSchema w:val="http://xbrl.sec.gov/sic/2022"/>
  <w:attachedSchema w:val="http://xbrl.sec.gov/naics/2022"/>
  <w:attachedSchema w:val="http://xbrl.sec.gov/exch/2022"/>
  <w:attachedSchema w:val="http://xbrl.sec.gov/dei/2022"/>
  <w:attachedSchema w:val="http://xbrl.sec.gov/currency/2022"/>
  <w:attachedSchema w:val="http://xbrl.sec.gov/country/2022"/>
  <w:attachedSchema w:val="http://xbrl.org/2020/extensible-enumerations-2.0"/>
  <w:attachedSchema w:val="http://www.w3.org/1999/xlink"/>
  <w:attachedSchema w:val="http://www.xbrl.org/2009/utr"/>
  <w:attachedSchema w:val="http://www.xbrl.org/2003/linkbase"/>
  <w:attachedSchema w:val="http://www.xbrl.org/2003/iso4217"/>
  <w:attachedSchema w:val="http://www.xbrl.org/2013/inlineXBRL"/>
  <w:attachedSchema w:val="http://www.xbrl.org/dtr/type/non-numeric"/>
  <w:attachedSchema w:val="http://www.xbrl.org/dtr/type/numeric"/>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98">
      <w:marLeft w:val="0"/>
      <w:marRight w:val="0"/>
      <w:marTop w:val="0"/>
      <w:marBottom w:val="0"/>
      <w:divBdr>
        <w:top w:val="none" w:sz="0" w:space="0" w:color="auto"/>
        <w:left w:val="none" w:sz="0" w:space="0" w:color="auto"/>
        <w:bottom w:val="none" w:sz="0" w:space="0" w:color="auto"/>
        <w:right w:val="none" w:sz="0" w:space="0" w:color="auto"/>
      </w:divBdr>
    </w:div>
    <w:div w:id="39403662">
      <w:marLeft w:val="0"/>
      <w:marRight w:val="0"/>
      <w:marTop w:val="0"/>
      <w:marBottom w:val="0"/>
      <w:divBdr>
        <w:top w:val="none" w:sz="0" w:space="0" w:color="auto"/>
        <w:left w:val="none" w:sz="0" w:space="0" w:color="auto"/>
        <w:bottom w:val="none" w:sz="0" w:space="0" w:color="auto"/>
        <w:right w:val="none" w:sz="0" w:space="0" w:color="auto"/>
      </w:divBdr>
    </w:div>
    <w:div w:id="48261336">
      <w:marLeft w:val="0"/>
      <w:marRight w:val="0"/>
      <w:marTop w:val="0"/>
      <w:marBottom w:val="0"/>
      <w:divBdr>
        <w:top w:val="none" w:sz="0" w:space="0" w:color="auto"/>
        <w:left w:val="none" w:sz="0" w:space="0" w:color="auto"/>
        <w:bottom w:val="none" w:sz="0" w:space="0" w:color="auto"/>
        <w:right w:val="none" w:sz="0" w:space="0" w:color="auto"/>
      </w:divBdr>
    </w:div>
    <w:div w:id="110245404">
      <w:marLeft w:val="0"/>
      <w:marRight w:val="0"/>
      <w:marTop w:val="0"/>
      <w:marBottom w:val="0"/>
      <w:divBdr>
        <w:top w:val="none" w:sz="0" w:space="0" w:color="auto"/>
        <w:left w:val="none" w:sz="0" w:space="0" w:color="auto"/>
        <w:bottom w:val="none" w:sz="0" w:space="0" w:color="auto"/>
        <w:right w:val="none" w:sz="0" w:space="0" w:color="auto"/>
      </w:divBdr>
    </w:div>
    <w:div w:id="130024386">
      <w:marLeft w:val="0"/>
      <w:marRight w:val="0"/>
      <w:marTop w:val="0"/>
      <w:marBottom w:val="0"/>
      <w:divBdr>
        <w:top w:val="none" w:sz="0" w:space="0" w:color="auto"/>
        <w:left w:val="none" w:sz="0" w:space="0" w:color="auto"/>
        <w:bottom w:val="none" w:sz="0" w:space="0" w:color="auto"/>
        <w:right w:val="none" w:sz="0" w:space="0" w:color="auto"/>
      </w:divBdr>
    </w:div>
    <w:div w:id="162823774">
      <w:marLeft w:val="0"/>
      <w:marRight w:val="0"/>
      <w:marTop w:val="0"/>
      <w:marBottom w:val="0"/>
      <w:divBdr>
        <w:top w:val="none" w:sz="0" w:space="0" w:color="auto"/>
        <w:left w:val="none" w:sz="0" w:space="0" w:color="auto"/>
        <w:bottom w:val="none" w:sz="0" w:space="0" w:color="auto"/>
        <w:right w:val="none" w:sz="0" w:space="0" w:color="auto"/>
      </w:divBdr>
    </w:div>
    <w:div w:id="165706502">
      <w:marLeft w:val="0"/>
      <w:marRight w:val="0"/>
      <w:marTop w:val="0"/>
      <w:marBottom w:val="0"/>
      <w:divBdr>
        <w:top w:val="none" w:sz="0" w:space="0" w:color="auto"/>
        <w:left w:val="none" w:sz="0" w:space="0" w:color="auto"/>
        <w:bottom w:val="none" w:sz="0" w:space="0" w:color="auto"/>
        <w:right w:val="none" w:sz="0" w:space="0" w:color="auto"/>
      </w:divBdr>
    </w:div>
    <w:div w:id="193271423">
      <w:marLeft w:val="0"/>
      <w:marRight w:val="0"/>
      <w:marTop w:val="0"/>
      <w:marBottom w:val="0"/>
      <w:divBdr>
        <w:top w:val="none" w:sz="0" w:space="0" w:color="auto"/>
        <w:left w:val="none" w:sz="0" w:space="0" w:color="auto"/>
        <w:bottom w:val="none" w:sz="0" w:space="0" w:color="auto"/>
        <w:right w:val="none" w:sz="0" w:space="0" w:color="auto"/>
      </w:divBdr>
    </w:div>
    <w:div w:id="193856423">
      <w:marLeft w:val="0"/>
      <w:marRight w:val="0"/>
      <w:marTop w:val="0"/>
      <w:marBottom w:val="0"/>
      <w:divBdr>
        <w:top w:val="none" w:sz="0" w:space="0" w:color="auto"/>
        <w:left w:val="none" w:sz="0" w:space="0" w:color="auto"/>
        <w:bottom w:val="none" w:sz="0" w:space="0" w:color="auto"/>
        <w:right w:val="none" w:sz="0" w:space="0" w:color="auto"/>
      </w:divBdr>
    </w:div>
    <w:div w:id="205724339">
      <w:marLeft w:val="0"/>
      <w:marRight w:val="0"/>
      <w:marTop w:val="0"/>
      <w:marBottom w:val="0"/>
      <w:divBdr>
        <w:top w:val="none" w:sz="0" w:space="0" w:color="auto"/>
        <w:left w:val="none" w:sz="0" w:space="0" w:color="auto"/>
        <w:bottom w:val="none" w:sz="0" w:space="0" w:color="auto"/>
        <w:right w:val="none" w:sz="0" w:space="0" w:color="auto"/>
      </w:divBdr>
    </w:div>
    <w:div w:id="388961712">
      <w:marLeft w:val="0"/>
      <w:marRight w:val="0"/>
      <w:marTop w:val="0"/>
      <w:marBottom w:val="0"/>
      <w:divBdr>
        <w:top w:val="none" w:sz="0" w:space="0" w:color="auto"/>
        <w:left w:val="none" w:sz="0" w:space="0" w:color="auto"/>
        <w:bottom w:val="none" w:sz="0" w:space="0" w:color="auto"/>
        <w:right w:val="none" w:sz="0" w:space="0" w:color="auto"/>
      </w:divBdr>
    </w:div>
    <w:div w:id="417406233">
      <w:marLeft w:val="0"/>
      <w:marRight w:val="0"/>
      <w:marTop w:val="0"/>
      <w:marBottom w:val="0"/>
      <w:divBdr>
        <w:top w:val="none" w:sz="0" w:space="0" w:color="auto"/>
        <w:left w:val="none" w:sz="0" w:space="0" w:color="auto"/>
        <w:bottom w:val="none" w:sz="0" w:space="0" w:color="auto"/>
        <w:right w:val="none" w:sz="0" w:space="0" w:color="auto"/>
      </w:divBdr>
    </w:div>
    <w:div w:id="453644018">
      <w:marLeft w:val="0"/>
      <w:marRight w:val="0"/>
      <w:marTop w:val="0"/>
      <w:marBottom w:val="0"/>
      <w:divBdr>
        <w:top w:val="none" w:sz="0" w:space="0" w:color="auto"/>
        <w:left w:val="none" w:sz="0" w:space="0" w:color="auto"/>
        <w:bottom w:val="none" w:sz="0" w:space="0" w:color="auto"/>
        <w:right w:val="none" w:sz="0" w:space="0" w:color="auto"/>
      </w:divBdr>
    </w:div>
    <w:div w:id="463936959">
      <w:marLeft w:val="0"/>
      <w:marRight w:val="0"/>
      <w:marTop w:val="0"/>
      <w:marBottom w:val="0"/>
      <w:divBdr>
        <w:top w:val="none" w:sz="0" w:space="0" w:color="auto"/>
        <w:left w:val="none" w:sz="0" w:space="0" w:color="auto"/>
        <w:bottom w:val="none" w:sz="0" w:space="0" w:color="auto"/>
        <w:right w:val="none" w:sz="0" w:space="0" w:color="auto"/>
      </w:divBdr>
    </w:div>
    <w:div w:id="493187336">
      <w:marLeft w:val="0"/>
      <w:marRight w:val="0"/>
      <w:marTop w:val="0"/>
      <w:marBottom w:val="0"/>
      <w:divBdr>
        <w:top w:val="none" w:sz="0" w:space="0" w:color="auto"/>
        <w:left w:val="none" w:sz="0" w:space="0" w:color="auto"/>
        <w:bottom w:val="none" w:sz="0" w:space="0" w:color="auto"/>
        <w:right w:val="none" w:sz="0" w:space="0" w:color="auto"/>
      </w:divBdr>
    </w:div>
    <w:div w:id="509371020">
      <w:marLeft w:val="0"/>
      <w:marRight w:val="0"/>
      <w:marTop w:val="0"/>
      <w:marBottom w:val="0"/>
      <w:divBdr>
        <w:top w:val="none" w:sz="0" w:space="0" w:color="auto"/>
        <w:left w:val="none" w:sz="0" w:space="0" w:color="auto"/>
        <w:bottom w:val="none" w:sz="0" w:space="0" w:color="auto"/>
        <w:right w:val="none" w:sz="0" w:space="0" w:color="auto"/>
      </w:divBdr>
    </w:div>
    <w:div w:id="604116427">
      <w:marLeft w:val="0"/>
      <w:marRight w:val="0"/>
      <w:marTop w:val="0"/>
      <w:marBottom w:val="0"/>
      <w:divBdr>
        <w:top w:val="none" w:sz="0" w:space="0" w:color="auto"/>
        <w:left w:val="none" w:sz="0" w:space="0" w:color="auto"/>
        <w:bottom w:val="none" w:sz="0" w:space="0" w:color="auto"/>
        <w:right w:val="none" w:sz="0" w:space="0" w:color="auto"/>
      </w:divBdr>
    </w:div>
    <w:div w:id="643778264">
      <w:marLeft w:val="0"/>
      <w:marRight w:val="0"/>
      <w:marTop w:val="0"/>
      <w:marBottom w:val="0"/>
      <w:divBdr>
        <w:top w:val="none" w:sz="0" w:space="0" w:color="auto"/>
        <w:left w:val="none" w:sz="0" w:space="0" w:color="auto"/>
        <w:bottom w:val="none" w:sz="0" w:space="0" w:color="auto"/>
        <w:right w:val="none" w:sz="0" w:space="0" w:color="auto"/>
      </w:divBdr>
    </w:div>
    <w:div w:id="728575130">
      <w:marLeft w:val="0"/>
      <w:marRight w:val="0"/>
      <w:marTop w:val="0"/>
      <w:marBottom w:val="0"/>
      <w:divBdr>
        <w:top w:val="none" w:sz="0" w:space="0" w:color="auto"/>
        <w:left w:val="none" w:sz="0" w:space="0" w:color="auto"/>
        <w:bottom w:val="none" w:sz="0" w:space="0" w:color="auto"/>
        <w:right w:val="none" w:sz="0" w:space="0" w:color="auto"/>
      </w:divBdr>
    </w:div>
    <w:div w:id="730805768">
      <w:marLeft w:val="0"/>
      <w:marRight w:val="0"/>
      <w:marTop w:val="0"/>
      <w:marBottom w:val="0"/>
      <w:divBdr>
        <w:top w:val="none" w:sz="0" w:space="0" w:color="auto"/>
        <w:left w:val="none" w:sz="0" w:space="0" w:color="auto"/>
        <w:bottom w:val="none" w:sz="0" w:space="0" w:color="auto"/>
        <w:right w:val="none" w:sz="0" w:space="0" w:color="auto"/>
      </w:divBdr>
    </w:div>
    <w:div w:id="782194086">
      <w:marLeft w:val="0"/>
      <w:marRight w:val="0"/>
      <w:marTop w:val="0"/>
      <w:marBottom w:val="0"/>
      <w:divBdr>
        <w:top w:val="none" w:sz="0" w:space="0" w:color="auto"/>
        <w:left w:val="none" w:sz="0" w:space="0" w:color="auto"/>
        <w:bottom w:val="none" w:sz="0" w:space="0" w:color="auto"/>
        <w:right w:val="none" w:sz="0" w:space="0" w:color="auto"/>
      </w:divBdr>
    </w:div>
    <w:div w:id="824274324">
      <w:marLeft w:val="0"/>
      <w:marRight w:val="0"/>
      <w:marTop w:val="0"/>
      <w:marBottom w:val="0"/>
      <w:divBdr>
        <w:top w:val="none" w:sz="0" w:space="0" w:color="auto"/>
        <w:left w:val="none" w:sz="0" w:space="0" w:color="auto"/>
        <w:bottom w:val="none" w:sz="0" w:space="0" w:color="auto"/>
        <w:right w:val="none" w:sz="0" w:space="0" w:color="auto"/>
      </w:divBdr>
    </w:div>
    <w:div w:id="843206050">
      <w:marLeft w:val="0"/>
      <w:marRight w:val="0"/>
      <w:marTop w:val="0"/>
      <w:marBottom w:val="0"/>
      <w:divBdr>
        <w:top w:val="none" w:sz="0" w:space="0" w:color="auto"/>
        <w:left w:val="none" w:sz="0" w:space="0" w:color="auto"/>
        <w:bottom w:val="none" w:sz="0" w:space="0" w:color="auto"/>
        <w:right w:val="none" w:sz="0" w:space="0" w:color="auto"/>
      </w:divBdr>
    </w:div>
    <w:div w:id="863327637">
      <w:marLeft w:val="0"/>
      <w:marRight w:val="0"/>
      <w:marTop w:val="0"/>
      <w:marBottom w:val="0"/>
      <w:divBdr>
        <w:top w:val="none" w:sz="0" w:space="0" w:color="auto"/>
        <w:left w:val="none" w:sz="0" w:space="0" w:color="auto"/>
        <w:bottom w:val="none" w:sz="0" w:space="0" w:color="auto"/>
        <w:right w:val="none" w:sz="0" w:space="0" w:color="auto"/>
      </w:divBdr>
    </w:div>
    <w:div w:id="951279541">
      <w:marLeft w:val="0"/>
      <w:marRight w:val="0"/>
      <w:marTop w:val="0"/>
      <w:marBottom w:val="0"/>
      <w:divBdr>
        <w:top w:val="none" w:sz="0" w:space="0" w:color="auto"/>
        <w:left w:val="none" w:sz="0" w:space="0" w:color="auto"/>
        <w:bottom w:val="none" w:sz="0" w:space="0" w:color="auto"/>
        <w:right w:val="none" w:sz="0" w:space="0" w:color="auto"/>
      </w:divBdr>
    </w:div>
    <w:div w:id="973632356">
      <w:marLeft w:val="0"/>
      <w:marRight w:val="0"/>
      <w:marTop w:val="0"/>
      <w:marBottom w:val="0"/>
      <w:divBdr>
        <w:top w:val="none" w:sz="0" w:space="0" w:color="auto"/>
        <w:left w:val="none" w:sz="0" w:space="0" w:color="auto"/>
        <w:bottom w:val="none" w:sz="0" w:space="0" w:color="auto"/>
        <w:right w:val="none" w:sz="0" w:space="0" w:color="auto"/>
      </w:divBdr>
    </w:div>
    <w:div w:id="1007756095">
      <w:marLeft w:val="0"/>
      <w:marRight w:val="0"/>
      <w:marTop w:val="0"/>
      <w:marBottom w:val="0"/>
      <w:divBdr>
        <w:top w:val="none" w:sz="0" w:space="0" w:color="auto"/>
        <w:left w:val="none" w:sz="0" w:space="0" w:color="auto"/>
        <w:bottom w:val="none" w:sz="0" w:space="0" w:color="auto"/>
        <w:right w:val="none" w:sz="0" w:space="0" w:color="auto"/>
      </w:divBdr>
    </w:div>
    <w:div w:id="1038355857">
      <w:marLeft w:val="0"/>
      <w:marRight w:val="0"/>
      <w:marTop w:val="0"/>
      <w:marBottom w:val="0"/>
      <w:divBdr>
        <w:top w:val="none" w:sz="0" w:space="0" w:color="auto"/>
        <w:left w:val="none" w:sz="0" w:space="0" w:color="auto"/>
        <w:bottom w:val="none" w:sz="0" w:space="0" w:color="auto"/>
        <w:right w:val="none" w:sz="0" w:space="0" w:color="auto"/>
      </w:divBdr>
    </w:div>
    <w:div w:id="1045593878">
      <w:marLeft w:val="0"/>
      <w:marRight w:val="0"/>
      <w:marTop w:val="0"/>
      <w:marBottom w:val="0"/>
      <w:divBdr>
        <w:top w:val="none" w:sz="0" w:space="0" w:color="auto"/>
        <w:left w:val="none" w:sz="0" w:space="0" w:color="auto"/>
        <w:bottom w:val="none" w:sz="0" w:space="0" w:color="auto"/>
        <w:right w:val="none" w:sz="0" w:space="0" w:color="auto"/>
      </w:divBdr>
    </w:div>
    <w:div w:id="1066759143">
      <w:marLeft w:val="0"/>
      <w:marRight w:val="0"/>
      <w:marTop w:val="0"/>
      <w:marBottom w:val="0"/>
      <w:divBdr>
        <w:top w:val="none" w:sz="0" w:space="0" w:color="auto"/>
        <w:left w:val="none" w:sz="0" w:space="0" w:color="auto"/>
        <w:bottom w:val="none" w:sz="0" w:space="0" w:color="auto"/>
        <w:right w:val="none" w:sz="0" w:space="0" w:color="auto"/>
      </w:divBdr>
    </w:div>
    <w:div w:id="1071271440">
      <w:marLeft w:val="0"/>
      <w:marRight w:val="0"/>
      <w:marTop w:val="0"/>
      <w:marBottom w:val="0"/>
      <w:divBdr>
        <w:top w:val="none" w:sz="0" w:space="0" w:color="auto"/>
        <w:left w:val="none" w:sz="0" w:space="0" w:color="auto"/>
        <w:bottom w:val="none" w:sz="0" w:space="0" w:color="auto"/>
        <w:right w:val="none" w:sz="0" w:space="0" w:color="auto"/>
      </w:divBdr>
    </w:div>
    <w:div w:id="1140616357">
      <w:marLeft w:val="0"/>
      <w:marRight w:val="0"/>
      <w:marTop w:val="0"/>
      <w:marBottom w:val="0"/>
      <w:divBdr>
        <w:top w:val="none" w:sz="0" w:space="0" w:color="auto"/>
        <w:left w:val="none" w:sz="0" w:space="0" w:color="auto"/>
        <w:bottom w:val="none" w:sz="0" w:space="0" w:color="auto"/>
        <w:right w:val="none" w:sz="0" w:space="0" w:color="auto"/>
      </w:divBdr>
    </w:div>
    <w:div w:id="1156995156">
      <w:marLeft w:val="0"/>
      <w:marRight w:val="0"/>
      <w:marTop w:val="0"/>
      <w:marBottom w:val="0"/>
      <w:divBdr>
        <w:top w:val="none" w:sz="0" w:space="0" w:color="auto"/>
        <w:left w:val="none" w:sz="0" w:space="0" w:color="auto"/>
        <w:bottom w:val="none" w:sz="0" w:space="0" w:color="auto"/>
        <w:right w:val="none" w:sz="0" w:space="0" w:color="auto"/>
      </w:divBdr>
    </w:div>
    <w:div w:id="1163353986">
      <w:marLeft w:val="0"/>
      <w:marRight w:val="0"/>
      <w:marTop w:val="0"/>
      <w:marBottom w:val="0"/>
      <w:divBdr>
        <w:top w:val="none" w:sz="0" w:space="0" w:color="auto"/>
        <w:left w:val="none" w:sz="0" w:space="0" w:color="auto"/>
        <w:bottom w:val="none" w:sz="0" w:space="0" w:color="auto"/>
        <w:right w:val="none" w:sz="0" w:space="0" w:color="auto"/>
      </w:divBdr>
    </w:div>
    <w:div w:id="1222643280">
      <w:marLeft w:val="0"/>
      <w:marRight w:val="0"/>
      <w:marTop w:val="0"/>
      <w:marBottom w:val="0"/>
      <w:divBdr>
        <w:top w:val="none" w:sz="0" w:space="0" w:color="auto"/>
        <w:left w:val="none" w:sz="0" w:space="0" w:color="auto"/>
        <w:bottom w:val="none" w:sz="0" w:space="0" w:color="auto"/>
        <w:right w:val="none" w:sz="0" w:space="0" w:color="auto"/>
      </w:divBdr>
    </w:div>
    <w:div w:id="1227833816">
      <w:marLeft w:val="0"/>
      <w:marRight w:val="0"/>
      <w:marTop w:val="0"/>
      <w:marBottom w:val="0"/>
      <w:divBdr>
        <w:top w:val="none" w:sz="0" w:space="0" w:color="auto"/>
        <w:left w:val="none" w:sz="0" w:space="0" w:color="auto"/>
        <w:bottom w:val="none" w:sz="0" w:space="0" w:color="auto"/>
        <w:right w:val="none" w:sz="0" w:space="0" w:color="auto"/>
      </w:divBdr>
    </w:div>
    <w:div w:id="1232043696">
      <w:marLeft w:val="0"/>
      <w:marRight w:val="0"/>
      <w:marTop w:val="0"/>
      <w:marBottom w:val="0"/>
      <w:divBdr>
        <w:top w:val="none" w:sz="0" w:space="0" w:color="auto"/>
        <w:left w:val="none" w:sz="0" w:space="0" w:color="auto"/>
        <w:bottom w:val="none" w:sz="0" w:space="0" w:color="auto"/>
        <w:right w:val="none" w:sz="0" w:space="0" w:color="auto"/>
      </w:divBdr>
    </w:div>
    <w:div w:id="1235433208">
      <w:marLeft w:val="0"/>
      <w:marRight w:val="0"/>
      <w:marTop w:val="0"/>
      <w:marBottom w:val="0"/>
      <w:divBdr>
        <w:top w:val="none" w:sz="0" w:space="0" w:color="auto"/>
        <w:left w:val="none" w:sz="0" w:space="0" w:color="auto"/>
        <w:bottom w:val="none" w:sz="0" w:space="0" w:color="auto"/>
        <w:right w:val="none" w:sz="0" w:space="0" w:color="auto"/>
      </w:divBdr>
    </w:div>
    <w:div w:id="1244484759">
      <w:marLeft w:val="0"/>
      <w:marRight w:val="0"/>
      <w:marTop w:val="0"/>
      <w:marBottom w:val="0"/>
      <w:divBdr>
        <w:top w:val="none" w:sz="0" w:space="0" w:color="auto"/>
        <w:left w:val="none" w:sz="0" w:space="0" w:color="auto"/>
        <w:bottom w:val="none" w:sz="0" w:space="0" w:color="auto"/>
        <w:right w:val="none" w:sz="0" w:space="0" w:color="auto"/>
      </w:divBdr>
    </w:div>
    <w:div w:id="1252160055">
      <w:marLeft w:val="0"/>
      <w:marRight w:val="0"/>
      <w:marTop w:val="0"/>
      <w:marBottom w:val="0"/>
      <w:divBdr>
        <w:top w:val="none" w:sz="0" w:space="0" w:color="auto"/>
        <w:left w:val="none" w:sz="0" w:space="0" w:color="auto"/>
        <w:bottom w:val="none" w:sz="0" w:space="0" w:color="auto"/>
        <w:right w:val="none" w:sz="0" w:space="0" w:color="auto"/>
      </w:divBdr>
    </w:div>
    <w:div w:id="1295522697">
      <w:marLeft w:val="0"/>
      <w:marRight w:val="0"/>
      <w:marTop w:val="0"/>
      <w:marBottom w:val="0"/>
      <w:divBdr>
        <w:top w:val="none" w:sz="0" w:space="0" w:color="auto"/>
        <w:left w:val="none" w:sz="0" w:space="0" w:color="auto"/>
        <w:bottom w:val="none" w:sz="0" w:space="0" w:color="auto"/>
        <w:right w:val="none" w:sz="0" w:space="0" w:color="auto"/>
      </w:divBdr>
    </w:div>
    <w:div w:id="1300111040">
      <w:marLeft w:val="0"/>
      <w:marRight w:val="0"/>
      <w:marTop w:val="0"/>
      <w:marBottom w:val="0"/>
      <w:divBdr>
        <w:top w:val="none" w:sz="0" w:space="0" w:color="auto"/>
        <w:left w:val="none" w:sz="0" w:space="0" w:color="auto"/>
        <w:bottom w:val="none" w:sz="0" w:space="0" w:color="auto"/>
        <w:right w:val="none" w:sz="0" w:space="0" w:color="auto"/>
      </w:divBdr>
    </w:div>
    <w:div w:id="1309288826">
      <w:marLeft w:val="0"/>
      <w:marRight w:val="0"/>
      <w:marTop w:val="0"/>
      <w:marBottom w:val="0"/>
      <w:divBdr>
        <w:top w:val="none" w:sz="0" w:space="0" w:color="auto"/>
        <w:left w:val="none" w:sz="0" w:space="0" w:color="auto"/>
        <w:bottom w:val="none" w:sz="0" w:space="0" w:color="auto"/>
        <w:right w:val="none" w:sz="0" w:space="0" w:color="auto"/>
      </w:divBdr>
    </w:div>
    <w:div w:id="1327126488">
      <w:marLeft w:val="0"/>
      <w:marRight w:val="0"/>
      <w:marTop w:val="0"/>
      <w:marBottom w:val="0"/>
      <w:divBdr>
        <w:top w:val="none" w:sz="0" w:space="0" w:color="auto"/>
        <w:left w:val="none" w:sz="0" w:space="0" w:color="auto"/>
        <w:bottom w:val="none" w:sz="0" w:space="0" w:color="auto"/>
        <w:right w:val="none" w:sz="0" w:space="0" w:color="auto"/>
      </w:divBdr>
    </w:div>
    <w:div w:id="1362779872">
      <w:marLeft w:val="0"/>
      <w:marRight w:val="0"/>
      <w:marTop w:val="0"/>
      <w:marBottom w:val="0"/>
      <w:divBdr>
        <w:top w:val="none" w:sz="0" w:space="0" w:color="auto"/>
        <w:left w:val="none" w:sz="0" w:space="0" w:color="auto"/>
        <w:bottom w:val="none" w:sz="0" w:space="0" w:color="auto"/>
        <w:right w:val="none" w:sz="0" w:space="0" w:color="auto"/>
      </w:divBdr>
    </w:div>
    <w:div w:id="1408110413">
      <w:marLeft w:val="0"/>
      <w:marRight w:val="0"/>
      <w:marTop w:val="0"/>
      <w:marBottom w:val="0"/>
      <w:divBdr>
        <w:top w:val="none" w:sz="0" w:space="0" w:color="auto"/>
        <w:left w:val="none" w:sz="0" w:space="0" w:color="auto"/>
        <w:bottom w:val="none" w:sz="0" w:space="0" w:color="auto"/>
        <w:right w:val="none" w:sz="0" w:space="0" w:color="auto"/>
      </w:divBdr>
    </w:div>
    <w:div w:id="1425764871">
      <w:marLeft w:val="0"/>
      <w:marRight w:val="0"/>
      <w:marTop w:val="0"/>
      <w:marBottom w:val="0"/>
      <w:divBdr>
        <w:top w:val="none" w:sz="0" w:space="0" w:color="auto"/>
        <w:left w:val="none" w:sz="0" w:space="0" w:color="auto"/>
        <w:bottom w:val="none" w:sz="0" w:space="0" w:color="auto"/>
        <w:right w:val="none" w:sz="0" w:space="0" w:color="auto"/>
      </w:divBdr>
    </w:div>
    <w:div w:id="1460494685">
      <w:marLeft w:val="0"/>
      <w:marRight w:val="0"/>
      <w:marTop w:val="0"/>
      <w:marBottom w:val="0"/>
      <w:divBdr>
        <w:top w:val="none" w:sz="0" w:space="0" w:color="auto"/>
        <w:left w:val="none" w:sz="0" w:space="0" w:color="auto"/>
        <w:bottom w:val="none" w:sz="0" w:space="0" w:color="auto"/>
        <w:right w:val="none" w:sz="0" w:space="0" w:color="auto"/>
      </w:divBdr>
    </w:div>
    <w:div w:id="1494565796">
      <w:marLeft w:val="0"/>
      <w:marRight w:val="0"/>
      <w:marTop w:val="0"/>
      <w:marBottom w:val="0"/>
      <w:divBdr>
        <w:top w:val="none" w:sz="0" w:space="0" w:color="auto"/>
        <w:left w:val="none" w:sz="0" w:space="0" w:color="auto"/>
        <w:bottom w:val="none" w:sz="0" w:space="0" w:color="auto"/>
        <w:right w:val="none" w:sz="0" w:space="0" w:color="auto"/>
      </w:divBdr>
    </w:div>
    <w:div w:id="1558206512">
      <w:marLeft w:val="0"/>
      <w:marRight w:val="0"/>
      <w:marTop w:val="0"/>
      <w:marBottom w:val="0"/>
      <w:divBdr>
        <w:top w:val="none" w:sz="0" w:space="0" w:color="auto"/>
        <w:left w:val="none" w:sz="0" w:space="0" w:color="auto"/>
        <w:bottom w:val="none" w:sz="0" w:space="0" w:color="auto"/>
        <w:right w:val="none" w:sz="0" w:space="0" w:color="auto"/>
      </w:divBdr>
    </w:div>
    <w:div w:id="1576284123">
      <w:marLeft w:val="0"/>
      <w:marRight w:val="0"/>
      <w:marTop w:val="0"/>
      <w:marBottom w:val="0"/>
      <w:divBdr>
        <w:top w:val="none" w:sz="0" w:space="0" w:color="auto"/>
        <w:left w:val="none" w:sz="0" w:space="0" w:color="auto"/>
        <w:bottom w:val="none" w:sz="0" w:space="0" w:color="auto"/>
        <w:right w:val="none" w:sz="0" w:space="0" w:color="auto"/>
      </w:divBdr>
    </w:div>
    <w:div w:id="1583368448">
      <w:marLeft w:val="0"/>
      <w:marRight w:val="0"/>
      <w:marTop w:val="0"/>
      <w:marBottom w:val="0"/>
      <w:divBdr>
        <w:top w:val="none" w:sz="0" w:space="0" w:color="auto"/>
        <w:left w:val="none" w:sz="0" w:space="0" w:color="auto"/>
        <w:bottom w:val="none" w:sz="0" w:space="0" w:color="auto"/>
        <w:right w:val="none" w:sz="0" w:space="0" w:color="auto"/>
      </w:divBdr>
    </w:div>
    <w:div w:id="1614552898">
      <w:marLeft w:val="0"/>
      <w:marRight w:val="0"/>
      <w:marTop w:val="0"/>
      <w:marBottom w:val="0"/>
      <w:divBdr>
        <w:top w:val="none" w:sz="0" w:space="0" w:color="auto"/>
        <w:left w:val="none" w:sz="0" w:space="0" w:color="auto"/>
        <w:bottom w:val="none" w:sz="0" w:space="0" w:color="auto"/>
        <w:right w:val="none" w:sz="0" w:space="0" w:color="auto"/>
      </w:divBdr>
    </w:div>
    <w:div w:id="1638754133">
      <w:marLeft w:val="0"/>
      <w:marRight w:val="0"/>
      <w:marTop w:val="0"/>
      <w:marBottom w:val="0"/>
      <w:divBdr>
        <w:top w:val="none" w:sz="0" w:space="0" w:color="auto"/>
        <w:left w:val="none" w:sz="0" w:space="0" w:color="auto"/>
        <w:bottom w:val="none" w:sz="0" w:space="0" w:color="auto"/>
        <w:right w:val="none" w:sz="0" w:space="0" w:color="auto"/>
      </w:divBdr>
    </w:div>
    <w:div w:id="1708292014">
      <w:marLeft w:val="0"/>
      <w:marRight w:val="0"/>
      <w:marTop w:val="0"/>
      <w:marBottom w:val="0"/>
      <w:divBdr>
        <w:top w:val="none" w:sz="0" w:space="0" w:color="auto"/>
        <w:left w:val="none" w:sz="0" w:space="0" w:color="auto"/>
        <w:bottom w:val="none" w:sz="0" w:space="0" w:color="auto"/>
        <w:right w:val="none" w:sz="0" w:space="0" w:color="auto"/>
      </w:divBdr>
    </w:div>
    <w:div w:id="1720208773">
      <w:marLeft w:val="0"/>
      <w:marRight w:val="0"/>
      <w:marTop w:val="0"/>
      <w:marBottom w:val="0"/>
      <w:divBdr>
        <w:top w:val="none" w:sz="0" w:space="0" w:color="auto"/>
        <w:left w:val="none" w:sz="0" w:space="0" w:color="auto"/>
        <w:bottom w:val="none" w:sz="0" w:space="0" w:color="auto"/>
        <w:right w:val="none" w:sz="0" w:space="0" w:color="auto"/>
      </w:divBdr>
    </w:div>
    <w:div w:id="1733388277">
      <w:marLeft w:val="0"/>
      <w:marRight w:val="0"/>
      <w:marTop w:val="0"/>
      <w:marBottom w:val="0"/>
      <w:divBdr>
        <w:top w:val="none" w:sz="0" w:space="0" w:color="auto"/>
        <w:left w:val="none" w:sz="0" w:space="0" w:color="auto"/>
        <w:bottom w:val="none" w:sz="0" w:space="0" w:color="auto"/>
        <w:right w:val="none" w:sz="0" w:space="0" w:color="auto"/>
      </w:divBdr>
    </w:div>
    <w:div w:id="1862931597">
      <w:marLeft w:val="0"/>
      <w:marRight w:val="0"/>
      <w:marTop w:val="0"/>
      <w:marBottom w:val="0"/>
      <w:divBdr>
        <w:top w:val="none" w:sz="0" w:space="0" w:color="auto"/>
        <w:left w:val="none" w:sz="0" w:space="0" w:color="auto"/>
        <w:bottom w:val="none" w:sz="0" w:space="0" w:color="auto"/>
        <w:right w:val="none" w:sz="0" w:space="0" w:color="auto"/>
      </w:divBdr>
    </w:div>
    <w:div w:id="1872912368">
      <w:marLeft w:val="0"/>
      <w:marRight w:val="0"/>
      <w:marTop w:val="0"/>
      <w:marBottom w:val="0"/>
      <w:divBdr>
        <w:top w:val="none" w:sz="0" w:space="0" w:color="auto"/>
        <w:left w:val="none" w:sz="0" w:space="0" w:color="auto"/>
        <w:bottom w:val="none" w:sz="0" w:space="0" w:color="auto"/>
        <w:right w:val="none" w:sz="0" w:space="0" w:color="auto"/>
      </w:divBdr>
    </w:div>
    <w:div w:id="1897738467">
      <w:marLeft w:val="0"/>
      <w:marRight w:val="0"/>
      <w:marTop w:val="0"/>
      <w:marBottom w:val="0"/>
      <w:divBdr>
        <w:top w:val="none" w:sz="0" w:space="0" w:color="auto"/>
        <w:left w:val="none" w:sz="0" w:space="0" w:color="auto"/>
        <w:bottom w:val="none" w:sz="0" w:space="0" w:color="auto"/>
        <w:right w:val="none" w:sz="0" w:space="0" w:color="auto"/>
      </w:divBdr>
    </w:div>
    <w:div w:id="1903590670">
      <w:marLeft w:val="0"/>
      <w:marRight w:val="0"/>
      <w:marTop w:val="0"/>
      <w:marBottom w:val="0"/>
      <w:divBdr>
        <w:top w:val="none" w:sz="0" w:space="0" w:color="auto"/>
        <w:left w:val="none" w:sz="0" w:space="0" w:color="auto"/>
        <w:bottom w:val="none" w:sz="0" w:space="0" w:color="auto"/>
        <w:right w:val="none" w:sz="0" w:space="0" w:color="auto"/>
      </w:divBdr>
    </w:div>
    <w:div w:id="2025398766">
      <w:marLeft w:val="0"/>
      <w:marRight w:val="0"/>
      <w:marTop w:val="0"/>
      <w:marBottom w:val="0"/>
      <w:divBdr>
        <w:top w:val="none" w:sz="0" w:space="0" w:color="auto"/>
        <w:left w:val="none" w:sz="0" w:space="0" w:color="auto"/>
        <w:bottom w:val="none" w:sz="0" w:space="0" w:color="auto"/>
        <w:right w:val="none" w:sz="0" w:space="0" w:color="auto"/>
      </w:divBdr>
    </w:div>
    <w:div w:id="2025861356">
      <w:marLeft w:val="0"/>
      <w:marRight w:val="0"/>
      <w:marTop w:val="0"/>
      <w:marBottom w:val="0"/>
      <w:divBdr>
        <w:top w:val="none" w:sz="0" w:space="0" w:color="auto"/>
        <w:left w:val="none" w:sz="0" w:space="0" w:color="auto"/>
        <w:bottom w:val="none" w:sz="0" w:space="0" w:color="auto"/>
        <w:right w:val="none" w:sz="0" w:space="0" w:color="auto"/>
      </w:divBdr>
    </w:div>
    <w:div w:id="2030598710">
      <w:marLeft w:val="0"/>
      <w:marRight w:val="0"/>
      <w:marTop w:val="0"/>
      <w:marBottom w:val="0"/>
      <w:divBdr>
        <w:top w:val="none" w:sz="0" w:space="0" w:color="auto"/>
        <w:left w:val="none" w:sz="0" w:space="0" w:color="auto"/>
        <w:bottom w:val="none" w:sz="0" w:space="0" w:color="auto"/>
        <w:right w:val="none" w:sz="0" w:space="0" w:color="auto"/>
      </w:divBdr>
    </w:div>
    <w:div w:id="2052076609">
      <w:marLeft w:val="0"/>
      <w:marRight w:val="0"/>
      <w:marTop w:val="0"/>
      <w:marBottom w:val="0"/>
      <w:divBdr>
        <w:top w:val="none" w:sz="0" w:space="0" w:color="auto"/>
        <w:left w:val="none" w:sz="0" w:space="0" w:color="auto"/>
        <w:bottom w:val="none" w:sz="0" w:space="0" w:color="auto"/>
        <w:right w:val="none" w:sz="0" w:space="0" w:color="auto"/>
      </w:divBdr>
    </w:div>
    <w:div w:id="207758866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21_9.htm" TargetMode="External"/><Relationship Id="rId3" Type="http://schemas.openxmlformats.org/officeDocument/2006/relationships/webSettings" Target="webSettings.xml"/><Relationship Id="rId7" Type="http://schemas.openxmlformats.org/officeDocument/2006/relationships/hyperlink" Target="cxw-ex312_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311_8.htm" TargetMode="External"/><Relationship Id="rId11" Type="http://schemas.openxmlformats.org/officeDocument/2006/relationships/theme" Target="theme/theme1.xml"/><Relationship Id="rId5" Type="http://schemas.openxmlformats.org/officeDocument/2006/relationships/hyperlink" Target="cxw-ex221_10.htm" TargetMode="External"/><Relationship Id="rId10" Type="http://schemas.openxmlformats.org/officeDocument/2006/relationships/fontTable" Target="fontTable.xml"/><Relationship Id="rId4" Type="http://schemas.openxmlformats.org/officeDocument/2006/relationships/hyperlink" Target="http://www.sec.gov/Archives/edgar/data/1070985/000114036122018956/brhc10037600_ex10-1.htm" TargetMode="External"/><Relationship Id="rId9" Type="http://schemas.openxmlformats.org/officeDocument/2006/relationships/hyperlink" Target="cxw-ex322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34747</Words>
  <Characters>198060</Characters>
  <Application>Microsoft Office Word</Application>
  <DocSecurity>0</DocSecurity>
  <Lines>1650</Lines>
  <Paragraphs>464</Paragraphs>
  <ScaleCrop>false</ScaleCrop>
  <Company/>
  <LinksUpToDate>false</LinksUpToDate>
  <CharactersWithSpaces>232343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cxw-10q_20220630.htm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