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60414" w14:textId="77777777" w:rsidR="00000000" w:rsidRDefault="003A1B5D">
      <w:pPr>
        <w:divId w:val="10910631"/>
        <w:rPr>
          <w:rFonts w:eastAsia="Times New Roman"/>
          <w:vanish/>
        </w:rPr>
      </w:pPr>
      <w:r>
        <w:rPr>
          <w:rFonts w:eastAsia="Times New Roman"/>
          <w:vanish/>
        </w:rPr>
        <w:t>2026-05-310.3333MD--12-312040-01-31TN2027-10-312023-05-3100010709852026-05-312040-01-31Q32026-04-302026-05-312023-04-30false0001070985cxw:EmployeesAndNonEmployeeDirectorsMemberus-gaap:RestrictedStockMember2021-01-012021-12-3100010709852021-07-01</w:t>
      </w:r>
      <w:r>
        <w:rPr>
          <w:rFonts w:eastAsia="Times New Roman"/>
          <w:vanish/>
        </w:rPr>
        <w:t>2021-09-300001070985us-gaap:RestrictedStockMemberus-gaap:GeneralAndAdministrativeExpenseMember2022-07-012022-09-300001070985cxw:AdditionalSeniorNotesEightPointTwoFivePercentDueTwentyTwentySixMember2021-09-292021-09-290001070985cxw:PreviousBankCreditFacilit</w:t>
      </w:r>
      <w:r>
        <w:rPr>
          <w:rFonts w:eastAsia="Times New Roman"/>
          <w:vanish/>
        </w:rPr>
        <w:t>yMember2022-05-120001070985cxw:SeniorNotesFourPointSeventyFivePercentDueTwentyTwentySevenMember2017-10-012017-10-310001070985us-gaap:CommonStockMember2021-01-012021-03-310001070985us-gaap:AdditionalPaidInCapitalMember2022-03-310001070985us-gaap:RestrictedS</w:t>
      </w:r>
      <w:r>
        <w:rPr>
          <w:rFonts w:eastAsia="Times New Roman"/>
          <w:vanish/>
        </w:rPr>
        <w:t>tockUnitsRSUMember2021-01-012021-09-300001070985cxw:NewRevolvingCreditFacilityMember2022-01-012022-09-300001070985cxw:SeniorNotesEightPointTwoFivePercentDueTwentyTwentySixMember2022-01-012022-09-300001070985cxw:SafetySegmentMember2021-12-310001070985us-gaa</w:t>
      </w:r>
      <w:r>
        <w:rPr>
          <w:rFonts w:eastAsia="Times New Roman"/>
          <w:vanish/>
        </w:rPr>
        <w:t>p:ParentMember2020-12-310001070985cxw:PreviousBankCreditFacilityMember2022-04-012022-06-300001070985cxw:CommunitySegmentMember2021-01-012021-09-300001070985cxw:OperatingPartnershipUnitMember2021-01-012021-09-300001070985us-gaap:RestrictedStockMemberus-gaap</w:t>
      </w:r>
      <w:r>
        <w:rPr>
          <w:rFonts w:eastAsia="Times New Roman"/>
          <w:vanish/>
        </w:rPr>
        <w:t>:OperatingExpenseMember2022-07-012022-09-300001070985us-gaap:OperatingSegmentsMembercxw:SafetySegmentMember2021-01-012021-09-300001070985us-gaap:AdditionalPaidInCapitalMember2021-06-300001070985us-gaap:CommonStockMember2021-04-012021-06-300001070985cxw:Pre</w:t>
      </w:r>
      <w:r>
        <w:rPr>
          <w:rFonts w:eastAsia="Times New Roman"/>
          <w:vanish/>
        </w:rPr>
        <w:t>viousBankCreditFacilityMembercxw:TermLoanADueInAprilTwentyTwentyThreeMember2022-05-120001070985us-gaap:CorporateAndOtherMember2022-01-012022-09-3000010709852022-07-012022-07-310001070985cxw:TermLoanADueInMayTwentyTwentySixMember2022-09-300001070985cxw:Term</w:t>
      </w:r>
      <w:r>
        <w:rPr>
          <w:rFonts w:eastAsia="Times New Roman"/>
          <w:vanish/>
        </w:rPr>
        <w:t>LoanBDueInDecemberTwentyTwentyFourMember2019-12-180001070985cxw:SafetySegmentMember2022-07-012022-09-300001070985us-gaap:CommonStockMember2022-09-300001070985us-gaap:ParentMember2021-04-012021-06-300001070985us-gaap:AdditionalPaidInCapitalMember2020-12-310</w:t>
      </w:r>
      <w:r>
        <w:rPr>
          <w:rFonts w:eastAsia="Times New Roman"/>
          <w:vanish/>
        </w:rPr>
        <w:t>001070985cxw:WestTennesseeDetentionFacilityMember2022-09-300001070985us-gaap:OperatingSegmentsMembercxw:CommunitySegmentMember2022-01-012022-09-3000010709852022-07-012022-09-300001070985us-gaap:OperatingSegmentsMembercxw:PropertiesSegmentMember2021-07-0120</w:t>
      </w:r>
      <w:r>
        <w:rPr>
          <w:rFonts w:eastAsia="Times New Roman"/>
          <w:vanish/>
        </w:rPr>
        <w:t>21-09-300001070985cxw:LansingCorrectionalCenterNonRecourseMortgageNoteFourPointFourThreePercentDueTwentyFortyMember2021-12-310001070985us-gaap:RestrictedStockMemberus-gaap:OperatingExpenseMember2021-07-012021-09-300001070985cxw:EmployeesAndNonEmployeeDirec</w:t>
      </w:r>
      <w:r>
        <w:rPr>
          <w:rFonts w:eastAsia="Times New Roman"/>
          <w:vanish/>
        </w:rPr>
        <w:t>torsMemberus-gaap:RestrictedStockMemberus-gaap:GeneralAndAdministrativeExpenseMember2021-01-012021-12-310001070985us-gaap:RestrictedStockMembercxw:OfficersAndExecutiveOfficersMember2022-01-012022-09-300001070985cxw:SeniorNotesEightPointTwoFivePercentDueTwe</w:t>
      </w:r>
      <w:r>
        <w:rPr>
          <w:rFonts w:eastAsia="Times New Roman"/>
          <w:vanish/>
        </w:rPr>
        <w:t>ntyTwentySixMember2021-12-310001070985us-gaap:RetainedEarningsMember2022-04-012022-06-300001070985us-gaap:RestrictedStockMember2021-01-012021-09-3000010709852022-09-012022-09-300001070985us-gaap:CommonStockMember2022-06-300001070985cxw:TermLoanBDueInDecemb</w:t>
      </w:r>
      <w:r>
        <w:rPr>
          <w:rFonts w:eastAsia="Times New Roman"/>
          <w:vanish/>
        </w:rPr>
        <w:t>erTwentyTwentyFourMember2022-05-192022-05-190001070985cxw:TermLoanBDueInDecemberTwentyTwentyFourMember2021-10-012021-10-310001070985us-gaap:NoncontrollingInterestMember2021-06-300001070985cxw:NewRevolvingCreditFacilityMember2022-05-120001070985us-gaap:Rest</w:t>
      </w:r>
      <w:r>
        <w:rPr>
          <w:rFonts w:eastAsia="Times New Roman"/>
          <w:vanish/>
        </w:rPr>
        <w:t>rictedStockMember2021-07-012021-09-300001070985cxw:KitCarsonCorrectionalCenterMember2022-09-300001070985cxw:NonRecourseSeniorSecuredNotesMemberus-gaap:PrivatePlacementMember2022-09-3000010709852022-01-012022-03-310001070985cxw:SeniorNotesEightPointTwoFiveP</w:t>
      </w:r>
      <w:r>
        <w:rPr>
          <w:rFonts w:eastAsia="Times New Roman"/>
          <w:vanish/>
        </w:rPr>
        <w:t>ercentDueTwentyTwentySixMemberus-gaap:DebtInstrumentRedemptionPeriodTwoMember2022-01-012022-09-300001070985us-gaap:RevolvingCreditFacilityMember2022-05-120001070985us-gaap:CommonStockMember2020-12-310001070985us-gaap:ParentMember2022-01-012022-03-310001070</w:t>
      </w:r>
      <w:r>
        <w:rPr>
          <w:rFonts w:eastAsia="Times New Roman"/>
          <w:vanish/>
        </w:rPr>
        <w:t>985cxw:SeniorNotesFivePointZeroPercentMember2021-04-140001070985us-gaap:MaterialReconcilingItemsMemberus-gaap:OtherIncomeMember2022-01-012022-09-300001070985cxw:CreditAgreementMemberus-gaap:RevolvingCreditFacilityMember2022-05-120001070985cxw:TermLoanBDueI</w:t>
      </w:r>
      <w:r>
        <w:rPr>
          <w:rFonts w:eastAsia="Times New Roman"/>
          <w:vanish/>
        </w:rPr>
        <w:t>nDecemberTwentyTwentyFourMember2019-12-182019-12-180001070985cxw:CommunitySegmentMembercxw:IdleFacilitiesMember2022-01-012022-09-300001070985cxw:SeniorNotesFivePointZeroPercentMember2021-04-142021-04-140001070985cxw:SeniorNotesFourPointSixTwoFivePercentage</w:t>
      </w:r>
      <w:r>
        <w:rPr>
          <w:rFonts w:eastAsia="Times New Roman"/>
          <w:vanish/>
        </w:rPr>
        <w:t>Member2022-06-300001070985cxw:UnitedStatesMarshalsServiceMemberus-gaap:SalesRevenueNetMemberus-gaap:GovernmentContractsConcentrationRiskMember2021-01-012021-12-310001070985us-gaap:MaterialReconcilingItemsMemberus-gaap:OtherIncomeMember2021-07-012021-09-300</w:t>
      </w:r>
      <w:r>
        <w:rPr>
          <w:rFonts w:eastAsia="Times New Roman"/>
          <w:vanish/>
        </w:rPr>
        <w:t>001070985cxw:KitCarsonCorrectionalCenterMember2021-12-310001070985cxw:LeavenworthDetentionCenterMember2021-12-310001070985cxw:DiamondbackCorrectionalFacilityMember2022-09-300001070985us-gaap:RevolvingCreditFacilityMembercxw:PreviousBankCreditFacilityMember</w:t>
      </w:r>
      <w:r>
        <w:rPr>
          <w:rFonts w:eastAsia="Times New Roman"/>
          <w:vanish/>
        </w:rPr>
        <w:t>2022-05-120001070985cxw:PropertiesSegmentMember2021-01-012021-09-300001070985us-gaap:RestrictedStockMembersrt:MinimumMember2022-01-012022-09-300001070985us-gaap:RevolvingCreditFacilityMembersrt:MaximumMember2022-05-112022-05-120001070985us-gaap:RetainedEar</w:t>
      </w:r>
      <w:r>
        <w:rPr>
          <w:rFonts w:eastAsia="Times New Roman"/>
          <w:vanish/>
        </w:rPr>
        <w:t>ningsMember2021-06-300001070985us-gaap:RetainedEarningsMember2022-03-310001070985us-gaap:CommonStockMember2022-03-310001070985us-gaap:OperatingSegmentsMembercxw:SafetySegmentMember2021-07-012021-09-300001070985cxw:SeniorNotesEightPointTwoFivePercentDueTwen</w:t>
      </w:r>
      <w:r>
        <w:rPr>
          <w:rFonts w:eastAsia="Times New Roman"/>
          <w:vanish/>
        </w:rPr>
        <w:t>tyTwentySixMember2021-09-2900010709852022-09-300001070985cxw:SeniorNotesEightPointTwoFivePercentMember2022-09-3000010709852020-12-310001070985us-gaap:AdditionalPaidInCapitalMember2022-09-300001070985cxw:IdleFacilitiesMember2022-09-300001070985us-gaap:Opera</w:t>
      </w:r>
      <w:r>
        <w:rPr>
          <w:rFonts w:eastAsia="Times New Roman"/>
          <w:vanish/>
        </w:rPr>
        <w:t>tingSegmentsMembercxw:CommunitySegmentMember2021-07-012021-09-300001070985us-gaap:ParentMember2021-09-300001070985srt:MaximumMembercxw:PreviousBankCreditFacilityMember2022-05-112022-05-120001070985cxw:PreviousBankCreditFacilityMember2022-05-112022-05-12000</w:t>
      </w:r>
      <w:r>
        <w:rPr>
          <w:rFonts w:eastAsia="Times New Roman"/>
          <w:vanish/>
        </w:rPr>
        <w:t>1070985cxw:UnitedStatesMarshalsServiceMemberus-gaap:SalesRevenueNetMemberus-gaap:GovernmentContractsConcentrationRiskMember2022-01-012022-09-300001070985cxw:LansingCorrectionalCenterNonRecourseMortgageNoteFourPointFourThreePercentDueTwentyFortyMember2022-0</w:t>
      </w:r>
      <w:r>
        <w:rPr>
          <w:rFonts w:eastAsia="Times New Roman"/>
          <w:vanish/>
        </w:rPr>
        <w:t>1-012022-09-300001070985us-gaap:RestrictedStockMember2021-01-012021-09-300001070985cxw:IdleFacilitiesMember2022-07-012022-09-300001070985us-gaap:RestrictedStockMemberus-gaap:GeneralAndAdministrativeExpenseMember2022-01-012022-09-300001070985cxw:NonRecourse</w:t>
      </w:r>
      <w:r>
        <w:rPr>
          <w:rFonts w:eastAsia="Times New Roman"/>
          <w:vanish/>
        </w:rPr>
        <w:t>SeniorSecuredNotesMemberus-gaap:PrivatePlacementMember2018-04-192018-04-200001070985cxw:SafetySegmentMember2021-07-012021-09-300001070985cxw:NewRevolvingCreditFacilityMember2022-09-300001070985us-gaap:AdditionalPaidInCapitalMember2022-07-012022-09-30000107</w:t>
      </w:r>
      <w:r>
        <w:rPr>
          <w:rFonts w:eastAsia="Times New Roman"/>
          <w:vanish/>
        </w:rPr>
        <w:t>0985cxw:SeniorNotesFourPointSixTwentyFivePercentDueTwentyTwentyThreeMember2013-04-012013-04-300001070985cxw:StocktonFemaleCommunityCorrectionsFacilityAndLongBeachCommunityCorrectionsCenterMember2022-07-012022-09-300001070985cxw:IdleFacilitiesMember2021-01-</w:t>
      </w:r>
      <w:r>
        <w:rPr>
          <w:rFonts w:eastAsia="Times New Roman"/>
          <w:vanish/>
        </w:rPr>
        <w:t>012021-09-300001070985cxw:SeniorNotesFourPointSeventyFivePercentDueTwentyTwentySevenMember2021-12-310001070985cxw:HuerfanoCountyCorrectionalCenterMember2022-09-300001070985us-gaap:RetainedEarningsMember2021-07-012021-09-300001070985us-gaap:CorporateAndOthe</w:t>
      </w:r>
      <w:r>
        <w:rPr>
          <w:rFonts w:eastAsia="Times New Roman"/>
          <w:vanish/>
        </w:rPr>
        <w:t>rMember2021-07-012021-09-300001070985us-gaap:AdditionalPaidInCapitalMember2021-03-310001070985cxw:IdleFacilitiesMember2022-01-012022-09-300001070985cxw:PropertiesSegmentMember2022-09-300001070985cxw:WestTennesseeDetentionFacilityMember2021-12-310001070985u</w:t>
      </w:r>
      <w:r>
        <w:rPr>
          <w:rFonts w:eastAsia="Times New Roman"/>
          <w:vanish/>
        </w:rPr>
        <w:t>s-gaap:OperatingSegmentsMember2021-01-012021-09-300001070985cxw:PropertiesSegmentMember2022-07-012022-09-300001070985us-gaap:ParentMember2022-07-012022-09-300001070985us-gaap:AdditionalPaidInCapitalMember2021-07-012021-09-300001070985us-gaap:RestrictedStoc</w:t>
      </w:r>
      <w:r>
        <w:rPr>
          <w:rFonts w:eastAsia="Times New Roman"/>
          <w:vanish/>
        </w:rPr>
        <w:t>kMember2022-09-300001070985cxw:SafetySegmentMembercxw:IdledNonCoreFacilitiesMember2022-09-300001070985us-gaap:CorporateAndOtherMember2021-12-310001070985cxw:OperatingPartnershipUnitMember2021-07-012021-09-300001070985cxw:CreditAgreementMembercxw:TermLoanAD</w:t>
      </w:r>
      <w:r>
        <w:rPr>
          <w:rFonts w:eastAsia="Times New Roman"/>
          <w:vanish/>
        </w:rPr>
        <w:t>ueInMayTwentyTwentySixMember2022-05-120001070985us-gaap:AdditionalPaidInCapitalMember2021-01-012021-03-310001070985us-gaap:MaterialReconcilingItemsMemberus-gaap:OtherIncomeMember2022-07-012022-09-3000010709852021-03-310001070985us-gaap:RestrictedStockMembe</w:t>
      </w:r>
      <w:r>
        <w:rPr>
          <w:rFonts w:eastAsia="Times New Roman"/>
          <w:vanish/>
        </w:rPr>
        <w:t>rus-gaap:GeneralAndAdministrativeExpenseMember2021-07-012021-09-300001070985us-gaap:RetainedEarningsMember2022-09-300001070985us-gaap:ParentMember2022-06-300001070985cxw:OriginalSeniorNotesEightPointTwoFivePercentDueTwentyTwentySixMember2021-04-14000107098</w:t>
      </w:r>
      <w:r>
        <w:rPr>
          <w:rFonts w:eastAsia="Times New Roman"/>
          <w:vanish/>
        </w:rPr>
        <w:t>52021-12-310001070985us-gaap:OperatingSegmentsMembercxw:SafetySegmentMember2022-01-012022-09-300001070985us-gaap:EmployeeStockOptionMember2022-01-012022-09-300001070985srt:MaximumMembercxw:PreviousBankCreditFacilityMember2022-05-122022-05-120001070985us-ga</w:t>
      </w:r>
      <w:r>
        <w:rPr>
          <w:rFonts w:eastAsia="Times New Roman"/>
          <w:vanish/>
        </w:rPr>
        <w:t>ap:AdditionalPaidInCapitalMember2022-06-300001070985us-gaap:RestrictedStockMembercxw:NonEmployeeDirectorsMember2022-01-012022-09-300001070985cxw:SeniorNotesFourPointSeventyFivePercentDueTwentyTwentySevenMember2022-09-300001070985us-gaap:CommonStockMember20</w:t>
      </w:r>
      <w:r>
        <w:rPr>
          <w:rFonts w:eastAsia="Times New Roman"/>
          <w:vanish/>
        </w:rPr>
        <w:t>21-12-310001070985cxw:CommunitySegmentMember2022-09-300001070985us-gaap:RevolvingCreditFacilityMembersrt:MinimumMemberus-gaap:BaseRateMember2022-05-112022-05-120001070985us-gaap:RevolvingCreditFacilityMemberus-gaap:BaseRateMember2022-01-012022-09-300001070</w:t>
      </w:r>
      <w:r>
        <w:rPr>
          <w:rFonts w:eastAsia="Times New Roman"/>
          <w:vanish/>
        </w:rPr>
        <w:t>985us-gaap:AdditionalPaidInCapitalMember2021-09-300001070985cxw:EmployeeMemberus-gaap:RestrictedStockMemberus-gaap:OperatingExpenseMember2021-01-012021-12-310001070985us-gaap:SalesRevenueNetMembercxw:FederalBureauOfPrisonsMemberus-gaap:GovernmentContractsC</w:t>
      </w:r>
      <w:r>
        <w:rPr>
          <w:rFonts w:eastAsia="Times New Roman"/>
          <w:vanish/>
        </w:rPr>
        <w:t>oncentrationRiskMember2021-01-012021-12-310001070985us-gaap:RestrictedStockMemberus-gaap:GeneralAndAdministrativeExpenseMember2021-01-012021-09-300001070985cxw:AdditionalSeniorNotesEightPointTwoFivePercentDueTwentyTwentySixMember2021-09-290001070985cxw:Gov</w:t>
      </w:r>
      <w:r>
        <w:rPr>
          <w:rFonts w:eastAsia="Times New Roman"/>
          <w:vanish/>
        </w:rPr>
        <w:t>ernmentRealEstateSolutionsLLCMember2021-07-012021-09-300001070985us-gaap:AdditionalPaidInCapitalMember2021-12-310001070985cxw:EmployeesAndNonEmployeeDirectorsMemberus-gaap:RestrictedStockMemberus-gaap:GeneralAndAdministrativeExpenseMember2022-01-012022-09-</w:t>
      </w:r>
      <w:r>
        <w:rPr>
          <w:rFonts w:eastAsia="Times New Roman"/>
          <w:vanish/>
        </w:rPr>
        <w:t>300001070985cxw:SafetySegmentMember2021-01-012021-09-300001070985us-gaap:RetainedEarningsMember2021-01-012021-03-3100010709852022-09-192022-09-190001070985us-gaap:MaterialReconcilingItemsMember2021-07-012021-09-300001070985cxw:HuerfanoCountyCorrectionalCen</w:t>
      </w:r>
      <w:r>
        <w:rPr>
          <w:rFonts w:eastAsia="Times New Roman"/>
          <w:vanish/>
        </w:rPr>
        <w:t>terMember2021-12-310001070985cxw:TermLoanBDueInDecemberTwentyTwentyFourMemberus-gaap:BaseRateMember2019-12-182019-12-180001070985us-gaap:ParentMember2021-07-012021-09-300001070985cxw:SeniorNotesEightPointTwoFivePercentDueTwentyTwentySixMember2021-04-140001</w:t>
      </w:r>
      <w:r>
        <w:rPr>
          <w:rFonts w:eastAsia="Times New Roman"/>
          <w:vanish/>
        </w:rPr>
        <w:t>070985cxw:PurchaseAndSaleAgreementMembercxw:CommunitySegmentMember2022-09-300001070985cxw:PurchaseAndSaleAgreementMembercxw:RothHallResidentialReentryCenterAndTheWalkerHallResidentialReentryCenterMember2022-09-300001070985cxw:LansingCorrectionalCenterNonRe</w:t>
      </w:r>
      <w:r>
        <w:rPr>
          <w:rFonts w:eastAsia="Times New Roman"/>
          <w:vanish/>
        </w:rPr>
        <w:t>courseMortgageNoteFourPointFourThreePercentDueTwentyFortyMember2022-09-300001070985cxw:CommunitySegmentMember2021-07-012021-09-300001070985us-gaap:MaterialReconcilingItemsMemberus-gaap:OtherIncomeMember2021-01-012021-09-300001070985cxw:TermLoanBDueInDecemb</w:t>
      </w:r>
      <w:r>
        <w:rPr>
          <w:rFonts w:eastAsia="Times New Roman"/>
          <w:vanish/>
        </w:rPr>
        <w:t>erTwentyTwentyFourMemberus-gaap:LondonInterbankOfferedRateLIBORMember2019-12-182019-12-180001070985cxw:DiamondbackCorrectionalFacilityMember2021-12-310001070985us-gaap:RetainedEarningsMember2021-09-300001070985us-gaap:RevolvingCreditFacilityMembersrt:Maxim</w:t>
      </w:r>
      <w:r>
        <w:rPr>
          <w:rFonts w:eastAsia="Times New Roman"/>
          <w:vanish/>
        </w:rPr>
        <w:t>umMembercxw:BloombergShortTermBankYieldIndexMember2022-05-112022-05-120001070985cxw:EmployeeMemberus-gaap:RestrictedStockMemberus-gaap:OperatingExpenseMember2022-01-012022-09-300001070985cxw:CreditAgreementMember2022-05-120001070985cxw:SeniorNotesFourPoint</w:t>
      </w:r>
      <w:r>
        <w:rPr>
          <w:rFonts w:eastAsia="Times New Roman"/>
          <w:vanish/>
        </w:rPr>
        <w:t>SixTwoFivePercentageMember2021-04-142021-04-140001070985cxw:TermLoanAMember2022-09-300001070985us-gaap:OperatingSegmentsMember2022-01-012022-09-300001070985cxw:CommunitySegmentMember2021-12-310001070985cxw:PropertiesSegmentMember2021-12-310001070985srt:Max</w:t>
      </w:r>
      <w:r>
        <w:rPr>
          <w:rFonts w:eastAsia="Times New Roman"/>
          <w:vanish/>
        </w:rPr>
        <w:t>imumMember2022-08-020001070985cxw:SeniorNotesFourPointSixTwoFivePercentageMember2021-04-1400010709852022-04-012022-06-300001070985us-gaap:OperatingSegmentsMembercxw:SafetySegmentMember2022-07-012022-09-300001070985us-gaap:RestrictedStockMemberus-gaap:Opera</w:t>
      </w:r>
      <w:r>
        <w:rPr>
          <w:rFonts w:eastAsia="Times New Roman"/>
          <w:vanish/>
        </w:rPr>
        <w:t>tingExpenseMember2021-01-012021-09-300001070985cxw:PrairieCorrectionalFacilityMember2022-09-300001070985us-gaap:OperatingSegmentsMembercxw:PropertiesSegmentMember2022-01-012022-09-300001070985srt:MinimumMembercxw:PreviousBankCreditFacilityMember2022-05-112</w:t>
      </w:r>
      <w:r>
        <w:rPr>
          <w:rFonts w:eastAsia="Times New Roman"/>
          <w:vanish/>
        </w:rPr>
        <w:t>022-05-120001070985us-gaap:RestrictedStockMembercxw:OtherEmployeesMember2022-01-012022-09-300001070985us-gaap:AdditionalPaidInCapitalMember2022-01-012022-03-310001070985cxw:FivePointZeroPercentageAndFourPointSixTwoFivePercentageSeniorNotesMember2021-04-012</w:t>
      </w:r>
      <w:r>
        <w:rPr>
          <w:rFonts w:eastAsia="Times New Roman"/>
          <w:vanish/>
        </w:rPr>
        <w:t>021-06-300001070985us-gaap:CommonStockMember2022-01-012022-03-310001070985us-gaap:CommonStockMember2021-03-310001070985cxw:EmployeesAndNonEmployeeDirectorsMemberus-gaap:RestrictedStockMember2022-01-012022-09-300001070985cxw:NonRecourseSeniorSecuredNotesMem</w:t>
      </w:r>
      <w:r>
        <w:rPr>
          <w:rFonts w:eastAsia="Times New Roman"/>
          <w:vanish/>
        </w:rPr>
        <w:t>berus-gaap:PrivatePlacementMember2018-04-2000010709852020-01-012020-12-310001070985us-gaap:OperatingSegmentsMembercxw:CommunitySegmentMember2021-01-012021-09-300001070985us-gaap:MaterialReconcilingItemsMember2022-01-012022-09-3000010709852021-09-3000010709</w:t>
      </w:r>
      <w:r>
        <w:rPr>
          <w:rFonts w:eastAsia="Times New Roman"/>
          <w:vanish/>
        </w:rPr>
        <w:t>85cxw:OriginalSeniorNotesEightPointTwoFivePercentDueTwentyTwentySixMember2021-04-142021-04-1400010709852021-04-012021-06-300001070985us-gaap:RestrictedStockMemberus-gaap:OperatingExpenseMember2022-01-012022-09-300001070985us-gaap:RestrictedStockMember2022-</w:t>
      </w:r>
      <w:r>
        <w:rPr>
          <w:rFonts w:eastAsia="Times New Roman"/>
          <w:vanish/>
        </w:rPr>
        <w:t>07-012022-09-3000010709852021-05-012021-05-310001070985us-gaap:ParentMember2021-06-300001070985cxw:IdledCorrectionalFacilitiesMember2022-01-012022-09-300001070985us-gaap:RevolvingCreditFacilityMembercxw:BloombergShortTermBankYieldIndexMember2022-01-012022-</w:t>
      </w:r>
      <w:r>
        <w:rPr>
          <w:rFonts w:eastAsia="Times New Roman"/>
          <w:vanish/>
        </w:rPr>
        <w:t>09-300001070985us-gaap:OperatingSegmentsMembercxw:CommunitySegmentMember2022-07-012022-09-300001070985us-gaap:RetainedEarningsMember2022-06-300001070985us-gaap:RetainedEarningsMember2020-12-310001070985cxw:ResultingFromRevaluationOfDeferredTaxLiabilitiesMe</w:t>
      </w:r>
      <w:r>
        <w:rPr>
          <w:rFonts w:eastAsia="Times New Roman"/>
          <w:vanish/>
        </w:rPr>
        <w:t>mber2021-01-012021-09-3000010709852021-01-012021-09-300001070985us-gaap:DebtInstrumentRedemptionPeriodOneMembercxw:SeniorNotesEightPointTwoFivePercentDueTwentyTwentySixMember2022-01-012022-09-300001070985us-gaap:ParentMember2022-04-012022-06-300001070985us</w:t>
      </w:r>
      <w:r>
        <w:rPr>
          <w:rFonts w:eastAsia="Times New Roman"/>
          <w:vanish/>
        </w:rPr>
        <w:t>-gaap:CommonStockMember2021-09-300001070985cxw:WestTennesseeDetentionFacilityAndLeavenworthDetentionCenterMembercxw:IdleFacilitiesMember2022-01-012022-03-310001070985us-gaap:RevolvingCreditFacilityMembersrt:MaximumMemberus-gaap:BaseRateMember2022-05-112022</w:t>
      </w:r>
      <w:r>
        <w:rPr>
          <w:rFonts w:eastAsia="Times New Roman"/>
          <w:vanish/>
        </w:rPr>
        <w:t>-05-120001070985us-gaap:EmployeeStockOptionMember2021-07-012021-09-300001070985us-gaap:RestrictedStockMember2022-01-012022-09-300001070985cxw:SeniorNotesFourPointSixTwentyFivePercentDueTwentyTwentyThreeMember2022-01-012022-09-300001070985us-gaap:Restricted</w:t>
      </w:r>
      <w:r>
        <w:rPr>
          <w:rFonts w:eastAsia="Times New Roman"/>
          <w:vanish/>
        </w:rPr>
        <w:t>StockUnitsRSUMember2022-01-012022-09-300001070985us-gaap:AdditionalPaidInCapitalMember2022-04-012022-06-300001070985cxw:SeniorNotesFourPointSixTwoFivePercentageMember2022-09-300001070985us-gaap:CommonStockMember2022-07-012022-09-300001070985cxw:SeniorNotes</w:t>
      </w:r>
      <w:r>
        <w:rPr>
          <w:rFonts w:eastAsia="Times New Roman"/>
          <w:vanish/>
        </w:rPr>
        <w:t>EightPointTwoFivePercentDueTwentyTwentySixMember2021-09-300001070985us-gaap:CorporateAndOtherMember2022-07-012022-09-300001070985us-gaap:AdditionalPaidInCapitalMember2021-04-012021-06-300001070985cxw:TermLoanADueInMayTwentyTwentySixMember2022-01-012022-09-</w:t>
      </w:r>
      <w:r>
        <w:rPr>
          <w:rFonts w:eastAsia="Times New Roman"/>
          <w:vanish/>
        </w:rPr>
        <w:t>300001070985us-gaap:OperatingSegmentsMember2022-07-012022-09-300001070985cxw:SeniorNotesFourPointSixTwoFivePercentageMember2022-07-012022-09-300001070985cxw:CreditAgreementMember2022-05-112022-05-1200010709852022-01-012022-09-300001070985cxw:LetterOfIntent</w:t>
      </w:r>
      <w:r>
        <w:rPr>
          <w:rFonts w:eastAsia="Times New Roman"/>
          <w:vanish/>
        </w:rPr>
        <w:t>Membercxw:RothHallResidentialReentryCenterAndTheWalkerHallResidentialReentryCenterMember2022-09-012022-09-300001070985us-gaap:NoncontrollingInterestMember2021-07-012021-09-300001070985cxw:MarionAdjustmentCenterMember2021-12-3100010709852021-01-012021-03-31</w:t>
      </w:r>
      <w:r>
        <w:rPr>
          <w:rFonts w:eastAsia="Times New Roman"/>
          <w:vanish/>
        </w:rPr>
        <w:t>00010709852022-01-012022-06-300001070985cxw:TermLoanBMember2021-12-310001070985us-gaap:CorporateAndOtherMember2021-01-012021-09-300001070985cxw:SeniorNotesFourPointSixTwentyFivePercentDueTwentyTwentyThreeMember2013-04-3000010709852021-01-012021-12-31000107</w:t>
      </w:r>
      <w:r>
        <w:rPr>
          <w:rFonts w:eastAsia="Times New Roman"/>
          <w:vanish/>
        </w:rPr>
        <w:t>0985cxw:PropertiesSegmentMembercxw:StocktonFemaleCommunityCorrectionsFacilityAndLongBeachCommunityCorrectionsCenterMember2022-07-012022-07-310001070985cxw:PurchaseAndSaleAgreementMembercxw:McRaeCorrectionalFacilityMembercxw:SafetySegmentMember2022-07-25202</w:t>
      </w:r>
      <w:r>
        <w:rPr>
          <w:rFonts w:eastAsia="Times New Roman"/>
          <w:vanish/>
        </w:rPr>
        <w:t>2-07-250001070985cxw:IdleFacilitiesMember2021-12-310001070985cxw:TermLoanBDueInDecemberTwentyTwentyFourMemberus-gaap:LondonInterbankOfferedRateLIBORMember2019-12-180001070985us-gaap:OperatingSegmentsMember2021-07-012021-09-300001070985cxw:SeniorNotesFourPo</w:t>
      </w:r>
      <w:r>
        <w:rPr>
          <w:rFonts w:eastAsia="Times New Roman"/>
          <w:vanish/>
        </w:rPr>
        <w:t>intSeventyFivePercentDueTwentyTwentySevenMember2017-10-3100010709852021-06-300001070985us-gaap:OperatingSegmentsMembercxw:PropertiesSegmentMember2022-07-012022-09-300001070985cxw:PurchaseAndSaleAgreementMembercxw:CommunitySegmentMember2022-07-012022-09-300</w:t>
      </w:r>
      <w:r>
        <w:rPr>
          <w:rFonts w:eastAsia="Times New Roman"/>
          <w:vanish/>
        </w:rPr>
        <w:t>001070985cxw:LeavenworthDetentionCenterMember2022-09-300001070985cxw:CommunitySegmentMembercxw:IdleFacilitiesMember2022-09-300001070985srt:MinimumMembercxw:SeniorNotesFourPointSixTwoFivePercentageMember2021-04-140001070985cxw:SeniorNotesFourPointSixTwentyF</w:t>
      </w:r>
      <w:r>
        <w:rPr>
          <w:rFonts w:eastAsia="Times New Roman"/>
          <w:vanish/>
        </w:rPr>
        <w:t>ivePercentDueTwentyTwentyThreeMember2022-09-300001070985us-gaap:RetainedEarningsMember2022-01-012022-03-310001070985us-gaap:RetainedEarningsMember2021-12-310001070985us-gaap:RevolvingCreditFacilityMembersrt:MinimumMembercxw:BloombergShortTermBankYieldIndex</w:t>
      </w:r>
      <w:r>
        <w:rPr>
          <w:rFonts w:eastAsia="Times New Roman"/>
          <w:vanish/>
        </w:rPr>
        <w:t>Member2022-05-112022-05-120001070985cxw:SafetySegmentMember2022-01-012022-09-300001070985us-gaap:RetainedEarningsMember2021-03-310001070985cxw:SeniorNotesEightPointTwoFivePercentDueTwentyTwentySixMember2021-04-300001070985cxw:SeniorNotesFourPointSixTwoFive</w:t>
      </w:r>
      <w:r>
        <w:rPr>
          <w:rFonts w:eastAsia="Times New Roman"/>
          <w:vanish/>
        </w:rPr>
        <w:t>PercentageMember2021-06-300001070985us-gaap:ParentMember2021-12-310001070985cxw:SeniorNotesFourPointSixTwentyFivePercentDueTwentyTwentyThreeMember2021-12-310001070985us-gaap:CommonStockMember2022-04-012022-06-300001070985us-gaap:EmployeeStockOptionMember20</w:t>
      </w:r>
      <w:r>
        <w:rPr>
          <w:rFonts w:eastAsia="Times New Roman"/>
          <w:vanish/>
        </w:rPr>
        <w:t>22-07-012022-09-300001070985cxw:IdleFacilitiesMember2021-07-012021-09-300001070985us-gaap:RetainedEarningsMember2021-04-012021-06-3000010709852022-10-280001070985us-gaap:ParentMember2022-03-310001070985us-gaap:CommonStockMember2021-06-300001070985us-gaap:R</w:t>
      </w:r>
      <w:r>
        <w:rPr>
          <w:rFonts w:eastAsia="Times New Roman"/>
          <w:vanish/>
        </w:rPr>
        <w:t>evolvingCreditFacilityMembersrt:MaximumMember2022-05-120001070985us-gaap:NoncontrollingInterestMember2020-12-310001070985cxw:TermLoanADueInMayTwentyTwentySixMember2021-12-310001070985us-gaap:MaterialReconcilingItemsMember2022-07-012022-09-300001070985us-ga</w:t>
      </w:r>
      <w:r>
        <w:rPr>
          <w:rFonts w:eastAsia="Times New Roman"/>
          <w:vanish/>
        </w:rPr>
        <w:t>ap:RestrictedStockMembersrt:MaximumMember2022-01-012022-09-300001070985cxw:FederalBureauOfPrisonsMemberus-gaap:SalesRevenueNetMemberus-gaap:GovernmentContractsConcentrationRiskMember2022-01-012022-09-300001070985cxw:SeniorNotesEightPointTwoFivePercentMembe</w:t>
      </w:r>
      <w:r>
        <w:rPr>
          <w:rFonts w:eastAsia="Times New Roman"/>
          <w:vanish/>
        </w:rPr>
        <w:t>r2022-01-012022-09-300001070985us-gaap:RetainedEarningsMember2022-07-012022-09-300001070985cxw:RevolvingCreditFacilityDueInMayTwentyTwentySixMemberus-gaap:RevolvingCreditFacilityMember2022-01-012022-09-300001070985cxw:PropertiesSegmentMember2021-07-012021-</w:t>
      </w:r>
      <w:r>
        <w:rPr>
          <w:rFonts w:eastAsia="Times New Roman"/>
          <w:vanish/>
        </w:rPr>
        <w:t>09-300001070985srt:MaximumMember2022-08-022022-08-020001070985cxw:PurchaseAndSaleAgreementMembercxw:CommunitySegmentMember2022-01-012022-09-300001070985cxw:CommunitySegmentMember2022-01-012022-09-300001070985us-gaap:ParentMember2022-09-300001070985cxw:Seni</w:t>
      </w:r>
      <w:r>
        <w:rPr>
          <w:rFonts w:eastAsia="Times New Roman"/>
          <w:vanish/>
        </w:rPr>
        <w:t>orNotesFourPointSixTwoFivePercentageMember2021-12-310001070985us-gaap:ParentMember2021-01-012021-03-310001070985us-gaap:EmployeeStockOptionMember2021-01-012021-09-300001070985us-gaap:RestrictedStockMember2021-01-012021-12-310001070985srt:MaximumMembercxw:S</w:t>
      </w:r>
      <w:r>
        <w:rPr>
          <w:rFonts w:eastAsia="Times New Roman"/>
          <w:vanish/>
        </w:rPr>
        <w:t>eniorNotesFourPointSixTwoFivePercentageMember2021-04-140001070985us-gaap:OperatingSegmentsMembercxw:PropertiesSegmentMember2021-01-012021-09-3000010709852022-05-120001070985us-gaap:NoncontrollingInterestMember2021-03-310001070985us-gaap:RevolvingCreditFaci</w:t>
      </w:r>
      <w:r>
        <w:rPr>
          <w:rFonts w:eastAsia="Times New Roman"/>
          <w:vanish/>
        </w:rPr>
        <w:t>lityMember2022-05-112022-05-120001070985cxw:SeniorNotesEightPointTwoFivePercentDueTwentyTwentySixMember2022-09-300001070985us-gaap:ParentMember2021-03-310001070985cxw:SeniorNotesFourPointSeventyFivePercentDueTwentyTwentySevenMember2022-01-012022-09-3000010</w:t>
      </w:r>
      <w:r>
        <w:rPr>
          <w:rFonts w:eastAsia="Times New Roman"/>
          <w:vanish/>
        </w:rPr>
        <w:t>70985cxw:MarionAdjustmentCenterMember2022-09-300001070985cxw:TermLoanBMember2022-01-012022-09-300001070985cxw:SeniorNotesEightPointTwoFivePercentDueTwentyTwentySixMember2021-04-012021-04-300001070985cxw:SafetySegmentMembercxw:IdledNonCoreFacilitiesMember20</w:t>
      </w:r>
      <w:r>
        <w:rPr>
          <w:rFonts w:eastAsia="Times New Roman"/>
          <w:vanish/>
        </w:rPr>
        <w:t>22-01-012022-09-300001070985us-gaap:MaterialReconcilingItemsMember2021-01-012021-09-300001070985cxw:CommunitySegmentMember2022-07-012022-09-300001070985cxw:SafetySegmentMember2022-09-300001070985cxw:PrairieCorrectionalFacilityMember2021-12-310001070985us-g</w:t>
      </w:r>
      <w:r>
        <w:rPr>
          <w:rFonts w:eastAsia="Times New Roman"/>
          <w:vanish/>
        </w:rPr>
        <w:t>aap:CorporateAndOtherMember2022-09-300001070985cxw:PropertiesSegmentMember2022-01-012022-09-30xbrli:purecxw:Facilitycxw:Segmentutr:sqftxbrli:sharescxw:Bedcxw:Propertyiso4217:USDiso4217:USDxbrli:shares</w:t>
      </w:r>
    </w:p>
    <w:p w14:paraId="5E6753EC" w14:textId="77777777" w:rsidR="00000000" w:rsidRDefault="003A1B5D">
      <w:pPr>
        <w:pStyle w:val="a3"/>
        <w:pBdr>
          <w:bottom w:val="double" w:sz="6" w:space="1" w:color="auto"/>
        </w:pBdr>
        <w:spacing w:before="0" w:beforeAutospacing="0" w:after="0" w:afterAutospacing="0"/>
        <w:rPr>
          <w:sz w:val="20"/>
          <w:szCs w:val="20"/>
        </w:rPr>
      </w:pPr>
      <w:r>
        <w:rPr>
          <w:sz w:val="20"/>
          <w:szCs w:val="20"/>
        </w:rPr>
        <w:t> </w:t>
      </w:r>
    </w:p>
    <w:p w14:paraId="3D0B6AB6" w14:textId="77777777" w:rsidR="00000000" w:rsidRDefault="003A1B5D">
      <w:pPr>
        <w:pStyle w:val="a3"/>
        <w:spacing w:before="80" w:beforeAutospacing="0" w:after="0" w:afterAutospacing="0"/>
        <w:jc w:val="center"/>
        <w:rPr>
          <w:sz w:val="20"/>
          <w:szCs w:val="20"/>
        </w:rPr>
      </w:pPr>
      <w:r>
        <w:rPr>
          <w:b/>
          <w:bCs/>
          <w:sz w:val="36"/>
          <w:szCs w:val="36"/>
        </w:rPr>
        <w:t>UNITED STATE</w:t>
      </w:r>
      <w:r>
        <w:rPr>
          <w:b/>
          <w:bCs/>
          <w:sz w:val="36"/>
          <w:szCs w:val="36"/>
        </w:rPr>
        <w:t>S</w:t>
      </w:r>
    </w:p>
    <w:p w14:paraId="7A09AA1F" w14:textId="77777777" w:rsidR="00000000" w:rsidRDefault="003A1B5D">
      <w:pPr>
        <w:pStyle w:val="a3"/>
        <w:spacing w:before="0" w:beforeAutospacing="0" w:after="0" w:afterAutospacing="0"/>
        <w:jc w:val="center"/>
        <w:rPr>
          <w:sz w:val="20"/>
          <w:szCs w:val="20"/>
        </w:rPr>
      </w:pPr>
      <w:r>
        <w:rPr>
          <w:b/>
          <w:bCs/>
          <w:sz w:val="36"/>
          <w:szCs w:val="36"/>
        </w:rPr>
        <w:t>SECURITIES AND EXCHANGE COMMISSIO</w:t>
      </w:r>
      <w:r>
        <w:rPr>
          <w:b/>
          <w:bCs/>
          <w:sz w:val="36"/>
          <w:szCs w:val="36"/>
        </w:rPr>
        <w:t>N</w:t>
      </w:r>
    </w:p>
    <w:p w14:paraId="5FD05794" w14:textId="77777777" w:rsidR="00000000" w:rsidRDefault="003A1B5D">
      <w:pPr>
        <w:pStyle w:val="a3"/>
        <w:spacing w:before="0" w:beforeAutospacing="0" w:after="0" w:afterAutospacing="0"/>
        <w:jc w:val="center"/>
        <w:rPr>
          <w:sz w:val="20"/>
          <w:szCs w:val="20"/>
        </w:rPr>
      </w:pPr>
      <w:r>
        <w:rPr>
          <w:b/>
          <w:bCs/>
        </w:rPr>
        <w:t>WASH</w:t>
      </w:r>
      <w:r>
        <w:rPr>
          <w:b/>
          <w:bCs/>
        </w:rPr>
        <w:t>INGTON, D.C. 2054</w:t>
      </w:r>
      <w:r>
        <w:rPr>
          <w:b/>
          <w:bCs/>
        </w:rPr>
        <w:t>9</w:t>
      </w:r>
    </w:p>
    <w:p w14:paraId="56BCAD65" w14:textId="77777777" w:rsidR="00000000" w:rsidRDefault="003A1B5D">
      <w:pPr>
        <w:pStyle w:val="a3"/>
        <w:pBdr>
          <w:bottom w:val="single" w:sz="4" w:space="1" w:color="auto"/>
        </w:pBdr>
        <w:spacing w:before="0" w:beforeAutospacing="0" w:afterAutospacing="0"/>
        <w:ind w:left="4762" w:right="4762"/>
        <w:jc w:val="center"/>
        <w:rPr>
          <w:sz w:val="20"/>
          <w:szCs w:val="20"/>
        </w:rPr>
      </w:pPr>
      <w:r>
        <w:rPr>
          <w:sz w:val="20"/>
          <w:szCs w:val="20"/>
        </w:rPr>
        <w:t> </w:t>
      </w:r>
    </w:p>
    <w:p w14:paraId="1F54D35C" w14:textId="77777777" w:rsidR="00000000" w:rsidRDefault="003A1B5D">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14:paraId="143D37D5" w14:textId="77777777" w:rsidR="00000000" w:rsidRDefault="003A1B5D">
      <w:pPr>
        <w:pStyle w:val="a3"/>
        <w:pBdr>
          <w:bottom w:val="single" w:sz="4" w:space="1" w:color="auto"/>
        </w:pBdr>
        <w:spacing w:before="0" w:beforeAutospacing="0" w:afterAutospacing="0"/>
        <w:ind w:left="4762" w:right="4762"/>
        <w:jc w:val="center"/>
        <w:rPr>
          <w:sz w:val="20"/>
          <w:szCs w:val="20"/>
        </w:rPr>
      </w:pPr>
      <w:r>
        <w:rPr>
          <w:sz w:val="20"/>
          <w:szCs w:val="20"/>
        </w:rPr>
        <w:t> </w:t>
      </w:r>
    </w:p>
    <w:p w14:paraId="0B939DD4" w14:textId="77777777" w:rsidR="00000000" w:rsidRDefault="003A1B5D">
      <w:pPr>
        <w:pStyle w:val="a3"/>
        <w:spacing w:before="0" w:beforeAutospacing="0" w:after="0" w:afterAutospacing="0" w:line="0" w:lineRule="auto"/>
        <w:ind w:hanging="581"/>
        <w:jc w:val="both"/>
        <w:rPr>
          <w:sz w:val="20"/>
          <w:szCs w:val="20"/>
        </w:rPr>
      </w:pPr>
      <w:r>
        <w:rPr>
          <w:rFonts w:ascii="Segoe UI Symbol" w:hAnsi="Segoe UI Symbol" w:cs="Segoe UI Symbol"/>
          <w:b/>
          <w:bCs/>
        </w:rPr>
        <w:t>☒</w:t>
      </w:r>
      <w:r>
        <w:rPr>
          <w:b/>
          <w:bCs/>
        </w:rPr>
        <w:t xml:space="preserve"> QUARTERLY REPORT PURSUANT TO SECTION 13 OR 15(d) OF THE</w:t>
      </w:r>
      <w:r>
        <w:rPr>
          <w:b/>
          <w:bCs/>
        </w:rPr>
        <w:t xml:space="preserve"> </w:t>
      </w:r>
      <w:r>
        <w:rPr>
          <w:b/>
          <w:bCs/>
          <w:sz w:val="22"/>
          <w:szCs w:val="22"/>
        </w:rPr>
        <w:t>SECURITIES EXCHANGE ACT OF 193</w:t>
      </w:r>
      <w:r>
        <w:rPr>
          <w:b/>
          <w:bCs/>
          <w:sz w:val="22"/>
          <w:szCs w:val="22"/>
        </w:rPr>
        <w:t>4</w:t>
      </w:r>
    </w:p>
    <w:p w14:paraId="391A9160" w14:textId="77777777" w:rsidR="00000000" w:rsidRDefault="003A1B5D">
      <w:pPr>
        <w:pStyle w:val="a3"/>
        <w:spacing w:before="40" w:beforeAutospacing="0" w:after="0" w:afterAutospacing="0"/>
        <w:jc w:val="center"/>
        <w:rPr>
          <w:sz w:val="20"/>
          <w:szCs w:val="20"/>
        </w:rPr>
      </w:pPr>
      <w:r>
        <w:rPr>
          <w:b/>
          <w:bCs/>
          <w:sz w:val="20"/>
          <w:szCs w:val="20"/>
        </w:rPr>
        <w:t>FOR THE QUARTERLY PERIOD ENDED:</w:t>
      </w:r>
      <w:r>
        <w:rPr>
          <w:b/>
          <w:bCs/>
          <w:sz w:val="20"/>
          <w:szCs w:val="20"/>
        </w:rPr>
        <w:t xml:space="preserve"> </w:t>
      </w:r>
      <w:r>
        <w:rPr>
          <w:b/>
          <w:bCs/>
          <w:sz w:val="20"/>
          <w:szCs w:val="20"/>
        </w:rPr>
        <w:t>SEPTEMBER 30,</w:t>
      </w:r>
      <w:r>
        <w:rPr>
          <w:b/>
          <w:bCs/>
          <w:sz w:val="20"/>
          <w:szCs w:val="20"/>
        </w:rPr>
        <w:t xml:space="preserve"> </w:t>
      </w:r>
      <w:r>
        <w:rPr>
          <w:b/>
          <w:bCs/>
          <w:sz w:val="20"/>
          <w:szCs w:val="20"/>
        </w:rPr>
        <w:t>202</w:t>
      </w:r>
      <w:r>
        <w:rPr>
          <w:b/>
          <w:bCs/>
          <w:sz w:val="20"/>
          <w:szCs w:val="20"/>
        </w:rPr>
        <w:t>2</w:t>
      </w:r>
    </w:p>
    <w:p w14:paraId="4B47F507" w14:textId="77777777" w:rsidR="00000000" w:rsidRDefault="003A1B5D">
      <w:pPr>
        <w:pStyle w:val="a3"/>
        <w:spacing w:before="20" w:beforeAutospacing="0" w:after="0" w:afterAutospacing="0"/>
        <w:jc w:val="center"/>
        <w:rPr>
          <w:sz w:val="20"/>
          <w:szCs w:val="20"/>
        </w:rPr>
      </w:pPr>
      <w:r>
        <w:rPr>
          <w:b/>
          <w:bCs/>
          <w:sz w:val="20"/>
          <w:szCs w:val="20"/>
        </w:rPr>
        <w:t>O</w:t>
      </w:r>
      <w:r>
        <w:rPr>
          <w:b/>
          <w:bCs/>
          <w:sz w:val="20"/>
          <w:szCs w:val="20"/>
        </w:rPr>
        <w:t>R</w:t>
      </w:r>
    </w:p>
    <w:p w14:paraId="228FEFA0" w14:textId="77777777" w:rsidR="00000000" w:rsidRDefault="003A1B5D">
      <w:pPr>
        <w:pStyle w:val="a3"/>
        <w:spacing w:before="0" w:beforeAutospacing="0" w:after="0" w:afterAutospacing="0" w:line="0" w:lineRule="auto"/>
        <w:ind w:hanging="581"/>
        <w:jc w:val="both"/>
        <w:rPr>
          <w:sz w:val="20"/>
          <w:szCs w:val="20"/>
        </w:rPr>
      </w:pPr>
      <w:r>
        <w:rPr>
          <w:rFonts w:ascii="Segoe UI Symbol" w:hAnsi="Segoe UI Symbol" w:cs="Segoe UI Symbol"/>
          <w:b/>
          <w:bCs/>
        </w:rPr>
        <w:t>☐</w:t>
      </w:r>
      <w:r>
        <w:rPr>
          <w:b/>
          <w:bCs/>
        </w:rPr>
        <w:t xml:space="preserve"> TRANSITION REPORT PURSUANT TO SECTION 13 OR 15(d) OF THE</w:t>
      </w:r>
      <w:r>
        <w:rPr>
          <w:b/>
          <w:bCs/>
        </w:rPr>
        <w:t xml:space="preserve"> </w:t>
      </w:r>
      <w:r>
        <w:rPr>
          <w:b/>
          <w:bCs/>
          <w:sz w:val="22"/>
          <w:szCs w:val="22"/>
        </w:rPr>
        <w:t xml:space="preserve">SECURITIES EXCHANGE </w:t>
      </w:r>
      <w:r>
        <w:rPr>
          <w:b/>
          <w:bCs/>
          <w:sz w:val="22"/>
          <w:szCs w:val="22"/>
        </w:rPr>
        <w:t>ACT OF 193</w:t>
      </w:r>
      <w:r>
        <w:rPr>
          <w:b/>
          <w:bCs/>
          <w:sz w:val="22"/>
          <w:szCs w:val="22"/>
        </w:rPr>
        <w:t>4</w:t>
      </w:r>
    </w:p>
    <w:p w14:paraId="06E89E0D" w14:textId="77777777" w:rsidR="00000000" w:rsidRDefault="003A1B5D">
      <w:pPr>
        <w:pStyle w:val="a3"/>
        <w:spacing w:before="0" w:beforeAutospacing="0" w:after="0" w:afterAutospacing="0"/>
        <w:jc w:val="center"/>
        <w:rPr>
          <w:sz w:val="20"/>
          <w:szCs w:val="20"/>
        </w:rPr>
      </w:pPr>
      <w:r>
        <w:rPr>
          <w:b/>
          <w:bCs/>
          <w:sz w:val="20"/>
          <w:szCs w:val="20"/>
        </w:rPr>
        <w:t>FOR THE TRANSITION PERIOD FRO</w:t>
      </w:r>
      <w:r>
        <w:rPr>
          <w:b/>
          <w:bCs/>
          <w:sz w:val="20"/>
          <w:szCs w:val="20"/>
        </w:rPr>
        <w:t>M</w:t>
      </w:r>
      <w:r>
        <w:rPr>
          <w:rFonts w:ascii="Calibri" w:hAnsi="Calibri" w:cs="Calibri"/>
          <w:b/>
          <w:bCs/>
        </w:rPr>
        <w:t xml:space="preserve"> </w:t>
      </w:r>
      <w:r>
        <w:rPr>
          <w:b/>
          <w:bCs/>
          <w:sz w:val="20"/>
          <w:szCs w:val="20"/>
        </w:rPr>
        <w:t>T</w:t>
      </w:r>
      <w:r>
        <w:rPr>
          <w:b/>
          <w:bCs/>
          <w:sz w:val="20"/>
          <w:szCs w:val="20"/>
        </w:rPr>
        <w:t>O</w:t>
      </w:r>
      <w:r>
        <w:rPr>
          <w:rFonts w:ascii="Calibri" w:hAnsi="Calibri" w:cs="Calibri"/>
          <w:b/>
          <w:bCs/>
        </w:rPr>
        <w:t xml:space="preserve"> </w:t>
      </w:r>
    </w:p>
    <w:p w14:paraId="250412CB" w14:textId="77777777" w:rsidR="00000000" w:rsidRDefault="003A1B5D">
      <w:pPr>
        <w:pStyle w:val="a3"/>
        <w:spacing w:before="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001-1610</w:t>
      </w:r>
      <w:r>
        <w:rPr>
          <w:b/>
          <w:bCs/>
          <w:sz w:val="20"/>
          <w:szCs w:val="20"/>
        </w:rPr>
        <w:t>9</w:t>
      </w:r>
    </w:p>
    <w:p w14:paraId="2851C6D2" w14:textId="77777777" w:rsidR="00000000" w:rsidRDefault="003A1B5D">
      <w:pPr>
        <w:pStyle w:val="a3"/>
        <w:pBdr>
          <w:bottom w:val="single" w:sz="4" w:space="1" w:color="auto"/>
        </w:pBdr>
        <w:spacing w:before="0" w:beforeAutospacing="0" w:afterAutospacing="0"/>
        <w:ind w:left="4762" w:right="4762"/>
        <w:jc w:val="center"/>
        <w:rPr>
          <w:sz w:val="20"/>
          <w:szCs w:val="20"/>
        </w:rPr>
      </w:pPr>
      <w:r>
        <w:rPr>
          <w:sz w:val="20"/>
          <w:szCs w:val="20"/>
        </w:rPr>
        <w:t> </w:t>
      </w:r>
    </w:p>
    <w:p w14:paraId="64452E4B" w14:textId="77777777" w:rsidR="00000000" w:rsidRDefault="003A1B5D">
      <w:pPr>
        <w:pStyle w:val="a3"/>
        <w:spacing w:before="0" w:beforeAutospacing="0" w:after="0" w:afterAutospacing="0"/>
        <w:jc w:val="center"/>
        <w:rPr>
          <w:sz w:val="20"/>
          <w:szCs w:val="20"/>
        </w:rPr>
      </w:pPr>
      <w:r>
        <w:rPr>
          <w:b/>
          <w:bCs/>
          <w:sz w:val="48"/>
          <w:szCs w:val="48"/>
        </w:rPr>
        <w:t>CORECIVIC, INC</w:t>
      </w:r>
      <w:r>
        <w:rPr>
          <w:b/>
          <w:bCs/>
          <w:sz w:val="48"/>
          <w:szCs w:val="48"/>
        </w:rPr>
        <w:t>.</w:t>
      </w:r>
    </w:p>
    <w:p w14:paraId="4D0DE270" w14:textId="77777777" w:rsidR="00000000" w:rsidRDefault="003A1B5D">
      <w:pPr>
        <w:pStyle w:val="a3"/>
        <w:spacing w:before="0" w:beforeAutospacing="0" w:after="0" w:afterAutospacing="0"/>
        <w:jc w:val="center"/>
        <w:rPr>
          <w:sz w:val="20"/>
          <w:szCs w:val="20"/>
        </w:rPr>
      </w:pPr>
      <w:r>
        <w:rPr>
          <w:b/>
          <w:bCs/>
          <w:sz w:val="20"/>
          <w:szCs w:val="20"/>
        </w:rPr>
        <w:t>(Exact name of registrant as specified in its charter</w:t>
      </w:r>
      <w:r>
        <w:rPr>
          <w:b/>
          <w:bCs/>
          <w:sz w:val="20"/>
          <w:szCs w:val="20"/>
        </w:rPr>
        <w:t>)</w:t>
      </w:r>
    </w:p>
    <w:p w14:paraId="28B4D1CF" w14:textId="77777777" w:rsidR="00000000" w:rsidRDefault="003A1B5D">
      <w:pPr>
        <w:pStyle w:val="a3"/>
        <w:pBdr>
          <w:bottom w:val="single" w:sz="4" w:space="1" w:color="auto"/>
        </w:pBdr>
        <w:spacing w:before="0" w:beforeAutospacing="0" w:after="0" w:afterAutospacing="0"/>
        <w:ind w:left="4762" w:right="4762"/>
        <w:jc w:val="center"/>
        <w:rPr>
          <w:sz w:val="20"/>
          <w:szCs w:val="20"/>
        </w:rPr>
      </w:pPr>
      <w:r>
        <w:rPr>
          <w:sz w:val="20"/>
          <w:szCs w:val="20"/>
        </w:rPr>
        <w:t> </w:t>
      </w:r>
    </w:p>
    <w:p w14:paraId="3BE1B3FD" w14:textId="77777777" w:rsidR="00000000" w:rsidRDefault="003A1B5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14:paraId="6A8B76B5" w14:textId="77777777">
        <w:trPr>
          <w:tblCellSpacing w:w="15" w:type="dxa"/>
        </w:trPr>
        <w:tc>
          <w:tcPr>
            <w:tcW w:w="2500" w:type="pct"/>
            <w:vAlign w:val="center"/>
            <w:hideMark/>
          </w:tcPr>
          <w:p w14:paraId="5CC2B6D1" w14:textId="77777777" w:rsidR="00000000" w:rsidRDefault="003A1B5D">
            <w:pPr>
              <w:rPr>
                <w:sz w:val="20"/>
                <w:szCs w:val="20"/>
              </w:rPr>
            </w:pPr>
          </w:p>
        </w:tc>
        <w:tc>
          <w:tcPr>
            <w:tcW w:w="2500" w:type="pct"/>
            <w:vAlign w:val="center"/>
            <w:hideMark/>
          </w:tcPr>
          <w:p w14:paraId="34EC5BD3" w14:textId="77777777" w:rsidR="00000000" w:rsidRDefault="003A1B5D">
            <w:pPr>
              <w:rPr>
                <w:rFonts w:eastAsia="Times New Roman"/>
                <w:sz w:val="20"/>
                <w:szCs w:val="20"/>
              </w:rPr>
            </w:pPr>
          </w:p>
        </w:tc>
      </w:tr>
      <w:tr w:rsidR="00000000" w14:paraId="1ED523A5" w14:textId="77777777">
        <w:trPr>
          <w:trHeight w:val="200"/>
          <w:tblCellSpacing w:w="15" w:type="dxa"/>
        </w:trPr>
        <w:tc>
          <w:tcPr>
            <w:tcW w:w="0" w:type="auto"/>
            <w:hideMark/>
          </w:tcPr>
          <w:p w14:paraId="0355DB6B" w14:textId="77777777" w:rsidR="00000000" w:rsidRDefault="003A1B5D">
            <w:pPr>
              <w:pStyle w:val="a3"/>
              <w:spacing w:before="0" w:beforeAutospacing="0" w:after="0" w:afterAutospacing="0"/>
              <w:jc w:val="center"/>
              <w:rPr>
                <w:sz w:val="20"/>
                <w:szCs w:val="20"/>
              </w:rPr>
            </w:pPr>
            <w:r>
              <w:rPr>
                <w:b/>
                <w:bCs/>
                <w:sz w:val="20"/>
                <w:szCs w:val="20"/>
              </w:rPr>
              <w:t>MARYLAN</w:t>
            </w:r>
            <w:r>
              <w:rPr>
                <w:b/>
                <w:bCs/>
                <w:sz w:val="20"/>
                <w:szCs w:val="20"/>
              </w:rPr>
              <w:t>D</w:t>
            </w:r>
          </w:p>
        </w:tc>
        <w:tc>
          <w:tcPr>
            <w:tcW w:w="0" w:type="auto"/>
            <w:hideMark/>
          </w:tcPr>
          <w:p w14:paraId="0FCF4D4C" w14:textId="77777777" w:rsidR="00000000" w:rsidRDefault="003A1B5D">
            <w:pPr>
              <w:pStyle w:val="a3"/>
              <w:spacing w:before="0" w:beforeAutospacing="0" w:after="0" w:afterAutospacing="0"/>
              <w:jc w:val="center"/>
              <w:rPr>
                <w:sz w:val="20"/>
                <w:szCs w:val="20"/>
              </w:rPr>
            </w:pPr>
            <w:r>
              <w:rPr>
                <w:b/>
                <w:bCs/>
                <w:sz w:val="20"/>
                <w:szCs w:val="20"/>
              </w:rPr>
              <w:t>62-176387</w:t>
            </w:r>
            <w:r>
              <w:rPr>
                <w:b/>
                <w:bCs/>
                <w:sz w:val="20"/>
                <w:szCs w:val="20"/>
              </w:rPr>
              <w:t>5</w:t>
            </w:r>
          </w:p>
        </w:tc>
      </w:tr>
      <w:tr w:rsidR="00000000" w14:paraId="122F0BBD" w14:textId="77777777">
        <w:trPr>
          <w:trHeight w:val="160"/>
          <w:tblCellSpacing w:w="15" w:type="dxa"/>
        </w:trPr>
        <w:tc>
          <w:tcPr>
            <w:tcW w:w="0" w:type="auto"/>
            <w:hideMark/>
          </w:tcPr>
          <w:p w14:paraId="71C52BE8" w14:textId="77777777" w:rsidR="00000000" w:rsidRDefault="003A1B5D">
            <w:pPr>
              <w:pStyle w:val="a3"/>
              <w:spacing w:before="0" w:beforeAutospacing="0" w:after="0" w:afterAutospacing="0"/>
              <w:jc w:val="center"/>
              <w:rPr>
                <w:sz w:val="16"/>
                <w:szCs w:val="16"/>
              </w:rPr>
            </w:pPr>
            <w:r>
              <w:rPr>
                <w:b/>
                <w:bCs/>
                <w:sz w:val="16"/>
                <w:szCs w:val="16"/>
              </w:rPr>
              <w:t>(State or other jurisdiction o</w:t>
            </w:r>
            <w:r>
              <w:rPr>
                <w:b/>
                <w:bCs/>
                <w:sz w:val="16"/>
                <w:szCs w:val="16"/>
              </w:rPr>
              <w:t>f</w:t>
            </w:r>
            <w:r>
              <w:rPr>
                <w:rFonts w:ascii="Calibri" w:hAnsi="Calibri" w:cs="Calibri"/>
                <w:b/>
                <w:bCs/>
                <w:sz w:val="16"/>
                <w:szCs w:val="16"/>
              </w:rPr>
              <w:t xml:space="preserve"> </w:t>
            </w:r>
          </w:p>
          <w:p w14:paraId="3432619D" w14:textId="77777777" w:rsidR="00000000" w:rsidRDefault="003A1B5D">
            <w:pPr>
              <w:pStyle w:val="a3"/>
              <w:spacing w:before="0" w:beforeAutospacing="0" w:after="0" w:afterAutospacing="0"/>
              <w:jc w:val="center"/>
              <w:rPr>
                <w:sz w:val="16"/>
                <w:szCs w:val="16"/>
              </w:rPr>
            </w:pPr>
            <w:r>
              <w:rPr>
                <w:b/>
                <w:bCs/>
                <w:sz w:val="16"/>
                <w:szCs w:val="16"/>
              </w:rPr>
              <w:t>incorporation or organization</w:t>
            </w:r>
            <w:r>
              <w:rPr>
                <w:b/>
                <w:bCs/>
                <w:sz w:val="16"/>
                <w:szCs w:val="16"/>
              </w:rPr>
              <w:t>)</w:t>
            </w:r>
          </w:p>
        </w:tc>
        <w:tc>
          <w:tcPr>
            <w:tcW w:w="0" w:type="auto"/>
            <w:hideMark/>
          </w:tcPr>
          <w:p w14:paraId="0BD7811B" w14:textId="77777777" w:rsidR="00000000" w:rsidRDefault="003A1B5D">
            <w:pPr>
              <w:pStyle w:val="a3"/>
              <w:spacing w:before="0" w:beforeAutospacing="0" w:after="0" w:afterAutospacing="0"/>
              <w:jc w:val="center"/>
              <w:rPr>
                <w:sz w:val="16"/>
                <w:szCs w:val="16"/>
              </w:rPr>
            </w:pPr>
            <w:r>
              <w:rPr>
                <w:b/>
                <w:bCs/>
                <w:sz w:val="16"/>
                <w:szCs w:val="16"/>
              </w:rPr>
              <w:t>(I.R.S. Employe</w:t>
            </w:r>
            <w:r>
              <w:rPr>
                <w:b/>
                <w:bCs/>
                <w:sz w:val="16"/>
                <w:szCs w:val="16"/>
              </w:rPr>
              <w:t>r</w:t>
            </w:r>
            <w:r>
              <w:rPr>
                <w:b/>
                <w:bCs/>
                <w:sz w:val="16"/>
                <w:szCs w:val="16"/>
              </w:rPr>
              <w:t xml:space="preserve"> </w:t>
            </w:r>
          </w:p>
          <w:p w14:paraId="65809DB5" w14:textId="77777777" w:rsidR="00000000" w:rsidRDefault="003A1B5D">
            <w:pPr>
              <w:pStyle w:val="a3"/>
              <w:spacing w:before="0" w:beforeAutospacing="0" w:after="0" w:afterAutospacing="0"/>
              <w:jc w:val="center"/>
              <w:rPr>
                <w:sz w:val="16"/>
                <w:szCs w:val="16"/>
              </w:rPr>
            </w:pPr>
            <w:r>
              <w:rPr>
                <w:b/>
                <w:bCs/>
                <w:sz w:val="16"/>
                <w:szCs w:val="16"/>
              </w:rPr>
              <w:t>Identification Number</w:t>
            </w:r>
            <w:r>
              <w:rPr>
                <w:b/>
                <w:bCs/>
                <w:sz w:val="16"/>
                <w:szCs w:val="16"/>
              </w:rPr>
              <w:t>)</w:t>
            </w:r>
          </w:p>
        </w:tc>
      </w:tr>
      <w:tr w:rsidR="00000000" w14:paraId="40C5414F" w14:textId="77777777">
        <w:trPr>
          <w:tblCellSpacing w:w="15" w:type="dxa"/>
        </w:trPr>
        <w:tc>
          <w:tcPr>
            <w:tcW w:w="0" w:type="auto"/>
            <w:hideMark/>
          </w:tcPr>
          <w:p w14:paraId="31E2031D" w14:textId="77777777" w:rsidR="00000000" w:rsidRDefault="003A1B5D">
            <w:pPr>
              <w:pStyle w:val="a3"/>
              <w:spacing w:before="0" w:beforeAutospacing="0" w:after="0" w:afterAutospacing="0"/>
              <w:jc w:val="center"/>
              <w:rPr>
                <w:sz w:val="16"/>
                <w:szCs w:val="16"/>
              </w:rPr>
            </w:pPr>
            <w:r>
              <w:rPr>
                <w:sz w:val="16"/>
                <w:szCs w:val="16"/>
              </w:rPr>
              <w:t> </w:t>
            </w:r>
          </w:p>
        </w:tc>
        <w:tc>
          <w:tcPr>
            <w:tcW w:w="0" w:type="auto"/>
            <w:hideMark/>
          </w:tcPr>
          <w:p w14:paraId="469E44E1"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72E9295A" w14:textId="77777777">
        <w:trPr>
          <w:trHeight w:val="200"/>
          <w:tblCellSpacing w:w="15" w:type="dxa"/>
        </w:trPr>
        <w:tc>
          <w:tcPr>
            <w:tcW w:w="0" w:type="auto"/>
            <w:hideMark/>
          </w:tcPr>
          <w:p w14:paraId="6A6737CF" w14:textId="77777777" w:rsidR="00000000" w:rsidRDefault="003A1B5D">
            <w:pPr>
              <w:pStyle w:val="a3"/>
              <w:spacing w:before="0" w:beforeAutospacing="0" w:after="0" w:afterAutospacing="0"/>
              <w:jc w:val="center"/>
              <w:rPr>
                <w:sz w:val="20"/>
                <w:szCs w:val="20"/>
              </w:rPr>
            </w:pPr>
            <w:r>
              <w:rPr>
                <w:b/>
                <w:bCs/>
                <w:sz w:val="20"/>
                <w:szCs w:val="20"/>
              </w:rPr>
              <w:t>5501 VIRGINIA WA</w:t>
            </w:r>
            <w:r>
              <w:rPr>
                <w:b/>
                <w:bCs/>
                <w:sz w:val="20"/>
                <w:szCs w:val="20"/>
              </w:rPr>
              <w:t>Y</w:t>
            </w:r>
          </w:p>
          <w:p w14:paraId="14D4DE50" w14:textId="77777777" w:rsidR="00000000" w:rsidRDefault="003A1B5D">
            <w:pPr>
              <w:pStyle w:val="a3"/>
              <w:spacing w:before="0" w:beforeAutospacing="0" w:after="0" w:afterAutospacing="0"/>
              <w:jc w:val="center"/>
              <w:rPr>
                <w:sz w:val="20"/>
                <w:szCs w:val="20"/>
              </w:rPr>
            </w:pPr>
            <w:r>
              <w:rPr>
                <w:b/>
                <w:bCs/>
                <w:sz w:val="20"/>
                <w:szCs w:val="20"/>
              </w:rPr>
              <w:t>BRENTWOO</w:t>
            </w:r>
            <w:r>
              <w:rPr>
                <w:b/>
                <w:bCs/>
                <w:sz w:val="20"/>
                <w:szCs w:val="20"/>
              </w:rPr>
              <w:t>D</w:t>
            </w:r>
            <w:r>
              <w:rPr>
                <w:b/>
                <w:bCs/>
                <w:sz w:val="20"/>
                <w:szCs w:val="20"/>
              </w:rPr>
              <w:t>, TENNESSE</w:t>
            </w:r>
            <w:r>
              <w:rPr>
                <w:b/>
                <w:bCs/>
                <w:sz w:val="20"/>
                <w:szCs w:val="20"/>
              </w:rPr>
              <w:t>E</w:t>
            </w:r>
            <w:r>
              <w:rPr>
                <w:b/>
                <w:bCs/>
                <w:sz w:val="20"/>
                <w:szCs w:val="20"/>
              </w:rPr>
              <w:t xml:space="preserve"> </w:t>
            </w:r>
          </w:p>
        </w:tc>
        <w:tc>
          <w:tcPr>
            <w:tcW w:w="0" w:type="auto"/>
            <w:hideMark/>
          </w:tcPr>
          <w:p w14:paraId="45615BEF" w14:textId="77777777" w:rsidR="00000000" w:rsidRDefault="003A1B5D">
            <w:pPr>
              <w:pStyle w:val="a3"/>
              <w:spacing w:before="0" w:beforeAutospacing="0" w:after="0" w:afterAutospacing="0"/>
              <w:jc w:val="center"/>
              <w:rPr>
                <w:sz w:val="20"/>
                <w:szCs w:val="20"/>
              </w:rPr>
            </w:pPr>
            <w:r>
              <w:rPr>
                <w:b/>
                <w:bCs/>
                <w:sz w:val="20"/>
                <w:szCs w:val="20"/>
              </w:rPr>
              <w:t>3702</w:t>
            </w:r>
            <w:r>
              <w:rPr>
                <w:b/>
                <w:bCs/>
                <w:sz w:val="20"/>
                <w:szCs w:val="20"/>
              </w:rPr>
              <w:t>7</w:t>
            </w:r>
            <w:r>
              <w:rPr>
                <w:b/>
                <w:bCs/>
                <w:sz w:val="20"/>
                <w:szCs w:val="20"/>
              </w:rPr>
              <w:t xml:space="preserve"> </w:t>
            </w:r>
          </w:p>
          <w:p w14:paraId="4310B47E" w14:textId="77777777" w:rsidR="00000000" w:rsidRDefault="003A1B5D">
            <w:pPr>
              <w:pStyle w:val="a3"/>
              <w:spacing w:before="0" w:beforeAutospacing="0" w:after="0" w:afterAutospacing="0"/>
              <w:jc w:val="center"/>
              <w:rPr>
                <w:sz w:val="16"/>
                <w:szCs w:val="16"/>
              </w:rPr>
            </w:pPr>
            <w:r>
              <w:rPr>
                <w:b/>
                <w:bCs/>
                <w:sz w:val="16"/>
                <w:szCs w:val="16"/>
              </w:rPr>
              <w:t>(Zip Code</w:t>
            </w:r>
            <w:r>
              <w:rPr>
                <w:b/>
                <w:bCs/>
                <w:sz w:val="16"/>
                <w:szCs w:val="16"/>
              </w:rPr>
              <w:t>)</w:t>
            </w:r>
          </w:p>
        </w:tc>
      </w:tr>
      <w:tr w:rsidR="00000000" w14:paraId="4C953C1A" w14:textId="77777777">
        <w:trPr>
          <w:trHeight w:val="160"/>
          <w:tblCellSpacing w:w="15" w:type="dxa"/>
        </w:trPr>
        <w:tc>
          <w:tcPr>
            <w:tcW w:w="0" w:type="auto"/>
            <w:hideMark/>
          </w:tcPr>
          <w:p w14:paraId="75E44AE4" w14:textId="77777777" w:rsidR="00000000" w:rsidRDefault="003A1B5D">
            <w:pPr>
              <w:pStyle w:val="a3"/>
              <w:spacing w:before="0" w:beforeAutospacing="0" w:after="0" w:afterAutospacing="0"/>
              <w:jc w:val="center"/>
              <w:rPr>
                <w:sz w:val="16"/>
                <w:szCs w:val="16"/>
              </w:rPr>
            </w:pPr>
            <w:r>
              <w:rPr>
                <w:b/>
                <w:bCs/>
                <w:sz w:val="16"/>
                <w:szCs w:val="16"/>
              </w:rPr>
              <w:t>(Address of principal executive offices</w:t>
            </w:r>
            <w:r>
              <w:rPr>
                <w:b/>
                <w:bCs/>
                <w:sz w:val="16"/>
                <w:szCs w:val="16"/>
              </w:rPr>
              <w:t>)</w:t>
            </w:r>
          </w:p>
        </w:tc>
        <w:tc>
          <w:tcPr>
            <w:tcW w:w="0" w:type="auto"/>
            <w:hideMark/>
          </w:tcPr>
          <w:p w14:paraId="521A0DEE" w14:textId="77777777" w:rsidR="00000000" w:rsidRDefault="003A1B5D">
            <w:pPr>
              <w:pStyle w:val="a3"/>
              <w:spacing w:before="0" w:beforeAutospacing="0" w:after="0" w:afterAutospacing="0"/>
              <w:jc w:val="center"/>
              <w:rPr>
                <w:sz w:val="20"/>
                <w:szCs w:val="20"/>
              </w:rPr>
            </w:pPr>
            <w:r>
              <w:rPr>
                <w:sz w:val="20"/>
                <w:szCs w:val="20"/>
              </w:rPr>
              <w:t> </w:t>
            </w:r>
          </w:p>
        </w:tc>
      </w:tr>
    </w:tbl>
    <w:p w14:paraId="142F86B7" w14:textId="77777777" w:rsidR="00000000" w:rsidRDefault="003A1B5D">
      <w:pPr>
        <w:pStyle w:val="a3"/>
        <w:spacing w:before="0" w:beforeAutospacing="0" w:after="0" w:afterAutospacing="0"/>
        <w:rPr>
          <w:sz w:val="20"/>
          <w:szCs w:val="20"/>
        </w:rPr>
      </w:pPr>
      <w:r>
        <w:rPr>
          <w:sz w:val="20"/>
          <w:szCs w:val="20"/>
        </w:rPr>
        <w:t> </w:t>
      </w:r>
    </w:p>
    <w:p w14:paraId="7E4FE914" w14:textId="77777777" w:rsidR="00000000" w:rsidRDefault="003A1B5D">
      <w:pPr>
        <w:pStyle w:val="a3"/>
        <w:spacing w:before="0" w:beforeAutospacing="0" w:after="0" w:afterAutospacing="0"/>
        <w:jc w:val="center"/>
        <w:rPr>
          <w:sz w:val="20"/>
          <w:szCs w:val="20"/>
        </w:rPr>
      </w:pPr>
      <w:r>
        <w:rPr>
          <w:b/>
          <w:bCs/>
          <w:sz w:val="20"/>
          <w:szCs w:val="20"/>
        </w:rPr>
        <w:t>(</w:t>
      </w:r>
      <w:r>
        <w:rPr>
          <w:b/>
          <w:bCs/>
          <w:sz w:val="20"/>
          <w:szCs w:val="20"/>
        </w:rPr>
        <w:t>61</w:t>
      </w:r>
      <w:r>
        <w:rPr>
          <w:b/>
          <w:bCs/>
          <w:sz w:val="20"/>
          <w:szCs w:val="20"/>
        </w:rPr>
        <w:t>5</w:t>
      </w:r>
      <w:r>
        <w:rPr>
          <w:b/>
          <w:bCs/>
          <w:sz w:val="20"/>
          <w:szCs w:val="20"/>
        </w:rPr>
        <w:t>)</w:t>
      </w:r>
      <w:r>
        <w:rPr>
          <w:b/>
          <w:bCs/>
          <w:sz w:val="20"/>
          <w:szCs w:val="20"/>
        </w:rPr>
        <w:t xml:space="preserve"> </w:t>
      </w:r>
      <w:r>
        <w:rPr>
          <w:b/>
          <w:bCs/>
          <w:sz w:val="20"/>
          <w:szCs w:val="20"/>
        </w:rPr>
        <w:t>263-300</w:t>
      </w:r>
      <w:r>
        <w:rPr>
          <w:b/>
          <w:bCs/>
          <w:sz w:val="20"/>
          <w:szCs w:val="20"/>
        </w:rPr>
        <w:t>0</w:t>
      </w:r>
    </w:p>
    <w:p w14:paraId="5AAD92DC" w14:textId="77777777" w:rsidR="00000000" w:rsidRDefault="003A1B5D">
      <w:pPr>
        <w:pStyle w:val="a3"/>
        <w:spacing w:before="0" w:beforeAutospacing="0" w:after="0" w:afterAutospacing="0"/>
        <w:ind w:firstLine="816"/>
        <w:jc w:val="center"/>
        <w:rPr>
          <w:sz w:val="20"/>
          <w:szCs w:val="20"/>
        </w:rPr>
      </w:pPr>
      <w:r>
        <w:rPr>
          <w:b/>
          <w:bCs/>
          <w:sz w:val="16"/>
          <w:szCs w:val="16"/>
        </w:rPr>
        <w:t>(Registrant's telephone number, including area code</w:t>
      </w:r>
      <w:r>
        <w:rPr>
          <w:b/>
          <w:bCs/>
          <w:sz w:val="16"/>
          <w:szCs w:val="16"/>
        </w:rPr>
        <w:t>)</w:t>
      </w:r>
      <w:r>
        <w:rPr>
          <w:b/>
          <w:bCs/>
          <w:sz w:val="20"/>
          <w:szCs w:val="20"/>
        </w:rPr>
        <w:t xml:space="preserve"> </w:t>
      </w:r>
    </w:p>
    <w:p w14:paraId="4FE7DFA8" w14:textId="77777777" w:rsidR="00000000" w:rsidRDefault="003A1B5D">
      <w:pPr>
        <w:pStyle w:val="a3"/>
        <w:pBdr>
          <w:bottom w:val="single" w:sz="4" w:space="1" w:color="auto"/>
        </w:pBdr>
        <w:spacing w:before="0" w:beforeAutospacing="0" w:afterAutospacing="0"/>
        <w:ind w:left="4762" w:right="4762"/>
        <w:jc w:val="center"/>
        <w:rPr>
          <w:sz w:val="20"/>
          <w:szCs w:val="20"/>
        </w:rPr>
      </w:pPr>
      <w:r>
        <w:rPr>
          <w:sz w:val="20"/>
          <w:szCs w:val="20"/>
        </w:rPr>
        <w:t> </w:t>
      </w:r>
    </w:p>
    <w:p w14:paraId="0D7C12CA" w14:textId="77777777" w:rsidR="00000000" w:rsidRDefault="003A1B5D">
      <w:pPr>
        <w:pStyle w:val="a3"/>
        <w:spacing w:before="0" w:beforeAutospacing="0" w:afterAutospacing="0"/>
        <w:jc w:val="center"/>
        <w:rPr>
          <w:sz w:val="20"/>
          <w:szCs w:val="20"/>
        </w:rPr>
      </w:pPr>
      <w:r>
        <w:rPr>
          <w:sz w:val="20"/>
          <w:szCs w:val="20"/>
        </w:rPr>
        <w:t>Securities registered pursuant to Section 12(b) of the Act</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4"/>
        <w:gridCol w:w="2077"/>
        <w:gridCol w:w="3115"/>
      </w:tblGrid>
      <w:tr w:rsidR="00000000" w14:paraId="32B533BE" w14:textId="77777777">
        <w:trPr>
          <w:tblCellSpacing w:w="15" w:type="dxa"/>
        </w:trPr>
        <w:tc>
          <w:tcPr>
            <w:tcW w:w="1874" w:type="pct"/>
            <w:vAlign w:val="center"/>
            <w:hideMark/>
          </w:tcPr>
          <w:p w14:paraId="6BE9924B" w14:textId="77777777" w:rsidR="00000000" w:rsidRDefault="003A1B5D">
            <w:pPr>
              <w:rPr>
                <w:sz w:val="20"/>
                <w:szCs w:val="20"/>
              </w:rPr>
            </w:pPr>
          </w:p>
        </w:tc>
        <w:tc>
          <w:tcPr>
            <w:tcW w:w="1250" w:type="pct"/>
            <w:vAlign w:val="center"/>
            <w:hideMark/>
          </w:tcPr>
          <w:p w14:paraId="7A9E28F3" w14:textId="77777777" w:rsidR="00000000" w:rsidRDefault="003A1B5D">
            <w:pPr>
              <w:rPr>
                <w:rFonts w:eastAsia="Times New Roman"/>
                <w:sz w:val="20"/>
                <w:szCs w:val="20"/>
              </w:rPr>
            </w:pPr>
          </w:p>
        </w:tc>
        <w:tc>
          <w:tcPr>
            <w:tcW w:w="1874" w:type="pct"/>
            <w:vAlign w:val="center"/>
            <w:hideMark/>
          </w:tcPr>
          <w:p w14:paraId="2095ED16" w14:textId="77777777" w:rsidR="00000000" w:rsidRDefault="003A1B5D">
            <w:pPr>
              <w:rPr>
                <w:rFonts w:eastAsia="Times New Roman"/>
                <w:sz w:val="20"/>
                <w:szCs w:val="20"/>
              </w:rPr>
            </w:pPr>
          </w:p>
        </w:tc>
      </w:tr>
      <w:tr w:rsidR="00000000" w14:paraId="5ABAAADA" w14:textId="77777777">
        <w:trPr>
          <w:trHeight w:val="200"/>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C8ED630" w14:textId="77777777" w:rsidR="00000000" w:rsidRDefault="003A1B5D">
            <w:pPr>
              <w:pStyle w:val="a3"/>
              <w:spacing w:before="0" w:beforeAutospacing="0" w:after="0" w:afterAutospacing="0"/>
              <w:jc w:val="center"/>
              <w:rPr>
                <w:sz w:val="20"/>
                <w:szCs w:val="20"/>
              </w:rPr>
            </w:pPr>
            <w:r>
              <w:rPr>
                <w:sz w:val="20"/>
                <w:szCs w:val="20"/>
              </w:rPr>
              <w:t>Title of each clas</w:t>
            </w:r>
            <w:r>
              <w:rPr>
                <w:sz w:val="20"/>
                <w:szCs w:val="20"/>
              </w:rPr>
              <w:t>s</w:t>
            </w:r>
          </w:p>
        </w:tc>
        <w:tc>
          <w:tcPr>
            <w:tcW w:w="0" w:type="auto"/>
            <w:tcBorders>
              <w:top w:val="single" w:sz="4" w:space="0" w:color="auto"/>
              <w:bottom w:val="single" w:sz="4" w:space="0" w:color="auto"/>
              <w:right w:val="single" w:sz="4" w:space="0" w:color="auto"/>
            </w:tcBorders>
            <w:tcMar>
              <w:top w:w="15" w:type="dxa"/>
              <w:left w:w="108" w:type="dxa"/>
              <w:bottom w:w="15" w:type="dxa"/>
              <w:right w:w="108" w:type="dxa"/>
            </w:tcMar>
            <w:hideMark/>
          </w:tcPr>
          <w:p w14:paraId="3EBBEB4B" w14:textId="77777777" w:rsidR="00000000" w:rsidRDefault="003A1B5D">
            <w:pPr>
              <w:pStyle w:val="a3"/>
              <w:spacing w:before="0" w:beforeAutospacing="0" w:after="0" w:afterAutospacing="0"/>
              <w:jc w:val="center"/>
              <w:rPr>
                <w:sz w:val="20"/>
                <w:szCs w:val="20"/>
              </w:rPr>
            </w:pPr>
            <w:r>
              <w:rPr>
                <w:sz w:val="20"/>
                <w:szCs w:val="20"/>
              </w:rPr>
              <w:t>Trading Symbol(s</w:t>
            </w:r>
            <w:r>
              <w:rPr>
                <w:sz w:val="20"/>
                <w:szCs w:val="20"/>
              </w:rPr>
              <w:t>)</w:t>
            </w:r>
          </w:p>
        </w:tc>
        <w:tc>
          <w:tcPr>
            <w:tcW w:w="0" w:type="auto"/>
            <w:tcBorders>
              <w:top w:val="single" w:sz="4" w:space="0" w:color="auto"/>
              <w:bottom w:val="single" w:sz="4" w:space="0" w:color="auto"/>
              <w:right w:val="single" w:sz="4" w:space="0" w:color="auto"/>
            </w:tcBorders>
            <w:tcMar>
              <w:top w:w="15" w:type="dxa"/>
              <w:left w:w="108" w:type="dxa"/>
              <w:bottom w:w="15" w:type="dxa"/>
              <w:right w:w="108" w:type="dxa"/>
            </w:tcMar>
            <w:hideMark/>
          </w:tcPr>
          <w:p w14:paraId="4A3E7FD3" w14:textId="77777777" w:rsidR="00000000" w:rsidRDefault="003A1B5D">
            <w:pPr>
              <w:pStyle w:val="a3"/>
              <w:spacing w:before="0" w:beforeAutospacing="0" w:after="0" w:afterAutospacing="0"/>
              <w:jc w:val="center"/>
              <w:rPr>
                <w:sz w:val="20"/>
                <w:szCs w:val="20"/>
              </w:rPr>
            </w:pPr>
            <w:r>
              <w:rPr>
                <w:sz w:val="20"/>
                <w:szCs w:val="20"/>
              </w:rPr>
              <w:t>Name of each exchange on which registere</w:t>
            </w:r>
            <w:r>
              <w:rPr>
                <w:sz w:val="20"/>
                <w:szCs w:val="20"/>
              </w:rPr>
              <w:t>d</w:t>
            </w:r>
          </w:p>
        </w:tc>
      </w:tr>
      <w:tr w:rsidR="00000000" w14:paraId="14C96936" w14:textId="77777777">
        <w:trPr>
          <w:trHeight w:val="200"/>
          <w:tblCellSpacing w:w="15" w:type="dxa"/>
        </w:trPr>
        <w:tc>
          <w:tcPr>
            <w:tcW w:w="0" w:type="auto"/>
            <w:tcBorders>
              <w:left w:val="single" w:sz="4" w:space="0" w:color="auto"/>
              <w:bottom w:val="single" w:sz="4" w:space="0" w:color="auto"/>
              <w:right w:val="single" w:sz="4" w:space="0" w:color="auto"/>
            </w:tcBorders>
            <w:tcMar>
              <w:top w:w="15" w:type="dxa"/>
              <w:left w:w="108" w:type="dxa"/>
              <w:bottom w:w="15" w:type="dxa"/>
              <w:right w:w="108" w:type="dxa"/>
            </w:tcMar>
            <w:hideMark/>
          </w:tcPr>
          <w:p w14:paraId="463947EF" w14:textId="77777777" w:rsidR="00000000" w:rsidRDefault="003A1B5D">
            <w:pPr>
              <w:pStyle w:val="a3"/>
              <w:spacing w:before="0" w:beforeAutospacing="0" w:after="0" w:afterAutospacing="0"/>
              <w:jc w:val="center"/>
              <w:rPr>
                <w:sz w:val="20"/>
                <w:szCs w:val="20"/>
              </w:rPr>
            </w:pPr>
            <w:r>
              <w:rPr>
                <w:sz w:val="20"/>
                <w:szCs w:val="20"/>
              </w:rPr>
              <w:t>Common Stoc</w:t>
            </w:r>
            <w:r>
              <w:rPr>
                <w:sz w:val="20"/>
                <w:szCs w:val="20"/>
              </w:rPr>
              <w:t>k</w:t>
            </w:r>
          </w:p>
        </w:tc>
        <w:tc>
          <w:tcPr>
            <w:tcW w:w="0" w:type="auto"/>
            <w:tcBorders>
              <w:bottom w:val="single" w:sz="4" w:space="0" w:color="auto"/>
              <w:right w:val="single" w:sz="4" w:space="0" w:color="auto"/>
            </w:tcBorders>
            <w:tcMar>
              <w:top w:w="15" w:type="dxa"/>
              <w:left w:w="108" w:type="dxa"/>
              <w:bottom w:w="15" w:type="dxa"/>
              <w:right w:w="108" w:type="dxa"/>
            </w:tcMar>
            <w:hideMark/>
          </w:tcPr>
          <w:p w14:paraId="1E897464" w14:textId="77777777" w:rsidR="00000000" w:rsidRDefault="003A1B5D">
            <w:pPr>
              <w:pStyle w:val="a3"/>
              <w:spacing w:before="0" w:beforeAutospacing="0" w:after="0" w:afterAutospacing="0"/>
              <w:jc w:val="center"/>
              <w:rPr>
                <w:sz w:val="20"/>
                <w:szCs w:val="20"/>
              </w:rPr>
            </w:pPr>
            <w:r>
              <w:rPr>
                <w:sz w:val="20"/>
                <w:szCs w:val="20"/>
              </w:rPr>
              <w:t>CX</w:t>
            </w:r>
            <w:r>
              <w:rPr>
                <w:sz w:val="20"/>
                <w:szCs w:val="20"/>
              </w:rPr>
              <w:t>W</w:t>
            </w:r>
          </w:p>
        </w:tc>
        <w:tc>
          <w:tcPr>
            <w:tcW w:w="0" w:type="auto"/>
            <w:tcBorders>
              <w:bottom w:val="single" w:sz="4" w:space="0" w:color="auto"/>
              <w:right w:val="single" w:sz="4" w:space="0" w:color="auto"/>
            </w:tcBorders>
            <w:tcMar>
              <w:top w:w="15" w:type="dxa"/>
              <w:left w:w="108" w:type="dxa"/>
              <w:bottom w:w="15" w:type="dxa"/>
              <w:right w:w="108" w:type="dxa"/>
            </w:tcMar>
            <w:hideMark/>
          </w:tcPr>
          <w:p w14:paraId="1A42EEA1" w14:textId="77777777" w:rsidR="00000000" w:rsidRDefault="003A1B5D">
            <w:pPr>
              <w:pStyle w:val="a3"/>
              <w:spacing w:before="0" w:beforeAutospacing="0" w:after="0" w:afterAutospacing="0"/>
              <w:jc w:val="center"/>
              <w:rPr>
                <w:sz w:val="20"/>
                <w:szCs w:val="20"/>
              </w:rPr>
            </w:pPr>
            <w:r>
              <w:rPr>
                <w:sz w:val="20"/>
                <w:szCs w:val="20"/>
              </w:rPr>
              <w:t>New York Stock Exchang</w:t>
            </w:r>
            <w:r>
              <w:rPr>
                <w:sz w:val="20"/>
                <w:szCs w:val="20"/>
              </w:rPr>
              <w:t>e</w:t>
            </w:r>
          </w:p>
        </w:tc>
      </w:tr>
    </w:tbl>
    <w:p w14:paraId="0DD6047A" w14:textId="77777777" w:rsidR="00000000" w:rsidRDefault="003A1B5D">
      <w:pPr>
        <w:pStyle w:val="a3"/>
        <w:spacing w:before="80" w:beforeAutospacing="0" w:after="0" w:afterAutospacing="0"/>
        <w:jc w:val="both"/>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that the registr</w:t>
      </w:r>
      <w:r>
        <w:rPr>
          <w:sz w:val="20"/>
          <w:szCs w:val="20"/>
        </w:rPr>
        <w:t>ant was required to file such reports), and (2) has been subject to such filing requirements for the past 90 days</w:t>
      </w:r>
      <w:r>
        <w:rPr>
          <w:sz w:val="20"/>
          <w:szCs w:val="20"/>
        </w:rPr>
        <w:t>.</w:t>
      </w:r>
    </w:p>
    <w:p w14:paraId="66767736" w14:textId="77777777" w:rsidR="00000000" w:rsidRDefault="003A1B5D">
      <w:pPr>
        <w:pStyle w:val="a3"/>
        <w:spacing w:before="0" w:beforeAutospacing="0" w:after="0" w:afterAutospacing="0"/>
        <w:jc w:val="both"/>
        <w:rPr>
          <w:sz w:val="20"/>
          <w:szCs w:val="20"/>
        </w:rPr>
      </w:pP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69C849FA" w14:textId="77777777" w:rsidR="00000000" w:rsidRDefault="003A1B5D">
      <w:pPr>
        <w:pStyle w:val="a3"/>
        <w:spacing w:before="2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 of Regulation S-T during the preceding 12 months (or for such shorter period that the registrant was requir</w:t>
      </w:r>
      <w:r>
        <w:rPr>
          <w:sz w:val="20"/>
          <w:szCs w:val="20"/>
        </w:rPr>
        <w:t>ed to submit such files)</w:t>
      </w:r>
      <w:r>
        <w:rPr>
          <w:sz w:val="20"/>
          <w:szCs w:val="20"/>
        </w:rPr>
        <w:t>.</w:t>
      </w:r>
    </w:p>
    <w:p w14:paraId="43CAE339" w14:textId="77777777" w:rsidR="00000000" w:rsidRDefault="003A1B5D">
      <w:pPr>
        <w:pStyle w:val="a3"/>
        <w:spacing w:before="0" w:beforeAutospacing="0" w:after="0" w:afterAutospacing="0"/>
        <w:jc w:val="both"/>
        <w:rPr>
          <w:sz w:val="20"/>
          <w:szCs w:val="20"/>
        </w:rPr>
      </w:pP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597BCEA8" w14:textId="77777777" w:rsidR="00000000" w:rsidRDefault="003A1B5D">
      <w:pPr>
        <w:pStyle w:val="a3"/>
        <w:spacing w:before="20" w:beforeAutospacing="0" w:after="0" w:afterAutospacing="0"/>
        <w:jc w:val="both"/>
        <w:rPr>
          <w:sz w:val="20"/>
          <w:szCs w:val="20"/>
        </w:rPr>
      </w:pPr>
      <w:r>
        <w:rPr>
          <w:sz w:val="20"/>
          <w:szCs w:val="20"/>
        </w:rPr>
        <w:t>Indicate by check mark whether the registrant is a large accelerated filer, an accelerated filer, a non-accelerated filer, a smaller reporting company, or an emerging growth company. See definitions of "large accelerate</w:t>
      </w:r>
      <w:r>
        <w:rPr>
          <w:sz w:val="20"/>
          <w:szCs w:val="20"/>
        </w:rPr>
        <w:t>d filer", "accelerated filer", "smaller reporting company", and "emerging growth company" in Rule 12b-2 of the Exchange Act</w:t>
      </w:r>
      <w:r>
        <w:rPr>
          <w:sz w:val="20"/>
          <w:szCs w:val="20"/>
        </w:rPr>
        <w:t>.</w:t>
      </w:r>
      <w:r>
        <w:rPr>
          <w:sz w:val="20"/>
          <w:szCs w:val="20"/>
        </w:rPr>
        <w:t xml:space="preserve"> </w:t>
      </w:r>
    </w:p>
    <w:p w14:paraId="7DB3F1C6" w14:textId="77777777" w:rsidR="00000000" w:rsidRDefault="003A1B5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7"/>
        <w:gridCol w:w="370"/>
        <w:gridCol w:w="573"/>
        <w:gridCol w:w="3794"/>
        <w:gridCol w:w="342"/>
      </w:tblGrid>
      <w:tr w:rsidR="00000000" w14:paraId="373E5CB0" w14:textId="77777777">
        <w:trPr>
          <w:tblCellSpacing w:w="15" w:type="dxa"/>
        </w:trPr>
        <w:tc>
          <w:tcPr>
            <w:tcW w:w="1956" w:type="pct"/>
            <w:vAlign w:val="center"/>
            <w:hideMark/>
          </w:tcPr>
          <w:p w14:paraId="7B4F2499" w14:textId="77777777" w:rsidR="00000000" w:rsidRDefault="003A1B5D">
            <w:pPr>
              <w:rPr>
                <w:sz w:val="20"/>
                <w:szCs w:val="20"/>
              </w:rPr>
            </w:pPr>
          </w:p>
        </w:tc>
        <w:tc>
          <w:tcPr>
            <w:tcW w:w="209" w:type="pct"/>
            <w:vAlign w:val="center"/>
            <w:hideMark/>
          </w:tcPr>
          <w:p w14:paraId="263C0289" w14:textId="77777777" w:rsidR="00000000" w:rsidRDefault="003A1B5D">
            <w:pPr>
              <w:rPr>
                <w:rFonts w:eastAsia="Times New Roman"/>
                <w:sz w:val="20"/>
                <w:szCs w:val="20"/>
              </w:rPr>
            </w:pPr>
          </w:p>
        </w:tc>
        <w:tc>
          <w:tcPr>
            <w:tcW w:w="334" w:type="pct"/>
            <w:vAlign w:val="center"/>
            <w:hideMark/>
          </w:tcPr>
          <w:p w14:paraId="673A0C79" w14:textId="77777777" w:rsidR="00000000" w:rsidRDefault="003A1B5D">
            <w:pPr>
              <w:rPr>
                <w:rFonts w:eastAsia="Times New Roman"/>
                <w:sz w:val="20"/>
                <w:szCs w:val="20"/>
              </w:rPr>
            </w:pPr>
          </w:p>
        </w:tc>
        <w:tc>
          <w:tcPr>
            <w:tcW w:w="2315" w:type="pct"/>
            <w:vAlign w:val="center"/>
            <w:hideMark/>
          </w:tcPr>
          <w:p w14:paraId="38FD5B78" w14:textId="77777777" w:rsidR="00000000" w:rsidRDefault="003A1B5D">
            <w:pPr>
              <w:rPr>
                <w:rFonts w:eastAsia="Times New Roman"/>
                <w:sz w:val="20"/>
                <w:szCs w:val="20"/>
              </w:rPr>
            </w:pPr>
          </w:p>
        </w:tc>
        <w:tc>
          <w:tcPr>
            <w:tcW w:w="183" w:type="pct"/>
            <w:vAlign w:val="center"/>
            <w:hideMark/>
          </w:tcPr>
          <w:p w14:paraId="6AAAD871" w14:textId="77777777" w:rsidR="00000000" w:rsidRDefault="003A1B5D">
            <w:pPr>
              <w:rPr>
                <w:rFonts w:eastAsia="Times New Roman"/>
                <w:sz w:val="20"/>
                <w:szCs w:val="20"/>
              </w:rPr>
            </w:pPr>
          </w:p>
        </w:tc>
      </w:tr>
      <w:tr w:rsidR="00000000" w14:paraId="6B272347" w14:textId="77777777">
        <w:trPr>
          <w:trHeight w:val="200"/>
          <w:tblCellSpacing w:w="15" w:type="dxa"/>
        </w:trPr>
        <w:tc>
          <w:tcPr>
            <w:tcW w:w="0" w:type="auto"/>
            <w:vAlign w:val="bottom"/>
            <w:hideMark/>
          </w:tcPr>
          <w:p w14:paraId="6E76AC84" w14:textId="77777777" w:rsidR="00000000" w:rsidRDefault="003A1B5D">
            <w:pPr>
              <w:pStyle w:val="a3"/>
              <w:spacing w:before="0" w:beforeAutospacing="0" w:after="0" w:afterAutospacing="0"/>
              <w:rPr>
                <w:sz w:val="20"/>
                <w:szCs w:val="20"/>
              </w:rPr>
            </w:pPr>
            <w:r>
              <w:rPr>
                <w:sz w:val="20"/>
                <w:szCs w:val="20"/>
              </w:rPr>
              <w:t>Large accelerated file</w:t>
            </w:r>
            <w:r>
              <w:rPr>
                <w:sz w:val="20"/>
                <w:szCs w:val="20"/>
              </w:rPr>
              <w:t>r</w:t>
            </w:r>
          </w:p>
        </w:tc>
        <w:tc>
          <w:tcPr>
            <w:tcW w:w="0" w:type="auto"/>
            <w:vAlign w:val="bottom"/>
            <w:hideMark/>
          </w:tcPr>
          <w:p w14:paraId="59C54953" w14:textId="77777777" w:rsidR="00000000" w:rsidRDefault="003A1B5D">
            <w:pPr>
              <w:pStyle w:val="a3"/>
              <w:spacing w:before="0" w:beforeAutospacing="0" w:after="0" w:afterAutospacing="0"/>
              <w:jc w:val="center"/>
              <w:rPr>
                <w:sz w:val="20"/>
                <w:szCs w:val="20"/>
              </w:rPr>
            </w:pPr>
            <w:r>
              <w:rPr>
                <w:rFonts w:ascii="Segoe UI Symbol" w:hAnsi="Segoe UI Symbol"/>
                <w:sz w:val="20"/>
                <w:szCs w:val="20"/>
              </w:rPr>
              <w:t>☒</w:t>
            </w:r>
          </w:p>
        </w:tc>
        <w:tc>
          <w:tcPr>
            <w:tcW w:w="0" w:type="auto"/>
            <w:vAlign w:val="bottom"/>
            <w:hideMark/>
          </w:tcPr>
          <w:p w14:paraId="009ADB4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FDB22BC" w14:textId="77777777" w:rsidR="00000000" w:rsidRDefault="003A1B5D">
            <w:pPr>
              <w:pStyle w:val="a3"/>
              <w:spacing w:before="0" w:beforeAutospacing="0" w:after="0" w:afterAutospacing="0"/>
              <w:rPr>
                <w:sz w:val="20"/>
                <w:szCs w:val="20"/>
              </w:rPr>
            </w:pPr>
            <w:r>
              <w:rPr>
                <w:sz w:val="20"/>
                <w:szCs w:val="20"/>
              </w:rPr>
              <w:t>Accelerated file</w:t>
            </w:r>
            <w:r>
              <w:rPr>
                <w:sz w:val="20"/>
                <w:szCs w:val="20"/>
              </w:rPr>
              <w:t>r</w:t>
            </w:r>
          </w:p>
        </w:tc>
        <w:tc>
          <w:tcPr>
            <w:tcW w:w="0" w:type="auto"/>
            <w:vAlign w:val="bottom"/>
            <w:hideMark/>
          </w:tcPr>
          <w:p w14:paraId="24D06E60" w14:textId="77777777" w:rsidR="00000000" w:rsidRDefault="003A1B5D">
            <w:pPr>
              <w:pStyle w:val="a3"/>
              <w:spacing w:before="0" w:beforeAutospacing="0" w:after="0" w:afterAutospacing="0"/>
              <w:jc w:val="center"/>
              <w:rPr>
                <w:sz w:val="20"/>
                <w:szCs w:val="20"/>
              </w:rPr>
            </w:pPr>
            <w:r>
              <w:rPr>
                <w:rFonts w:ascii="Segoe UI Symbol" w:hAnsi="Segoe UI Symbol"/>
                <w:sz w:val="20"/>
                <w:szCs w:val="20"/>
              </w:rPr>
              <w:t>☐</w:t>
            </w:r>
          </w:p>
        </w:tc>
      </w:tr>
      <w:tr w:rsidR="00000000" w14:paraId="1E3C0C4D" w14:textId="77777777">
        <w:trPr>
          <w:tblCellSpacing w:w="15" w:type="dxa"/>
        </w:trPr>
        <w:tc>
          <w:tcPr>
            <w:tcW w:w="0" w:type="auto"/>
            <w:vAlign w:val="bottom"/>
            <w:hideMark/>
          </w:tcPr>
          <w:p w14:paraId="578142CB" w14:textId="77777777" w:rsidR="00000000" w:rsidRDefault="003A1B5D">
            <w:pPr>
              <w:pStyle w:val="a3"/>
              <w:spacing w:before="0" w:beforeAutospacing="0" w:after="0" w:afterAutospacing="0"/>
              <w:rPr>
                <w:sz w:val="4"/>
                <w:szCs w:val="4"/>
              </w:rPr>
            </w:pPr>
            <w:r>
              <w:rPr>
                <w:sz w:val="4"/>
                <w:szCs w:val="4"/>
              </w:rPr>
              <w:t> </w:t>
            </w:r>
          </w:p>
        </w:tc>
        <w:tc>
          <w:tcPr>
            <w:tcW w:w="0" w:type="auto"/>
            <w:vAlign w:val="bottom"/>
            <w:hideMark/>
          </w:tcPr>
          <w:p w14:paraId="14EC4415" w14:textId="77777777" w:rsidR="00000000" w:rsidRDefault="003A1B5D">
            <w:pPr>
              <w:pStyle w:val="a3"/>
              <w:spacing w:before="0" w:beforeAutospacing="0" w:after="0" w:afterAutospacing="0"/>
              <w:jc w:val="center"/>
              <w:rPr>
                <w:sz w:val="4"/>
                <w:szCs w:val="4"/>
              </w:rPr>
            </w:pPr>
            <w:r>
              <w:rPr>
                <w:sz w:val="4"/>
                <w:szCs w:val="4"/>
              </w:rPr>
              <w:t> </w:t>
            </w:r>
          </w:p>
        </w:tc>
        <w:tc>
          <w:tcPr>
            <w:tcW w:w="0" w:type="auto"/>
            <w:vAlign w:val="bottom"/>
            <w:hideMark/>
          </w:tcPr>
          <w:p w14:paraId="46FCA768" w14:textId="77777777" w:rsidR="00000000" w:rsidRDefault="003A1B5D">
            <w:pPr>
              <w:pStyle w:val="a3"/>
              <w:spacing w:before="0" w:beforeAutospacing="0" w:after="0" w:afterAutospacing="0"/>
              <w:rPr>
                <w:sz w:val="4"/>
                <w:szCs w:val="4"/>
              </w:rPr>
            </w:pPr>
            <w:r>
              <w:rPr>
                <w:sz w:val="4"/>
                <w:szCs w:val="4"/>
              </w:rPr>
              <w:t> </w:t>
            </w:r>
          </w:p>
        </w:tc>
        <w:tc>
          <w:tcPr>
            <w:tcW w:w="0" w:type="auto"/>
            <w:vAlign w:val="bottom"/>
            <w:hideMark/>
          </w:tcPr>
          <w:p w14:paraId="65AF0916" w14:textId="77777777" w:rsidR="00000000" w:rsidRDefault="003A1B5D">
            <w:pPr>
              <w:pStyle w:val="a3"/>
              <w:spacing w:before="0" w:beforeAutospacing="0" w:after="0" w:afterAutospacing="0"/>
              <w:rPr>
                <w:sz w:val="4"/>
                <w:szCs w:val="4"/>
              </w:rPr>
            </w:pPr>
            <w:r>
              <w:rPr>
                <w:sz w:val="4"/>
                <w:szCs w:val="4"/>
              </w:rPr>
              <w:t> </w:t>
            </w:r>
          </w:p>
        </w:tc>
        <w:tc>
          <w:tcPr>
            <w:tcW w:w="0" w:type="auto"/>
            <w:vAlign w:val="bottom"/>
            <w:hideMark/>
          </w:tcPr>
          <w:p w14:paraId="06FC75B3" w14:textId="77777777" w:rsidR="00000000" w:rsidRDefault="003A1B5D">
            <w:pPr>
              <w:pStyle w:val="a3"/>
              <w:spacing w:before="0" w:beforeAutospacing="0" w:after="0" w:afterAutospacing="0"/>
              <w:jc w:val="center"/>
              <w:rPr>
                <w:sz w:val="4"/>
                <w:szCs w:val="4"/>
              </w:rPr>
            </w:pPr>
            <w:r>
              <w:rPr>
                <w:sz w:val="4"/>
                <w:szCs w:val="4"/>
              </w:rPr>
              <w:t> </w:t>
            </w:r>
          </w:p>
        </w:tc>
      </w:tr>
      <w:tr w:rsidR="00000000" w14:paraId="7C378BE1" w14:textId="77777777">
        <w:trPr>
          <w:trHeight w:val="200"/>
          <w:tblCellSpacing w:w="15" w:type="dxa"/>
        </w:trPr>
        <w:tc>
          <w:tcPr>
            <w:tcW w:w="0" w:type="auto"/>
            <w:vAlign w:val="bottom"/>
            <w:hideMark/>
          </w:tcPr>
          <w:p w14:paraId="00B0A943" w14:textId="77777777" w:rsidR="00000000" w:rsidRDefault="003A1B5D">
            <w:pPr>
              <w:pStyle w:val="a3"/>
              <w:spacing w:before="0" w:beforeAutospacing="0" w:after="0" w:afterAutospacing="0"/>
              <w:rPr>
                <w:sz w:val="20"/>
                <w:szCs w:val="20"/>
              </w:rPr>
            </w:pPr>
            <w:r>
              <w:rPr>
                <w:sz w:val="20"/>
                <w:szCs w:val="20"/>
              </w:rPr>
              <w:t>Non-accelerated file</w:t>
            </w:r>
            <w:r>
              <w:rPr>
                <w:sz w:val="20"/>
                <w:szCs w:val="20"/>
              </w:rPr>
              <w:t>r</w:t>
            </w:r>
          </w:p>
        </w:tc>
        <w:tc>
          <w:tcPr>
            <w:tcW w:w="0" w:type="auto"/>
            <w:vAlign w:val="bottom"/>
            <w:hideMark/>
          </w:tcPr>
          <w:p w14:paraId="145A272A" w14:textId="77777777" w:rsidR="00000000" w:rsidRDefault="003A1B5D">
            <w:pPr>
              <w:pStyle w:val="a3"/>
              <w:spacing w:before="0" w:beforeAutospacing="0" w:after="0" w:afterAutospacing="0"/>
              <w:jc w:val="center"/>
              <w:rPr>
                <w:sz w:val="20"/>
                <w:szCs w:val="20"/>
              </w:rPr>
            </w:pPr>
            <w:r>
              <w:rPr>
                <w:rFonts w:ascii="Segoe UI Symbol" w:hAnsi="Segoe UI Symbol"/>
                <w:sz w:val="20"/>
                <w:szCs w:val="20"/>
              </w:rPr>
              <w:t>☐</w:t>
            </w:r>
          </w:p>
        </w:tc>
        <w:tc>
          <w:tcPr>
            <w:tcW w:w="0" w:type="auto"/>
            <w:vAlign w:val="bottom"/>
            <w:hideMark/>
          </w:tcPr>
          <w:p w14:paraId="619D361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7313921" w14:textId="77777777" w:rsidR="00000000" w:rsidRDefault="003A1B5D">
            <w:pPr>
              <w:pStyle w:val="a3"/>
              <w:spacing w:before="0" w:beforeAutospacing="0" w:after="0" w:afterAutospacing="0"/>
              <w:rPr>
                <w:sz w:val="20"/>
                <w:szCs w:val="20"/>
              </w:rPr>
            </w:pPr>
            <w:r>
              <w:rPr>
                <w:sz w:val="20"/>
                <w:szCs w:val="20"/>
              </w:rPr>
              <w:t>Smaller reporting compan</w:t>
            </w:r>
            <w:r>
              <w:rPr>
                <w:sz w:val="20"/>
                <w:szCs w:val="20"/>
              </w:rPr>
              <w:t>y</w:t>
            </w:r>
          </w:p>
        </w:tc>
        <w:tc>
          <w:tcPr>
            <w:tcW w:w="0" w:type="auto"/>
            <w:vAlign w:val="bottom"/>
            <w:hideMark/>
          </w:tcPr>
          <w:p w14:paraId="666999A0" w14:textId="77777777" w:rsidR="00000000" w:rsidRDefault="003A1B5D">
            <w:pPr>
              <w:pStyle w:val="a3"/>
              <w:spacing w:before="0" w:beforeAutospacing="0" w:after="0" w:afterAutospacing="0"/>
              <w:jc w:val="center"/>
              <w:rPr>
                <w:sz w:val="20"/>
                <w:szCs w:val="20"/>
              </w:rPr>
            </w:pPr>
            <w:r>
              <w:rPr>
                <w:rFonts w:ascii="Segoe UI Symbol" w:hAnsi="Segoe UI Symbol"/>
                <w:sz w:val="20"/>
                <w:szCs w:val="20"/>
              </w:rPr>
              <w:t>☐</w:t>
            </w:r>
          </w:p>
        </w:tc>
      </w:tr>
      <w:tr w:rsidR="00000000" w14:paraId="3DEA108C" w14:textId="77777777">
        <w:trPr>
          <w:tblCellSpacing w:w="15" w:type="dxa"/>
        </w:trPr>
        <w:tc>
          <w:tcPr>
            <w:tcW w:w="0" w:type="auto"/>
            <w:vAlign w:val="bottom"/>
            <w:hideMark/>
          </w:tcPr>
          <w:p w14:paraId="79FE2122" w14:textId="77777777" w:rsidR="00000000" w:rsidRDefault="003A1B5D">
            <w:pPr>
              <w:pStyle w:val="a3"/>
              <w:spacing w:before="0" w:beforeAutospacing="0" w:after="0" w:afterAutospacing="0"/>
              <w:rPr>
                <w:sz w:val="4"/>
                <w:szCs w:val="4"/>
              </w:rPr>
            </w:pPr>
            <w:r>
              <w:rPr>
                <w:sz w:val="4"/>
                <w:szCs w:val="4"/>
              </w:rPr>
              <w:t> </w:t>
            </w:r>
          </w:p>
        </w:tc>
        <w:tc>
          <w:tcPr>
            <w:tcW w:w="0" w:type="auto"/>
            <w:vAlign w:val="bottom"/>
            <w:hideMark/>
          </w:tcPr>
          <w:p w14:paraId="254A12DC" w14:textId="77777777" w:rsidR="00000000" w:rsidRDefault="003A1B5D">
            <w:pPr>
              <w:pStyle w:val="a3"/>
              <w:spacing w:before="0" w:beforeAutospacing="0" w:after="0" w:afterAutospacing="0"/>
              <w:jc w:val="center"/>
              <w:rPr>
                <w:sz w:val="4"/>
                <w:szCs w:val="4"/>
              </w:rPr>
            </w:pPr>
            <w:r>
              <w:rPr>
                <w:sz w:val="4"/>
                <w:szCs w:val="4"/>
              </w:rPr>
              <w:t> </w:t>
            </w:r>
          </w:p>
        </w:tc>
        <w:tc>
          <w:tcPr>
            <w:tcW w:w="0" w:type="auto"/>
            <w:vAlign w:val="bottom"/>
            <w:hideMark/>
          </w:tcPr>
          <w:p w14:paraId="25C23EFE" w14:textId="77777777" w:rsidR="00000000" w:rsidRDefault="003A1B5D">
            <w:pPr>
              <w:pStyle w:val="a3"/>
              <w:spacing w:before="0" w:beforeAutospacing="0" w:after="0" w:afterAutospacing="0"/>
              <w:rPr>
                <w:sz w:val="4"/>
                <w:szCs w:val="4"/>
              </w:rPr>
            </w:pPr>
            <w:r>
              <w:rPr>
                <w:sz w:val="4"/>
                <w:szCs w:val="4"/>
              </w:rPr>
              <w:t> </w:t>
            </w:r>
          </w:p>
        </w:tc>
        <w:tc>
          <w:tcPr>
            <w:tcW w:w="0" w:type="auto"/>
            <w:vAlign w:val="bottom"/>
            <w:hideMark/>
          </w:tcPr>
          <w:p w14:paraId="27F74B2D" w14:textId="77777777" w:rsidR="00000000" w:rsidRDefault="003A1B5D">
            <w:pPr>
              <w:pStyle w:val="a3"/>
              <w:spacing w:before="0" w:beforeAutospacing="0" w:after="0" w:afterAutospacing="0"/>
              <w:rPr>
                <w:sz w:val="4"/>
                <w:szCs w:val="4"/>
              </w:rPr>
            </w:pPr>
            <w:r>
              <w:rPr>
                <w:sz w:val="4"/>
                <w:szCs w:val="4"/>
              </w:rPr>
              <w:t> </w:t>
            </w:r>
          </w:p>
        </w:tc>
        <w:tc>
          <w:tcPr>
            <w:tcW w:w="0" w:type="auto"/>
            <w:vAlign w:val="bottom"/>
            <w:hideMark/>
          </w:tcPr>
          <w:p w14:paraId="550BB9F7" w14:textId="77777777" w:rsidR="00000000" w:rsidRDefault="003A1B5D">
            <w:pPr>
              <w:pStyle w:val="a3"/>
              <w:spacing w:before="0" w:beforeAutospacing="0" w:after="0" w:afterAutospacing="0"/>
              <w:jc w:val="center"/>
              <w:rPr>
                <w:sz w:val="4"/>
                <w:szCs w:val="4"/>
              </w:rPr>
            </w:pPr>
            <w:r>
              <w:rPr>
                <w:sz w:val="4"/>
                <w:szCs w:val="4"/>
              </w:rPr>
              <w:t> </w:t>
            </w:r>
          </w:p>
        </w:tc>
      </w:tr>
      <w:tr w:rsidR="00000000" w14:paraId="696F3468" w14:textId="77777777">
        <w:trPr>
          <w:trHeight w:val="200"/>
          <w:tblCellSpacing w:w="15" w:type="dxa"/>
        </w:trPr>
        <w:tc>
          <w:tcPr>
            <w:tcW w:w="0" w:type="auto"/>
            <w:vAlign w:val="bottom"/>
            <w:hideMark/>
          </w:tcPr>
          <w:p w14:paraId="5789A034" w14:textId="77777777" w:rsidR="00000000" w:rsidRDefault="003A1B5D">
            <w:pPr>
              <w:pStyle w:val="a3"/>
              <w:spacing w:before="0" w:beforeAutospacing="0" w:after="0" w:afterAutospacing="0"/>
              <w:rPr>
                <w:sz w:val="20"/>
                <w:szCs w:val="20"/>
              </w:rPr>
            </w:pPr>
            <w:r>
              <w:rPr>
                <w:sz w:val="20"/>
                <w:szCs w:val="20"/>
              </w:rPr>
              <w:lastRenderedPageBreak/>
              <w:t>Emerging growth compan</w:t>
            </w:r>
            <w:r>
              <w:rPr>
                <w:sz w:val="20"/>
                <w:szCs w:val="20"/>
              </w:rPr>
              <w:t>y</w:t>
            </w:r>
          </w:p>
        </w:tc>
        <w:tc>
          <w:tcPr>
            <w:tcW w:w="0" w:type="auto"/>
            <w:vAlign w:val="bottom"/>
            <w:hideMark/>
          </w:tcPr>
          <w:p w14:paraId="55D3C075" w14:textId="77777777" w:rsidR="00000000" w:rsidRDefault="003A1B5D">
            <w:pPr>
              <w:pStyle w:val="a3"/>
              <w:spacing w:before="0" w:beforeAutospacing="0" w:after="0" w:afterAutospacing="0"/>
              <w:jc w:val="center"/>
              <w:rPr>
                <w:sz w:val="20"/>
                <w:szCs w:val="20"/>
              </w:rPr>
            </w:pPr>
            <w:r>
              <w:rPr>
                <w:rFonts w:ascii="Segoe UI Symbol" w:hAnsi="Segoe UI Symbol"/>
                <w:sz w:val="20"/>
                <w:szCs w:val="20"/>
              </w:rPr>
              <w:t>☐</w:t>
            </w:r>
          </w:p>
        </w:tc>
        <w:tc>
          <w:tcPr>
            <w:tcW w:w="0" w:type="auto"/>
            <w:vAlign w:val="bottom"/>
            <w:hideMark/>
          </w:tcPr>
          <w:p w14:paraId="378B32F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22F7EE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3254FB2" w14:textId="77777777" w:rsidR="00000000" w:rsidRDefault="003A1B5D">
            <w:pPr>
              <w:pStyle w:val="a3"/>
              <w:spacing w:before="0" w:beforeAutospacing="0" w:after="0" w:afterAutospacing="0"/>
              <w:jc w:val="center"/>
              <w:rPr>
                <w:sz w:val="20"/>
                <w:szCs w:val="20"/>
              </w:rPr>
            </w:pPr>
            <w:r>
              <w:rPr>
                <w:sz w:val="20"/>
                <w:szCs w:val="20"/>
              </w:rPr>
              <w:t> </w:t>
            </w:r>
          </w:p>
        </w:tc>
      </w:tr>
    </w:tbl>
    <w:p w14:paraId="6A3A6454" w14:textId="77777777" w:rsidR="00000000" w:rsidRDefault="003A1B5D">
      <w:pPr>
        <w:pStyle w:val="a3"/>
        <w:spacing w:before="0" w:beforeAutospacing="0" w:after="0" w:afterAutospacing="0"/>
        <w:rPr>
          <w:sz w:val="20"/>
          <w:szCs w:val="20"/>
        </w:rPr>
      </w:pPr>
      <w:r>
        <w:rPr>
          <w:sz w:val="20"/>
          <w:szCs w:val="20"/>
        </w:rPr>
        <w:t> </w:t>
      </w:r>
    </w:p>
    <w:p w14:paraId="5D27CF98" w14:textId="77777777" w:rsidR="00000000" w:rsidRDefault="003A1B5D">
      <w:pPr>
        <w:pStyle w:val="a3"/>
        <w:spacing w:before="0" w:beforeAutospacing="0" w:after="0" w:afterAutospacing="0"/>
        <w:jc w:val="both"/>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sz w:val="20"/>
          <w:szCs w:val="20"/>
        </w:rPr>
        <w:t xml:space="preserve"> </w:t>
      </w:r>
      <w:r>
        <w:rPr>
          <w:rFonts w:ascii="Segoe UI Symbol" w:hAnsi="Segoe UI Symbol"/>
          <w:sz w:val="20"/>
          <w:szCs w:val="20"/>
        </w:rPr>
        <w:t>☐</w:t>
      </w:r>
    </w:p>
    <w:p w14:paraId="5B53D555" w14:textId="77777777" w:rsidR="00000000" w:rsidRDefault="003A1B5D">
      <w:pPr>
        <w:pStyle w:val="a3"/>
        <w:spacing w:before="40" w:beforeAutospacing="0" w:after="0" w:afterAutospacing="0"/>
        <w:jc w:val="both"/>
        <w:rPr>
          <w:sz w:val="20"/>
          <w:szCs w:val="20"/>
        </w:rPr>
      </w:pPr>
      <w:r>
        <w:rPr>
          <w:sz w:val="20"/>
          <w:szCs w:val="20"/>
        </w:rPr>
        <w:t>Ind</w:t>
      </w:r>
      <w:r>
        <w:rPr>
          <w:sz w:val="20"/>
          <w:szCs w:val="20"/>
        </w:rPr>
        <w:t>icate by check mark whether the registrant is a shell company (as defined in Rule 12b-2 of the Exchange Act). Yes</w:t>
      </w:r>
      <w:r>
        <w:rPr>
          <w:sz w:val="20"/>
          <w:szCs w:val="20"/>
        </w:rPr>
        <w:t xml:space="preserve"> </w:t>
      </w:r>
      <w:r>
        <w:rPr>
          <w:rFonts w:ascii="Segoe UI Symbol" w:hAnsi="Segoe UI Symbol"/>
          <w:sz w:val="20"/>
          <w:szCs w:val="20"/>
        </w:rPr>
        <w:t>☐</w:t>
      </w:r>
      <w:r>
        <w:rPr>
          <w:sz w:val="20"/>
          <w:szCs w:val="20"/>
        </w:rPr>
        <w:t xml:space="preserve"> No</w:t>
      </w:r>
      <w:r>
        <w:rPr>
          <w:sz w:val="20"/>
          <w:szCs w:val="20"/>
        </w:rPr>
        <w:t xml:space="preserve"> </w:t>
      </w:r>
      <w:r>
        <w:rPr>
          <w:rFonts w:ascii="Segoe UI Symbol" w:hAnsi="Segoe UI Symbol"/>
          <w:sz w:val="20"/>
          <w:szCs w:val="20"/>
        </w:rPr>
        <w:t>☒</w:t>
      </w:r>
    </w:p>
    <w:p w14:paraId="3A2BF2EC" w14:textId="77777777" w:rsidR="00000000" w:rsidRDefault="003A1B5D">
      <w:pPr>
        <w:pStyle w:val="a3"/>
        <w:spacing w:before="40" w:beforeAutospacing="0" w:after="0" w:afterAutospacing="0"/>
        <w:jc w:val="both"/>
        <w:rPr>
          <w:sz w:val="20"/>
          <w:szCs w:val="20"/>
        </w:rPr>
      </w:pPr>
      <w:r>
        <w:rPr>
          <w:sz w:val="20"/>
          <w:szCs w:val="20"/>
        </w:rPr>
        <w:t>Indicate the number of shares outstanding of each class of Common Stock as of October 28, 2022</w:t>
      </w:r>
      <w:r>
        <w:rPr>
          <w:sz w:val="20"/>
          <w:szCs w:val="20"/>
        </w:rPr>
        <w:t>:</w:t>
      </w:r>
    </w:p>
    <w:p w14:paraId="431327CB" w14:textId="77777777" w:rsidR="00000000" w:rsidRDefault="003A1B5D">
      <w:pPr>
        <w:pStyle w:val="a3"/>
        <w:spacing w:before="40" w:beforeAutospacing="0" w:after="0" w:afterAutospacing="0"/>
        <w:jc w:val="center"/>
        <w:rPr>
          <w:sz w:val="20"/>
          <w:szCs w:val="20"/>
        </w:rPr>
      </w:pPr>
      <w:r>
        <w:rPr>
          <w:sz w:val="20"/>
          <w:szCs w:val="20"/>
        </w:rPr>
        <w:t>Shares of Common Stock, $0.01 par value</w:t>
      </w:r>
      <w:r>
        <w:rPr>
          <w:sz w:val="20"/>
          <w:szCs w:val="20"/>
        </w:rPr>
        <w:t xml:space="preserve"> per share:</w:t>
      </w:r>
      <w:r>
        <w:rPr>
          <w:sz w:val="20"/>
          <w:szCs w:val="20"/>
        </w:rPr>
        <w:t xml:space="preserve"> </w:t>
      </w:r>
      <w:r>
        <w:rPr>
          <w:sz w:val="20"/>
          <w:szCs w:val="20"/>
        </w:rPr>
        <w:t>114,981,16</w:t>
      </w:r>
      <w:r>
        <w:rPr>
          <w:sz w:val="20"/>
          <w:szCs w:val="20"/>
        </w:rPr>
        <w:t>5</w:t>
      </w:r>
      <w:r>
        <w:rPr>
          <w:sz w:val="20"/>
          <w:szCs w:val="20"/>
        </w:rPr>
        <w:t xml:space="preserve"> shares outstanding</w:t>
      </w:r>
      <w:r>
        <w:rPr>
          <w:sz w:val="20"/>
          <w:szCs w:val="20"/>
        </w:rPr>
        <w:t>.</w:t>
      </w:r>
    </w:p>
    <w:p w14:paraId="50EA6B57" w14:textId="77777777" w:rsidR="00000000" w:rsidRDefault="003A1B5D">
      <w:pPr>
        <w:rPr>
          <w:rFonts w:eastAsia="Times New Roman"/>
        </w:rPr>
      </w:pPr>
      <w:r>
        <w:rPr>
          <w:rFonts w:eastAsia="Times New Roman"/>
        </w:rPr>
        <w:pict w14:anchorId="55D8A528">
          <v:rect id="_x0000_i1025" style="width:0;height:1.5pt" o:hralign="center" o:hrstd="t" o:hr="t" fillcolor="#a0a0a0" stroked="f"/>
        </w:pict>
      </w:r>
    </w:p>
    <w:p w14:paraId="4C24C537" w14:textId="77777777" w:rsidR="00000000" w:rsidRDefault="003A1B5D">
      <w:pPr>
        <w:pStyle w:val="a3"/>
        <w:spacing w:before="0" w:beforeAutospacing="0" w:after="0" w:afterAutospacing="0"/>
        <w:jc w:val="center"/>
        <w:rPr>
          <w:sz w:val="20"/>
          <w:szCs w:val="20"/>
        </w:rPr>
      </w:pPr>
      <w:r>
        <w:rPr>
          <w:b/>
          <w:bCs/>
          <w:sz w:val="20"/>
          <w:szCs w:val="20"/>
        </w:rPr>
        <w:t>CORECIVIC, INC</w:t>
      </w:r>
      <w:r>
        <w:rPr>
          <w:b/>
          <w:bCs/>
          <w:sz w:val="20"/>
          <w:szCs w:val="20"/>
        </w:rPr>
        <w:t>.</w:t>
      </w:r>
    </w:p>
    <w:p w14:paraId="39AEBC4D" w14:textId="77777777" w:rsidR="00000000" w:rsidRDefault="003A1B5D">
      <w:pPr>
        <w:pStyle w:val="a3"/>
        <w:spacing w:before="0" w:beforeAutospacing="0" w:after="0" w:afterAutospacing="0"/>
        <w:jc w:val="center"/>
        <w:rPr>
          <w:sz w:val="20"/>
          <w:szCs w:val="20"/>
        </w:rPr>
      </w:pPr>
      <w:r>
        <w:rPr>
          <w:sz w:val="20"/>
          <w:szCs w:val="20"/>
        </w:rPr>
        <w:t> </w:t>
      </w:r>
    </w:p>
    <w:p w14:paraId="7F7AB055" w14:textId="77777777" w:rsidR="00000000" w:rsidRDefault="003A1B5D">
      <w:pPr>
        <w:pStyle w:val="a3"/>
        <w:spacing w:before="0" w:beforeAutospacing="0" w:after="0" w:afterAutospacing="0"/>
        <w:jc w:val="center"/>
        <w:rPr>
          <w:sz w:val="20"/>
          <w:szCs w:val="20"/>
        </w:rPr>
      </w:pPr>
      <w:r>
        <w:rPr>
          <w:b/>
          <w:bCs/>
          <w:sz w:val="20"/>
          <w:szCs w:val="20"/>
        </w:rPr>
        <w:t>FORM 10-</w:t>
      </w:r>
      <w:r>
        <w:rPr>
          <w:b/>
          <w:bCs/>
          <w:sz w:val="20"/>
          <w:szCs w:val="20"/>
        </w:rPr>
        <w:t>Q</w:t>
      </w:r>
    </w:p>
    <w:p w14:paraId="20CBAF55" w14:textId="77777777" w:rsidR="00000000" w:rsidRDefault="003A1B5D">
      <w:pPr>
        <w:pStyle w:val="a3"/>
        <w:spacing w:before="0" w:beforeAutospacing="0" w:after="0" w:afterAutospacing="0"/>
        <w:jc w:val="center"/>
        <w:rPr>
          <w:sz w:val="20"/>
          <w:szCs w:val="20"/>
        </w:rPr>
      </w:pPr>
      <w:r>
        <w:rPr>
          <w:sz w:val="20"/>
          <w:szCs w:val="20"/>
        </w:rPr>
        <w:t> </w:t>
      </w:r>
    </w:p>
    <w:p w14:paraId="41120C7F" w14:textId="77777777" w:rsidR="00000000" w:rsidRDefault="003A1B5D">
      <w:pPr>
        <w:pStyle w:val="a3"/>
        <w:spacing w:before="0" w:beforeAutospacing="0" w:after="0" w:afterAutospacing="0"/>
        <w:jc w:val="center"/>
        <w:rPr>
          <w:sz w:val="20"/>
          <w:szCs w:val="20"/>
        </w:rPr>
      </w:pPr>
      <w:r>
        <w:rPr>
          <w:b/>
          <w:bCs/>
          <w:sz w:val="20"/>
          <w:szCs w:val="20"/>
        </w:rPr>
        <w:t>FOR THE QUARTERLY PERIOD ENDED SEPTEMBER 30, 202</w:t>
      </w:r>
      <w:r>
        <w:rPr>
          <w:b/>
          <w:bCs/>
          <w:sz w:val="20"/>
          <w:szCs w:val="20"/>
        </w:rPr>
        <w:t>2</w:t>
      </w:r>
    </w:p>
    <w:p w14:paraId="6C763BF3" w14:textId="77777777" w:rsidR="00000000" w:rsidRDefault="003A1B5D">
      <w:pPr>
        <w:pStyle w:val="a3"/>
        <w:spacing w:before="0" w:beforeAutospacing="0" w:after="0" w:afterAutospacing="0"/>
        <w:jc w:val="center"/>
        <w:rPr>
          <w:sz w:val="20"/>
          <w:szCs w:val="20"/>
        </w:rPr>
      </w:pPr>
      <w:r>
        <w:rPr>
          <w:sz w:val="20"/>
          <w:szCs w:val="20"/>
        </w:rPr>
        <w:t> </w:t>
      </w:r>
    </w:p>
    <w:p w14:paraId="0EE6D4FD" w14:textId="77777777" w:rsidR="00000000" w:rsidRDefault="003A1B5D">
      <w:pPr>
        <w:pStyle w:val="a3"/>
        <w:spacing w:before="0" w:beforeAutospacing="0" w:after="0" w:afterAutospacing="0"/>
        <w:jc w:val="center"/>
        <w:rPr>
          <w:sz w:val="20"/>
          <w:szCs w:val="20"/>
        </w:rPr>
      </w:pPr>
      <w:r>
        <w:rPr>
          <w:b/>
          <w:bCs/>
          <w:sz w:val="20"/>
          <w:szCs w:val="20"/>
        </w:rPr>
        <w:t>INDE</w:t>
      </w:r>
      <w:r>
        <w:rPr>
          <w:b/>
          <w:bCs/>
          <w:sz w:val="20"/>
          <w:szCs w:val="20"/>
        </w:rPr>
        <w:t>X</w:t>
      </w:r>
    </w:p>
    <w:p w14:paraId="48859D31" w14:textId="77777777" w:rsidR="00000000" w:rsidRDefault="003A1B5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3"/>
        <w:gridCol w:w="110"/>
        <w:gridCol w:w="6845"/>
        <w:gridCol w:w="110"/>
        <w:gridCol w:w="598"/>
      </w:tblGrid>
      <w:tr w:rsidR="00000000" w14:paraId="23E53244" w14:textId="77777777">
        <w:trPr>
          <w:tblCellSpacing w:w="15" w:type="dxa"/>
        </w:trPr>
        <w:tc>
          <w:tcPr>
            <w:tcW w:w="389" w:type="pct"/>
            <w:vAlign w:val="center"/>
            <w:hideMark/>
          </w:tcPr>
          <w:p w14:paraId="48EC2BE1" w14:textId="77777777" w:rsidR="00000000" w:rsidRDefault="003A1B5D">
            <w:pPr>
              <w:rPr>
                <w:sz w:val="20"/>
                <w:szCs w:val="20"/>
              </w:rPr>
            </w:pPr>
          </w:p>
        </w:tc>
        <w:tc>
          <w:tcPr>
            <w:tcW w:w="51" w:type="pct"/>
            <w:vAlign w:val="center"/>
            <w:hideMark/>
          </w:tcPr>
          <w:p w14:paraId="275C30BB" w14:textId="77777777" w:rsidR="00000000" w:rsidRDefault="003A1B5D">
            <w:pPr>
              <w:rPr>
                <w:rFonts w:eastAsia="Times New Roman"/>
                <w:sz w:val="20"/>
                <w:szCs w:val="20"/>
              </w:rPr>
            </w:pPr>
          </w:p>
        </w:tc>
        <w:tc>
          <w:tcPr>
            <w:tcW w:w="4224" w:type="pct"/>
            <w:vAlign w:val="center"/>
            <w:hideMark/>
          </w:tcPr>
          <w:p w14:paraId="16C62F2F" w14:textId="77777777" w:rsidR="00000000" w:rsidRDefault="003A1B5D">
            <w:pPr>
              <w:rPr>
                <w:rFonts w:eastAsia="Times New Roman"/>
                <w:sz w:val="20"/>
                <w:szCs w:val="20"/>
              </w:rPr>
            </w:pPr>
          </w:p>
        </w:tc>
        <w:tc>
          <w:tcPr>
            <w:tcW w:w="51" w:type="pct"/>
            <w:vAlign w:val="center"/>
            <w:hideMark/>
          </w:tcPr>
          <w:p w14:paraId="4C0CC8DC" w14:textId="77777777" w:rsidR="00000000" w:rsidRDefault="003A1B5D">
            <w:pPr>
              <w:rPr>
                <w:rFonts w:eastAsia="Times New Roman"/>
                <w:sz w:val="20"/>
                <w:szCs w:val="20"/>
              </w:rPr>
            </w:pPr>
          </w:p>
        </w:tc>
        <w:tc>
          <w:tcPr>
            <w:tcW w:w="283" w:type="pct"/>
            <w:vAlign w:val="center"/>
            <w:hideMark/>
          </w:tcPr>
          <w:p w14:paraId="21826EE6" w14:textId="77777777" w:rsidR="00000000" w:rsidRDefault="003A1B5D">
            <w:pPr>
              <w:rPr>
                <w:rFonts w:eastAsia="Times New Roman"/>
                <w:sz w:val="20"/>
                <w:szCs w:val="20"/>
              </w:rPr>
            </w:pPr>
          </w:p>
        </w:tc>
      </w:tr>
      <w:tr w:rsidR="00000000" w14:paraId="782FFD18" w14:textId="77777777">
        <w:trPr>
          <w:trHeight w:val="200"/>
          <w:tblCellSpacing w:w="15" w:type="dxa"/>
        </w:trPr>
        <w:tc>
          <w:tcPr>
            <w:tcW w:w="0" w:type="auto"/>
            <w:gridSpan w:val="3"/>
            <w:hideMark/>
          </w:tcPr>
          <w:p w14:paraId="2AC623D6"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0E598703" w14:textId="77777777" w:rsidR="00000000" w:rsidRDefault="003A1B5D">
            <w:pPr>
              <w:pStyle w:val="a3"/>
              <w:spacing w:before="0" w:beforeAutospacing="0" w:after="0" w:afterAutospacing="0"/>
              <w:rPr>
                <w:sz w:val="20"/>
                <w:szCs w:val="20"/>
              </w:rPr>
            </w:pPr>
            <w:r>
              <w:rPr>
                <w:sz w:val="20"/>
                <w:szCs w:val="20"/>
              </w:rPr>
              <w:t> </w:t>
            </w:r>
          </w:p>
        </w:tc>
        <w:tc>
          <w:tcPr>
            <w:tcW w:w="0" w:type="auto"/>
            <w:tcBorders>
              <w:bottom w:val="single" w:sz="4" w:space="0" w:color="auto"/>
            </w:tcBorders>
            <w:hideMark/>
          </w:tcPr>
          <w:p w14:paraId="1B9D2F65" w14:textId="77777777" w:rsidR="00000000" w:rsidRDefault="003A1B5D">
            <w:pPr>
              <w:pStyle w:val="a3"/>
              <w:spacing w:before="0" w:beforeAutospacing="0" w:after="0" w:afterAutospacing="0"/>
              <w:jc w:val="center"/>
              <w:rPr>
                <w:sz w:val="20"/>
                <w:szCs w:val="20"/>
              </w:rPr>
            </w:pPr>
            <w:r>
              <w:rPr>
                <w:sz w:val="20"/>
                <w:szCs w:val="20"/>
              </w:rPr>
              <w:t>PAG</w:t>
            </w:r>
            <w:r>
              <w:rPr>
                <w:sz w:val="20"/>
                <w:szCs w:val="20"/>
              </w:rPr>
              <w:t>E</w:t>
            </w:r>
          </w:p>
        </w:tc>
      </w:tr>
      <w:tr w:rsidR="00000000" w14:paraId="2C41C01C" w14:textId="77777777">
        <w:trPr>
          <w:trHeight w:val="200"/>
          <w:tblCellSpacing w:w="15" w:type="dxa"/>
        </w:trPr>
        <w:tc>
          <w:tcPr>
            <w:tcW w:w="0" w:type="auto"/>
            <w:gridSpan w:val="3"/>
            <w:hideMark/>
          </w:tcPr>
          <w:p w14:paraId="640D85E4" w14:textId="77777777" w:rsidR="00000000" w:rsidRDefault="003A1B5D">
            <w:pPr>
              <w:pStyle w:val="a3"/>
              <w:spacing w:before="0" w:beforeAutospacing="0" w:after="0" w:afterAutospacing="0"/>
              <w:rPr>
                <w:sz w:val="20"/>
                <w:szCs w:val="20"/>
              </w:rPr>
            </w:pPr>
            <w:hyperlink w:anchor="part_i_financial_information" w:history="1">
              <w:r>
                <w:rPr>
                  <w:rStyle w:val="a4"/>
                  <w:b/>
                  <w:bCs/>
                  <w:sz w:val="20"/>
                  <w:szCs w:val="20"/>
                </w:rPr>
                <w:t>PART 1 – FINANCIAL INFORMATIO</w:t>
              </w:r>
              <w:r>
                <w:rPr>
                  <w:rStyle w:val="a4"/>
                  <w:b/>
                  <w:bCs/>
                  <w:sz w:val="20"/>
                  <w:szCs w:val="20"/>
                </w:rPr>
                <w:t>N</w:t>
              </w:r>
            </w:hyperlink>
          </w:p>
        </w:tc>
        <w:tc>
          <w:tcPr>
            <w:tcW w:w="0" w:type="auto"/>
            <w:hideMark/>
          </w:tcPr>
          <w:p w14:paraId="75D6658D"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3D02B760" w14:textId="77777777" w:rsidR="00000000" w:rsidRDefault="003A1B5D">
            <w:pPr>
              <w:pStyle w:val="a3"/>
              <w:spacing w:before="0" w:beforeAutospacing="0" w:after="0" w:afterAutospacing="0"/>
              <w:jc w:val="center"/>
              <w:rPr>
                <w:sz w:val="20"/>
                <w:szCs w:val="20"/>
              </w:rPr>
            </w:pPr>
            <w:r>
              <w:rPr>
                <w:sz w:val="20"/>
                <w:szCs w:val="20"/>
              </w:rPr>
              <w:t> </w:t>
            </w:r>
          </w:p>
        </w:tc>
      </w:tr>
      <w:tr w:rsidR="00000000" w14:paraId="743F5461" w14:textId="77777777">
        <w:trPr>
          <w:tblCellSpacing w:w="15" w:type="dxa"/>
        </w:trPr>
        <w:tc>
          <w:tcPr>
            <w:tcW w:w="0" w:type="auto"/>
            <w:hideMark/>
          </w:tcPr>
          <w:p w14:paraId="7173AAAA" w14:textId="77777777" w:rsidR="00000000" w:rsidRDefault="003A1B5D">
            <w:pPr>
              <w:pStyle w:val="a3"/>
              <w:spacing w:before="0" w:beforeAutospacing="0" w:after="0" w:afterAutospacing="0"/>
              <w:rPr>
                <w:sz w:val="12"/>
                <w:szCs w:val="12"/>
              </w:rPr>
            </w:pPr>
            <w:r>
              <w:rPr>
                <w:sz w:val="12"/>
                <w:szCs w:val="12"/>
              </w:rPr>
              <w:t> </w:t>
            </w:r>
          </w:p>
        </w:tc>
        <w:tc>
          <w:tcPr>
            <w:tcW w:w="0" w:type="auto"/>
            <w:hideMark/>
          </w:tcPr>
          <w:p w14:paraId="7D673A4F" w14:textId="77777777" w:rsidR="00000000" w:rsidRDefault="003A1B5D">
            <w:pPr>
              <w:pStyle w:val="a3"/>
              <w:spacing w:before="0" w:beforeAutospacing="0" w:after="0" w:afterAutospacing="0"/>
              <w:rPr>
                <w:sz w:val="12"/>
                <w:szCs w:val="12"/>
              </w:rPr>
            </w:pPr>
            <w:r>
              <w:rPr>
                <w:sz w:val="12"/>
                <w:szCs w:val="12"/>
              </w:rPr>
              <w:t> </w:t>
            </w:r>
          </w:p>
        </w:tc>
        <w:tc>
          <w:tcPr>
            <w:tcW w:w="0" w:type="auto"/>
            <w:hideMark/>
          </w:tcPr>
          <w:p w14:paraId="7C34E0F5" w14:textId="77777777" w:rsidR="00000000" w:rsidRDefault="003A1B5D">
            <w:pPr>
              <w:pStyle w:val="a3"/>
              <w:spacing w:before="0" w:beforeAutospacing="0" w:after="0" w:afterAutospacing="0"/>
              <w:rPr>
                <w:sz w:val="12"/>
                <w:szCs w:val="12"/>
              </w:rPr>
            </w:pPr>
            <w:r>
              <w:rPr>
                <w:sz w:val="12"/>
                <w:szCs w:val="12"/>
              </w:rPr>
              <w:t> </w:t>
            </w:r>
          </w:p>
        </w:tc>
        <w:tc>
          <w:tcPr>
            <w:tcW w:w="0" w:type="auto"/>
            <w:hideMark/>
          </w:tcPr>
          <w:p w14:paraId="13A70560" w14:textId="77777777" w:rsidR="00000000" w:rsidRDefault="003A1B5D">
            <w:pPr>
              <w:pStyle w:val="a3"/>
              <w:spacing w:before="0" w:beforeAutospacing="0" w:after="0" w:afterAutospacing="0"/>
              <w:rPr>
                <w:sz w:val="12"/>
                <w:szCs w:val="12"/>
              </w:rPr>
            </w:pPr>
            <w:r>
              <w:rPr>
                <w:sz w:val="12"/>
                <w:szCs w:val="12"/>
              </w:rPr>
              <w:t> </w:t>
            </w:r>
          </w:p>
        </w:tc>
        <w:tc>
          <w:tcPr>
            <w:tcW w:w="0" w:type="auto"/>
            <w:hideMark/>
          </w:tcPr>
          <w:p w14:paraId="0985FCC9" w14:textId="77777777" w:rsidR="00000000" w:rsidRDefault="003A1B5D">
            <w:pPr>
              <w:pStyle w:val="a3"/>
              <w:spacing w:before="0" w:beforeAutospacing="0" w:after="0" w:afterAutospacing="0"/>
              <w:rPr>
                <w:sz w:val="12"/>
                <w:szCs w:val="12"/>
              </w:rPr>
            </w:pPr>
            <w:r>
              <w:rPr>
                <w:sz w:val="12"/>
                <w:szCs w:val="12"/>
              </w:rPr>
              <w:t> </w:t>
            </w:r>
          </w:p>
        </w:tc>
      </w:tr>
      <w:tr w:rsidR="00000000" w14:paraId="6D74F52A" w14:textId="77777777">
        <w:trPr>
          <w:trHeight w:val="200"/>
          <w:tblCellSpacing w:w="15" w:type="dxa"/>
        </w:trPr>
        <w:tc>
          <w:tcPr>
            <w:tcW w:w="0" w:type="auto"/>
            <w:hideMark/>
          </w:tcPr>
          <w:p w14:paraId="3C94F145" w14:textId="77777777" w:rsidR="00000000" w:rsidRDefault="003A1B5D">
            <w:pPr>
              <w:pStyle w:val="a3"/>
              <w:spacing w:before="0" w:beforeAutospacing="0" w:after="0" w:afterAutospacing="0"/>
              <w:rPr>
                <w:sz w:val="20"/>
                <w:szCs w:val="20"/>
              </w:rPr>
            </w:pPr>
            <w:r>
              <w:rPr>
                <w:sz w:val="20"/>
                <w:szCs w:val="20"/>
              </w:rPr>
              <w:t>Item 1</w:t>
            </w:r>
            <w:r>
              <w:rPr>
                <w:sz w:val="20"/>
                <w:szCs w:val="20"/>
              </w:rPr>
              <w:t>.</w:t>
            </w:r>
          </w:p>
        </w:tc>
        <w:tc>
          <w:tcPr>
            <w:tcW w:w="0" w:type="auto"/>
            <w:hideMark/>
          </w:tcPr>
          <w:p w14:paraId="38F8AA6D"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36AEE094" w14:textId="77777777" w:rsidR="00000000" w:rsidRDefault="003A1B5D">
            <w:pPr>
              <w:pStyle w:val="a3"/>
              <w:spacing w:before="0" w:beforeAutospacing="0" w:after="0" w:afterAutospacing="0"/>
              <w:rPr>
                <w:sz w:val="20"/>
                <w:szCs w:val="20"/>
              </w:rPr>
            </w:pPr>
            <w:hyperlink w:anchor="item_1_financial_statements" w:history="1">
              <w:r>
                <w:rPr>
                  <w:rStyle w:val="a4"/>
                  <w:sz w:val="20"/>
                  <w:szCs w:val="20"/>
                </w:rPr>
                <w:t>Financial Statement</w:t>
              </w:r>
              <w:r>
                <w:rPr>
                  <w:rStyle w:val="a4"/>
                  <w:sz w:val="20"/>
                  <w:szCs w:val="20"/>
                </w:rPr>
                <w:t>s</w:t>
              </w:r>
            </w:hyperlink>
          </w:p>
        </w:tc>
        <w:tc>
          <w:tcPr>
            <w:tcW w:w="0" w:type="auto"/>
            <w:hideMark/>
          </w:tcPr>
          <w:p w14:paraId="6DEA6475"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541CBC69" w14:textId="77777777" w:rsidR="00000000" w:rsidRDefault="003A1B5D">
            <w:pPr>
              <w:pStyle w:val="a3"/>
              <w:spacing w:before="0" w:beforeAutospacing="0" w:after="0" w:afterAutospacing="0"/>
              <w:jc w:val="right"/>
              <w:rPr>
                <w:sz w:val="20"/>
                <w:szCs w:val="20"/>
              </w:rPr>
            </w:pPr>
            <w:r>
              <w:rPr>
                <w:sz w:val="20"/>
                <w:szCs w:val="20"/>
              </w:rPr>
              <w:t>1</w:t>
            </w:r>
          </w:p>
        </w:tc>
      </w:tr>
      <w:tr w:rsidR="00000000" w14:paraId="2DC7B023" w14:textId="77777777">
        <w:trPr>
          <w:trHeight w:val="200"/>
          <w:tblCellSpacing w:w="15" w:type="dxa"/>
        </w:trPr>
        <w:tc>
          <w:tcPr>
            <w:tcW w:w="0" w:type="auto"/>
            <w:hideMark/>
          </w:tcPr>
          <w:p w14:paraId="3AEE311D" w14:textId="77777777" w:rsidR="00000000" w:rsidRDefault="003A1B5D">
            <w:pPr>
              <w:pStyle w:val="a3"/>
              <w:spacing w:before="0" w:beforeAutospacing="0" w:after="0" w:afterAutospacing="0"/>
              <w:rPr>
                <w:sz w:val="20"/>
                <w:szCs w:val="20"/>
              </w:rPr>
            </w:pPr>
            <w:r>
              <w:rPr>
                <w:sz w:val="20"/>
                <w:szCs w:val="20"/>
              </w:rPr>
              <w:t>    a</w:t>
            </w:r>
            <w:r>
              <w:rPr>
                <w:sz w:val="20"/>
                <w:szCs w:val="20"/>
              </w:rPr>
              <w:t>)</w:t>
            </w:r>
          </w:p>
        </w:tc>
        <w:tc>
          <w:tcPr>
            <w:tcW w:w="0" w:type="auto"/>
            <w:hideMark/>
          </w:tcPr>
          <w:p w14:paraId="5EDEEBE4"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290C792C" w14:textId="77777777" w:rsidR="00000000" w:rsidRDefault="003A1B5D">
            <w:pPr>
              <w:pStyle w:val="a3"/>
              <w:spacing w:before="0" w:beforeAutospacing="0" w:after="0" w:afterAutospacing="0"/>
              <w:rPr>
                <w:sz w:val="20"/>
                <w:szCs w:val="20"/>
              </w:rPr>
            </w:pPr>
            <w:hyperlink w:anchor="consolidated_balance_sheets" w:history="1">
              <w:r>
                <w:rPr>
                  <w:rStyle w:val="a4"/>
                  <w:sz w:val="20"/>
                  <w:szCs w:val="20"/>
                </w:rPr>
                <w:t>Consolidated Balance Sheets as of September 30, 2022 (Unaudited) and December 31, 202</w:t>
              </w:r>
              <w:r>
                <w:rPr>
                  <w:rStyle w:val="a4"/>
                  <w:sz w:val="20"/>
                  <w:szCs w:val="20"/>
                </w:rPr>
                <w:t>1</w:t>
              </w:r>
            </w:hyperlink>
          </w:p>
        </w:tc>
        <w:tc>
          <w:tcPr>
            <w:tcW w:w="0" w:type="auto"/>
            <w:hideMark/>
          </w:tcPr>
          <w:p w14:paraId="5E9163AD"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0AA9C3C2" w14:textId="77777777" w:rsidR="00000000" w:rsidRDefault="003A1B5D">
            <w:pPr>
              <w:pStyle w:val="a3"/>
              <w:spacing w:before="0" w:beforeAutospacing="0" w:after="0" w:afterAutospacing="0"/>
              <w:jc w:val="right"/>
              <w:rPr>
                <w:sz w:val="20"/>
                <w:szCs w:val="20"/>
              </w:rPr>
            </w:pPr>
            <w:r>
              <w:rPr>
                <w:sz w:val="20"/>
                <w:szCs w:val="20"/>
              </w:rPr>
              <w:t>1</w:t>
            </w:r>
          </w:p>
        </w:tc>
      </w:tr>
      <w:tr w:rsidR="00000000" w14:paraId="635BC39D" w14:textId="77777777">
        <w:trPr>
          <w:trHeight w:val="200"/>
          <w:tblCellSpacing w:w="15" w:type="dxa"/>
        </w:trPr>
        <w:tc>
          <w:tcPr>
            <w:tcW w:w="0" w:type="auto"/>
            <w:hideMark/>
          </w:tcPr>
          <w:p w14:paraId="60BCED34" w14:textId="77777777" w:rsidR="00000000" w:rsidRDefault="003A1B5D">
            <w:pPr>
              <w:pStyle w:val="a3"/>
              <w:spacing w:before="0" w:beforeAutospacing="0" w:after="0" w:afterAutospacing="0"/>
              <w:rPr>
                <w:sz w:val="20"/>
                <w:szCs w:val="20"/>
              </w:rPr>
            </w:pPr>
            <w:r>
              <w:rPr>
                <w:sz w:val="20"/>
                <w:szCs w:val="20"/>
              </w:rPr>
              <w:t>    b</w:t>
            </w:r>
            <w:r>
              <w:rPr>
                <w:sz w:val="20"/>
                <w:szCs w:val="20"/>
              </w:rPr>
              <w:t>)</w:t>
            </w:r>
          </w:p>
        </w:tc>
        <w:tc>
          <w:tcPr>
            <w:tcW w:w="0" w:type="auto"/>
            <w:hideMark/>
          </w:tcPr>
          <w:p w14:paraId="4AE4D076"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471E2046" w14:textId="77777777" w:rsidR="00000000" w:rsidRDefault="003A1B5D">
            <w:pPr>
              <w:pStyle w:val="a3"/>
              <w:spacing w:before="0" w:beforeAutospacing="0" w:after="0" w:afterAutospacing="0"/>
              <w:jc w:val="both"/>
              <w:rPr>
                <w:sz w:val="20"/>
                <w:szCs w:val="20"/>
              </w:rPr>
            </w:pPr>
            <w:hyperlink w:anchor="consolidated_statements_of_operations" w:history="1">
              <w:r>
                <w:rPr>
                  <w:rStyle w:val="a4"/>
                  <w:sz w:val="20"/>
                  <w:szCs w:val="20"/>
                </w:rPr>
                <w:t>Consolidated Statements of Operations (Unaudi</w:t>
              </w:r>
              <w:r>
                <w:rPr>
                  <w:rStyle w:val="a4"/>
                  <w:sz w:val="20"/>
                  <w:szCs w:val="20"/>
                </w:rPr>
                <w:t>ted) for the three and nine months ended September 30, 2022 and 202</w:t>
              </w:r>
              <w:r>
                <w:rPr>
                  <w:rStyle w:val="a4"/>
                  <w:sz w:val="20"/>
                  <w:szCs w:val="20"/>
                </w:rPr>
                <w:t>1</w:t>
              </w:r>
            </w:hyperlink>
          </w:p>
        </w:tc>
        <w:tc>
          <w:tcPr>
            <w:tcW w:w="0" w:type="auto"/>
            <w:hideMark/>
          </w:tcPr>
          <w:p w14:paraId="69C8FC5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E865AF1" w14:textId="77777777" w:rsidR="00000000" w:rsidRDefault="003A1B5D">
            <w:pPr>
              <w:pStyle w:val="a3"/>
              <w:spacing w:before="0" w:beforeAutospacing="0" w:after="0" w:afterAutospacing="0"/>
              <w:jc w:val="right"/>
              <w:rPr>
                <w:sz w:val="20"/>
                <w:szCs w:val="20"/>
              </w:rPr>
            </w:pPr>
            <w:r>
              <w:rPr>
                <w:sz w:val="20"/>
                <w:szCs w:val="20"/>
              </w:rPr>
              <w:t>2</w:t>
            </w:r>
          </w:p>
        </w:tc>
      </w:tr>
      <w:tr w:rsidR="00000000" w14:paraId="50BA8912" w14:textId="77777777">
        <w:trPr>
          <w:trHeight w:val="200"/>
          <w:tblCellSpacing w:w="15" w:type="dxa"/>
        </w:trPr>
        <w:tc>
          <w:tcPr>
            <w:tcW w:w="0" w:type="auto"/>
            <w:hideMark/>
          </w:tcPr>
          <w:p w14:paraId="526C45BC" w14:textId="77777777" w:rsidR="00000000" w:rsidRDefault="003A1B5D">
            <w:pPr>
              <w:pStyle w:val="a3"/>
              <w:spacing w:before="0" w:beforeAutospacing="0" w:after="0" w:afterAutospacing="0"/>
              <w:rPr>
                <w:sz w:val="20"/>
                <w:szCs w:val="20"/>
              </w:rPr>
            </w:pPr>
            <w:r>
              <w:rPr>
                <w:sz w:val="20"/>
                <w:szCs w:val="20"/>
              </w:rPr>
              <w:t>    c</w:t>
            </w:r>
            <w:r>
              <w:rPr>
                <w:sz w:val="20"/>
                <w:szCs w:val="20"/>
              </w:rPr>
              <w:t>)</w:t>
            </w:r>
          </w:p>
        </w:tc>
        <w:tc>
          <w:tcPr>
            <w:tcW w:w="0" w:type="auto"/>
            <w:hideMark/>
          </w:tcPr>
          <w:p w14:paraId="1EBC2620"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330F5186" w14:textId="77777777" w:rsidR="00000000" w:rsidRDefault="003A1B5D">
            <w:pPr>
              <w:pStyle w:val="a3"/>
              <w:spacing w:before="0" w:beforeAutospacing="0" w:after="0" w:afterAutospacing="0"/>
              <w:jc w:val="both"/>
              <w:rPr>
                <w:sz w:val="20"/>
                <w:szCs w:val="20"/>
              </w:rPr>
            </w:pPr>
            <w:hyperlink w:anchor="consolidated_statements_cash_flows" w:history="1">
              <w:r>
                <w:rPr>
                  <w:rStyle w:val="a4"/>
                  <w:sz w:val="20"/>
                  <w:szCs w:val="20"/>
                </w:rPr>
                <w:t>Consolidated Statements of Cash Flows (Unaudited) for the nine months ended September 30, 2022 and 202</w:t>
              </w:r>
              <w:r>
                <w:rPr>
                  <w:rStyle w:val="a4"/>
                  <w:sz w:val="20"/>
                  <w:szCs w:val="20"/>
                </w:rPr>
                <w:t>1</w:t>
              </w:r>
            </w:hyperlink>
          </w:p>
        </w:tc>
        <w:tc>
          <w:tcPr>
            <w:tcW w:w="0" w:type="auto"/>
            <w:hideMark/>
          </w:tcPr>
          <w:p w14:paraId="6DB7487C"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2B64AFD7" w14:textId="77777777" w:rsidR="00000000" w:rsidRDefault="003A1B5D">
            <w:pPr>
              <w:pStyle w:val="a3"/>
              <w:spacing w:before="0" w:beforeAutospacing="0" w:after="0" w:afterAutospacing="0"/>
              <w:jc w:val="right"/>
              <w:rPr>
                <w:sz w:val="20"/>
                <w:szCs w:val="20"/>
              </w:rPr>
            </w:pPr>
            <w:r>
              <w:rPr>
                <w:sz w:val="20"/>
                <w:szCs w:val="20"/>
              </w:rPr>
              <w:t>3</w:t>
            </w:r>
          </w:p>
        </w:tc>
      </w:tr>
      <w:tr w:rsidR="00000000" w14:paraId="63A48A6B" w14:textId="77777777">
        <w:trPr>
          <w:trHeight w:val="200"/>
          <w:tblCellSpacing w:w="15" w:type="dxa"/>
        </w:trPr>
        <w:tc>
          <w:tcPr>
            <w:tcW w:w="0" w:type="auto"/>
            <w:hideMark/>
          </w:tcPr>
          <w:p w14:paraId="1F2959B3" w14:textId="77777777" w:rsidR="00000000" w:rsidRDefault="003A1B5D">
            <w:pPr>
              <w:pStyle w:val="a3"/>
              <w:spacing w:before="0" w:beforeAutospacing="0" w:after="0" w:afterAutospacing="0"/>
              <w:rPr>
                <w:sz w:val="20"/>
                <w:szCs w:val="20"/>
              </w:rPr>
            </w:pPr>
            <w:r>
              <w:rPr>
                <w:sz w:val="20"/>
                <w:szCs w:val="20"/>
              </w:rPr>
              <w:t>    d</w:t>
            </w:r>
            <w:r>
              <w:rPr>
                <w:sz w:val="20"/>
                <w:szCs w:val="20"/>
              </w:rPr>
              <w:t>)</w:t>
            </w:r>
          </w:p>
        </w:tc>
        <w:tc>
          <w:tcPr>
            <w:tcW w:w="0" w:type="auto"/>
            <w:hideMark/>
          </w:tcPr>
          <w:p w14:paraId="1062D98F"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3B40F8E6" w14:textId="77777777" w:rsidR="00000000" w:rsidRDefault="003A1B5D">
            <w:pPr>
              <w:pStyle w:val="a3"/>
              <w:spacing w:before="0" w:beforeAutospacing="0" w:after="0" w:afterAutospacing="0"/>
              <w:jc w:val="both"/>
              <w:rPr>
                <w:sz w:val="20"/>
                <w:szCs w:val="20"/>
              </w:rPr>
            </w:pPr>
            <w:hyperlink w:anchor="statement_of_stockholders_equity" w:history="1">
              <w:r>
                <w:rPr>
                  <w:rStyle w:val="a4"/>
                  <w:sz w:val="20"/>
                  <w:szCs w:val="20"/>
                </w:rPr>
                <w:t>Consolidated Statement of Stockholders' Equity (Unaudited) for the quarterly period</w:t>
              </w:r>
              <w:r>
                <w:rPr>
                  <w:rStyle w:val="a4"/>
                  <w:sz w:val="20"/>
                  <w:szCs w:val="20"/>
                </w:rPr>
                <w:t>s ended September 30, 202</w:t>
              </w:r>
              <w:r>
                <w:rPr>
                  <w:rStyle w:val="a4"/>
                  <w:sz w:val="20"/>
                  <w:szCs w:val="20"/>
                </w:rPr>
                <w:t>2</w:t>
              </w:r>
            </w:hyperlink>
          </w:p>
        </w:tc>
        <w:tc>
          <w:tcPr>
            <w:tcW w:w="0" w:type="auto"/>
            <w:hideMark/>
          </w:tcPr>
          <w:p w14:paraId="46996100"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052B27DA" w14:textId="77777777" w:rsidR="00000000" w:rsidRDefault="003A1B5D">
            <w:pPr>
              <w:pStyle w:val="a3"/>
              <w:spacing w:before="0" w:beforeAutospacing="0" w:after="0" w:afterAutospacing="0"/>
              <w:jc w:val="right"/>
              <w:rPr>
                <w:sz w:val="20"/>
                <w:szCs w:val="20"/>
              </w:rPr>
            </w:pPr>
            <w:r>
              <w:rPr>
                <w:sz w:val="20"/>
                <w:szCs w:val="20"/>
              </w:rPr>
              <w:t>4</w:t>
            </w:r>
          </w:p>
        </w:tc>
      </w:tr>
      <w:tr w:rsidR="00000000" w14:paraId="587B6F3D" w14:textId="77777777">
        <w:trPr>
          <w:trHeight w:val="200"/>
          <w:tblCellSpacing w:w="15" w:type="dxa"/>
        </w:trPr>
        <w:tc>
          <w:tcPr>
            <w:tcW w:w="0" w:type="auto"/>
            <w:hideMark/>
          </w:tcPr>
          <w:p w14:paraId="3A5F1BDD" w14:textId="77777777" w:rsidR="00000000" w:rsidRDefault="003A1B5D">
            <w:pPr>
              <w:pStyle w:val="a3"/>
              <w:spacing w:before="0" w:beforeAutospacing="0" w:after="0" w:afterAutospacing="0"/>
              <w:rPr>
                <w:sz w:val="20"/>
                <w:szCs w:val="20"/>
              </w:rPr>
            </w:pPr>
            <w:r>
              <w:rPr>
                <w:sz w:val="20"/>
                <w:szCs w:val="20"/>
              </w:rPr>
              <w:t>    e</w:t>
            </w:r>
            <w:r>
              <w:rPr>
                <w:sz w:val="20"/>
                <w:szCs w:val="20"/>
              </w:rPr>
              <w:t>)</w:t>
            </w:r>
          </w:p>
        </w:tc>
        <w:tc>
          <w:tcPr>
            <w:tcW w:w="0" w:type="auto"/>
            <w:hideMark/>
          </w:tcPr>
          <w:p w14:paraId="6DBCC3D3"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7DB16DFC" w14:textId="77777777" w:rsidR="00000000" w:rsidRDefault="003A1B5D">
            <w:pPr>
              <w:pStyle w:val="a3"/>
              <w:spacing w:before="0" w:beforeAutospacing="0" w:after="0" w:afterAutospacing="0"/>
              <w:jc w:val="both"/>
              <w:rPr>
                <w:sz w:val="20"/>
                <w:szCs w:val="20"/>
              </w:rPr>
            </w:pPr>
            <w:hyperlink w:anchor="statement_of_stockholders_equity_2" w:history="1">
              <w:r>
                <w:rPr>
                  <w:rStyle w:val="a4"/>
                  <w:sz w:val="20"/>
                  <w:szCs w:val="20"/>
                </w:rPr>
                <w:t>Consolidated Statement of Stockholders' Equity (Unaudited) for the quarterly periods ended September 30, 202</w:t>
              </w:r>
              <w:r>
                <w:rPr>
                  <w:rStyle w:val="a4"/>
                  <w:sz w:val="20"/>
                  <w:szCs w:val="20"/>
                </w:rPr>
                <w:t>1</w:t>
              </w:r>
            </w:hyperlink>
          </w:p>
        </w:tc>
        <w:tc>
          <w:tcPr>
            <w:tcW w:w="0" w:type="auto"/>
            <w:hideMark/>
          </w:tcPr>
          <w:p w14:paraId="1AD551F6"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04B61620" w14:textId="77777777" w:rsidR="00000000" w:rsidRDefault="003A1B5D">
            <w:pPr>
              <w:pStyle w:val="a3"/>
              <w:spacing w:before="0" w:beforeAutospacing="0" w:after="0" w:afterAutospacing="0"/>
              <w:jc w:val="right"/>
              <w:rPr>
                <w:sz w:val="20"/>
                <w:szCs w:val="20"/>
              </w:rPr>
            </w:pPr>
            <w:r>
              <w:rPr>
                <w:sz w:val="20"/>
                <w:szCs w:val="20"/>
              </w:rPr>
              <w:t>5</w:t>
            </w:r>
          </w:p>
        </w:tc>
      </w:tr>
      <w:tr w:rsidR="00000000" w14:paraId="6A1042F3" w14:textId="77777777">
        <w:trPr>
          <w:trHeight w:val="200"/>
          <w:tblCellSpacing w:w="15" w:type="dxa"/>
        </w:trPr>
        <w:tc>
          <w:tcPr>
            <w:tcW w:w="0" w:type="auto"/>
            <w:hideMark/>
          </w:tcPr>
          <w:p w14:paraId="1267580C" w14:textId="77777777" w:rsidR="00000000" w:rsidRDefault="003A1B5D">
            <w:pPr>
              <w:pStyle w:val="a3"/>
              <w:spacing w:before="0" w:beforeAutospacing="0" w:after="0" w:afterAutospacing="0"/>
              <w:rPr>
                <w:sz w:val="20"/>
                <w:szCs w:val="20"/>
              </w:rPr>
            </w:pPr>
            <w:r>
              <w:rPr>
                <w:sz w:val="20"/>
                <w:szCs w:val="20"/>
              </w:rPr>
              <w:t>    f</w:t>
            </w:r>
            <w:r>
              <w:rPr>
                <w:sz w:val="20"/>
                <w:szCs w:val="20"/>
              </w:rPr>
              <w:t>)</w:t>
            </w:r>
          </w:p>
        </w:tc>
        <w:tc>
          <w:tcPr>
            <w:tcW w:w="0" w:type="auto"/>
            <w:hideMark/>
          </w:tcPr>
          <w:p w14:paraId="21A97284"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7C9B0798" w14:textId="77777777" w:rsidR="00000000" w:rsidRDefault="003A1B5D">
            <w:pPr>
              <w:pStyle w:val="a3"/>
              <w:spacing w:before="0" w:beforeAutospacing="0" w:after="0" w:afterAutospacing="0"/>
              <w:rPr>
                <w:sz w:val="20"/>
                <w:szCs w:val="20"/>
              </w:rPr>
            </w:pPr>
            <w:hyperlink w:anchor="notes_to_consolidated_financial_stateme" w:history="1">
              <w:r>
                <w:rPr>
                  <w:rStyle w:val="a4"/>
                  <w:sz w:val="20"/>
                  <w:szCs w:val="20"/>
                </w:rPr>
                <w:t>Notes to Consolidated Financial Statements (Unaudited</w:t>
              </w:r>
              <w:r>
                <w:rPr>
                  <w:rStyle w:val="a4"/>
                  <w:sz w:val="20"/>
                  <w:szCs w:val="20"/>
                </w:rPr>
                <w:t>)</w:t>
              </w:r>
            </w:hyperlink>
          </w:p>
        </w:tc>
        <w:tc>
          <w:tcPr>
            <w:tcW w:w="0" w:type="auto"/>
            <w:hideMark/>
          </w:tcPr>
          <w:p w14:paraId="627F43A9"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47538488" w14:textId="77777777" w:rsidR="00000000" w:rsidRDefault="003A1B5D">
            <w:pPr>
              <w:pStyle w:val="a3"/>
              <w:spacing w:before="0" w:beforeAutospacing="0" w:after="0" w:afterAutospacing="0"/>
              <w:jc w:val="right"/>
              <w:rPr>
                <w:sz w:val="20"/>
                <w:szCs w:val="20"/>
              </w:rPr>
            </w:pPr>
            <w:r>
              <w:rPr>
                <w:sz w:val="20"/>
                <w:szCs w:val="20"/>
              </w:rPr>
              <w:t>6</w:t>
            </w:r>
          </w:p>
        </w:tc>
      </w:tr>
      <w:tr w:rsidR="00000000" w14:paraId="5FD73E18" w14:textId="77777777">
        <w:trPr>
          <w:trHeight w:val="200"/>
          <w:tblCellSpacing w:w="15" w:type="dxa"/>
        </w:trPr>
        <w:tc>
          <w:tcPr>
            <w:tcW w:w="0" w:type="auto"/>
            <w:hideMark/>
          </w:tcPr>
          <w:p w14:paraId="0CE5538D" w14:textId="77777777" w:rsidR="00000000" w:rsidRDefault="003A1B5D">
            <w:pPr>
              <w:pStyle w:val="a3"/>
              <w:spacing w:before="0" w:beforeAutospacing="0" w:after="0" w:afterAutospacing="0"/>
              <w:rPr>
                <w:sz w:val="20"/>
                <w:szCs w:val="20"/>
              </w:rPr>
            </w:pPr>
            <w:r>
              <w:rPr>
                <w:sz w:val="20"/>
                <w:szCs w:val="20"/>
              </w:rPr>
              <w:t>Item 2</w:t>
            </w:r>
            <w:r>
              <w:rPr>
                <w:sz w:val="20"/>
                <w:szCs w:val="20"/>
              </w:rPr>
              <w:t>.</w:t>
            </w:r>
          </w:p>
        </w:tc>
        <w:tc>
          <w:tcPr>
            <w:tcW w:w="0" w:type="auto"/>
            <w:hideMark/>
          </w:tcPr>
          <w:p w14:paraId="54C2F195"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55BAC528" w14:textId="77777777" w:rsidR="00000000" w:rsidRDefault="003A1B5D">
            <w:pPr>
              <w:pStyle w:val="a3"/>
              <w:spacing w:before="0" w:beforeAutospacing="0" w:after="0" w:afterAutospacing="0"/>
              <w:jc w:val="both"/>
              <w:rPr>
                <w:sz w:val="20"/>
                <w:szCs w:val="20"/>
              </w:rPr>
            </w:pPr>
            <w:hyperlink w:anchor="item_2_managements_discussion_and_anal" w:history="1">
              <w:r>
                <w:rPr>
                  <w:rStyle w:val="a4"/>
                  <w:sz w:val="20"/>
                  <w:szCs w:val="20"/>
                </w:rPr>
                <w:t>Management's Discussion and Analysis of Financial Condition and Results of Operation</w:t>
              </w:r>
              <w:r>
                <w:rPr>
                  <w:rStyle w:val="a4"/>
                  <w:sz w:val="20"/>
                  <w:szCs w:val="20"/>
                </w:rPr>
                <w:t>s</w:t>
              </w:r>
            </w:hyperlink>
          </w:p>
        </w:tc>
        <w:tc>
          <w:tcPr>
            <w:tcW w:w="0" w:type="auto"/>
            <w:hideMark/>
          </w:tcPr>
          <w:p w14:paraId="792A7C2D"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6DEAB2B8" w14:textId="77777777" w:rsidR="00000000" w:rsidRDefault="003A1B5D">
            <w:pPr>
              <w:pStyle w:val="a3"/>
              <w:spacing w:before="0" w:beforeAutospacing="0" w:after="0" w:afterAutospacing="0"/>
              <w:jc w:val="right"/>
              <w:rPr>
                <w:sz w:val="20"/>
                <w:szCs w:val="20"/>
              </w:rPr>
            </w:pPr>
            <w:r>
              <w:rPr>
                <w:sz w:val="20"/>
                <w:szCs w:val="20"/>
              </w:rPr>
              <w:t>2</w:t>
            </w:r>
            <w:r>
              <w:rPr>
                <w:sz w:val="20"/>
                <w:szCs w:val="20"/>
              </w:rPr>
              <w:t>0</w:t>
            </w:r>
          </w:p>
        </w:tc>
      </w:tr>
      <w:tr w:rsidR="00000000" w14:paraId="3436837D" w14:textId="77777777">
        <w:trPr>
          <w:trHeight w:val="200"/>
          <w:tblCellSpacing w:w="15" w:type="dxa"/>
        </w:trPr>
        <w:tc>
          <w:tcPr>
            <w:tcW w:w="0" w:type="auto"/>
            <w:hideMark/>
          </w:tcPr>
          <w:p w14:paraId="5F76054B" w14:textId="77777777" w:rsidR="00000000" w:rsidRDefault="003A1B5D">
            <w:pPr>
              <w:pStyle w:val="a3"/>
              <w:spacing w:before="0" w:beforeAutospacing="0" w:after="0" w:afterAutospacing="0"/>
              <w:rPr>
                <w:sz w:val="20"/>
                <w:szCs w:val="20"/>
              </w:rPr>
            </w:pPr>
            <w:r>
              <w:rPr>
                <w:sz w:val="20"/>
                <w:szCs w:val="20"/>
              </w:rPr>
              <w:t>Item 3</w:t>
            </w:r>
            <w:r>
              <w:rPr>
                <w:sz w:val="20"/>
                <w:szCs w:val="20"/>
              </w:rPr>
              <w:t>.</w:t>
            </w:r>
          </w:p>
        </w:tc>
        <w:tc>
          <w:tcPr>
            <w:tcW w:w="0" w:type="auto"/>
            <w:hideMark/>
          </w:tcPr>
          <w:p w14:paraId="4DB601A3"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5A699990" w14:textId="77777777" w:rsidR="00000000" w:rsidRDefault="003A1B5D">
            <w:pPr>
              <w:pStyle w:val="a3"/>
              <w:spacing w:before="0" w:beforeAutospacing="0" w:after="0" w:afterAutospacing="0"/>
              <w:rPr>
                <w:sz w:val="20"/>
                <w:szCs w:val="20"/>
              </w:rPr>
            </w:pPr>
            <w:hyperlink w:anchor="item_3_quantitative_and_qualitative_dis" w:history="1">
              <w:r>
                <w:rPr>
                  <w:rStyle w:val="a4"/>
                  <w:sz w:val="20"/>
                  <w:szCs w:val="20"/>
                </w:rPr>
                <w:t>Quantitative and Qualitative Disclosures About Market Ris</w:t>
              </w:r>
              <w:r>
                <w:rPr>
                  <w:rStyle w:val="a4"/>
                  <w:sz w:val="20"/>
                  <w:szCs w:val="20"/>
                </w:rPr>
                <w:t>k</w:t>
              </w:r>
            </w:hyperlink>
          </w:p>
        </w:tc>
        <w:tc>
          <w:tcPr>
            <w:tcW w:w="0" w:type="auto"/>
            <w:hideMark/>
          </w:tcPr>
          <w:p w14:paraId="203510DE"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2ED4C92D" w14:textId="77777777" w:rsidR="00000000" w:rsidRDefault="003A1B5D">
            <w:pPr>
              <w:pStyle w:val="a3"/>
              <w:spacing w:before="0" w:beforeAutospacing="0" w:after="0" w:afterAutospacing="0"/>
              <w:jc w:val="right"/>
              <w:rPr>
                <w:sz w:val="20"/>
                <w:szCs w:val="20"/>
              </w:rPr>
            </w:pPr>
            <w:r>
              <w:rPr>
                <w:sz w:val="20"/>
                <w:szCs w:val="20"/>
              </w:rPr>
              <w:t>4</w:t>
            </w:r>
            <w:r>
              <w:rPr>
                <w:sz w:val="20"/>
                <w:szCs w:val="20"/>
              </w:rPr>
              <w:t>4</w:t>
            </w:r>
          </w:p>
        </w:tc>
      </w:tr>
      <w:tr w:rsidR="00000000" w14:paraId="2601ECF5" w14:textId="77777777">
        <w:trPr>
          <w:trHeight w:val="200"/>
          <w:tblCellSpacing w:w="15" w:type="dxa"/>
        </w:trPr>
        <w:tc>
          <w:tcPr>
            <w:tcW w:w="0" w:type="auto"/>
            <w:hideMark/>
          </w:tcPr>
          <w:p w14:paraId="2A5F1878" w14:textId="77777777" w:rsidR="00000000" w:rsidRDefault="003A1B5D">
            <w:pPr>
              <w:pStyle w:val="a3"/>
              <w:spacing w:before="0" w:beforeAutospacing="0" w:after="0" w:afterAutospacing="0"/>
              <w:rPr>
                <w:sz w:val="20"/>
                <w:szCs w:val="20"/>
              </w:rPr>
            </w:pPr>
            <w:r>
              <w:rPr>
                <w:sz w:val="20"/>
                <w:szCs w:val="20"/>
              </w:rPr>
              <w:t>Item 4</w:t>
            </w:r>
            <w:r>
              <w:rPr>
                <w:sz w:val="20"/>
                <w:szCs w:val="20"/>
              </w:rPr>
              <w:t>.</w:t>
            </w:r>
          </w:p>
        </w:tc>
        <w:tc>
          <w:tcPr>
            <w:tcW w:w="0" w:type="auto"/>
            <w:hideMark/>
          </w:tcPr>
          <w:p w14:paraId="1D3A8711"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695C57FD" w14:textId="77777777" w:rsidR="00000000" w:rsidRDefault="003A1B5D">
            <w:pPr>
              <w:pStyle w:val="a3"/>
              <w:spacing w:before="0" w:beforeAutospacing="0" w:after="0" w:afterAutospacing="0"/>
              <w:rPr>
                <w:sz w:val="20"/>
                <w:szCs w:val="20"/>
              </w:rPr>
            </w:pPr>
            <w:hyperlink w:anchor="item_4_controls_and_procedures" w:history="1">
              <w:r>
                <w:rPr>
                  <w:rStyle w:val="a4"/>
                  <w:sz w:val="20"/>
                  <w:szCs w:val="20"/>
                </w:rPr>
                <w:t>Controls and Procedure</w:t>
              </w:r>
              <w:r>
                <w:rPr>
                  <w:rStyle w:val="a4"/>
                  <w:sz w:val="20"/>
                  <w:szCs w:val="20"/>
                </w:rPr>
                <w:t>s</w:t>
              </w:r>
            </w:hyperlink>
          </w:p>
        </w:tc>
        <w:tc>
          <w:tcPr>
            <w:tcW w:w="0" w:type="auto"/>
            <w:hideMark/>
          </w:tcPr>
          <w:p w14:paraId="16A86353"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54F71588" w14:textId="77777777" w:rsidR="00000000" w:rsidRDefault="003A1B5D">
            <w:pPr>
              <w:pStyle w:val="a3"/>
              <w:spacing w:before="0" w:beforeAutospacing="0" w:after="0" w:afterAutospacing="0"/>
              <w:jc w:val="right"/>
              <w:rPr>
                <w:sz w:val="20"/>
                <w:szCs w:val="20"/>
              </w:rPr>
            </w:pPr>
            <w:r>
              <w:rPr>
                <w:sz w:val="20"/>
                <w:szCs w:val="20"/>
              </w:rPr>
              <w:t>4</w:t>
            </w:r>
            <w:r>
              <w:rPr>
                <w:sz w:val="20"/>
                <w:szCs w:val="20"/>
              </w:rPr>
              <w:t>4</w:t>
            </w:r>
          </w:p>
        </w:tc>
      </w:tr>
      <w:tr w:rsidR="00000000" w14:paraId="3CC31CD8" w14:textId="77777777">
        <w:trPr>
          <w:tblCellSpacing w:w="15" w:type="dxa"/>
        </w:trPr>
        <w:tc>
          <w:tcPr>
            <w:tcW w:w="0" w:type="auto"/>
            <w:hideMark/>
          </w:tcPr>
          <w:p w14:paraId="32EC31B8" w14:textId="77777777" w:rsidR="00000000" w:rsidRDefault="003A1B5D">
            <w:pPr>
              <w:pStyle w:val="a3"/>
              <w:spacing w:before="0" w:beforeAutospacing="0" w:after="0" w:afterAutospacing="0"/>
              <w:rPr>
                <w:sz w:val="12"/>
                <w:szCs w:val="12"/>
              </w:rPr>
            </w:pPr>
            <w:r>
              <w:rPr>
                <w:sz w:val="12"/>
                <w:szCs w:val="12"/>
              </w:rPr>
              <w:t> </w:t>
            </w:r>
          </w:p>
        </w:tc>
        <w:tc>
          <w:tcPr>
            <w:tcW w:w="0" w:type="auto"/>
            <w:hideMark/>
          </w:tcPr>
          <w:p w14:paraId="2A3C3AF5" w14:textId="77777777" w:rsidR="00000000" w:rsidRDefault="003A1B5D">
            <w:pPr>
              <w:pStyle w:val="a3"/>
              <w:spacing w:before="0" w:beforeAutospacing="0" w:after="0" w:afterAutospacing="0"/>
              <w:rPr>
                <w:sz w:val="12"/>
                <w:szCs w:val="12"/>
              </w:rPr>
            </w:pPr>
            <w:r>
              <w:rPr>
                <w:sz w:val="12"/>
                <w:szCs w:val="12"/>
              </w:rPr>
              <w:t> </w:t>
            </w:r>
          </w:p>
        </w:tc>
        <w:tc>
          <w:tcPr>
            <w:tcW w:w="0" w:type="auto"/>
            <w:hideMark/>
          </w:tcPr>
          <w:p w14:paraId="63AE9E0C" w14:textId="77777777" w:rsidR="00000000" w:rsidRDefault="003A1B5D">
            <w:pPr>
              <w:pStyle w:val="a3"/>
              <w:spacing w:before="0" w:beforeAutospacing="0" w:after="0" w:afterAutospacing="0"/>
              <w:rPr>
                <w:sz w:val="12"/>
                <w:szCs w:val="12"/>
              </w:rPr>
            </w:pPr>
            <w:r>
              <w:rPr>
                <w:sz w:val="12"/>
                <w:szCs w:val="12"/>
              </w:rPr>
              <w:t> </w:t>
            </w:r>
          </w:p>
        </w:tc>
        <w:tc>
          <w:tcPr>
            <w:tcW w:w="0" w:type="auto"/>
            <w:hideMark/>
          </w:tcPr>
          <w:p w14:paraId="3CF2126B" w14:textId="77777777" w:rsidR="00000000" w:rsidRDefault="003A1B5D">
            <w:pPr>
              <w:pStyle w:val="a3"/>
              <w:spacing w:before="0" w:beforeAutospacing="0" w:after="0" w:afterAutospacing="0"/>
              <w:rPr>
                <w:sz w:val="12"/>
                <w:szCs w:val="12"/>
              </w:rPr>
            </w:pPr>
            <w:r>
              <w:rPr>
                <w:sz w:val="12"/>
                <w:szCs w:val="12"/>
              </w:rPr>
              <w:t> </w:t>
            </w:r>
          </w:p>
        </w:tc>
        <w:tc>
          <w:tcPr>
            <w:tcW w:w="0" w:type="auto"/>
            <w:hideMark/>
          </w:tcPr>
          <w:p w14:paraId="2DB96777" w14:textId="77777777" w:rsidR="00000000" w:rsidRDefault="003A1B5D">
            <w:pPr>
              <w:pStyle w:val="a3"/>
              <w:spacing w:before="0" w:beforeAutospacing="0" w:after="0" w:afterAutospacing="0"/>
              <w:jc w:val="right"/>
              <w:rPr>
                <w:sz w:val="12"/>
                <w:szCs w:val="12"/>
              </w:rPr>
            </w:pPr>
            <w:r>
              <w:rPr>
                <w:sz w:val="12"/>
                <w:szCs w:val="12"/>
              </w:rPr>
              <w:t> </w:t>
            </w:r>
          </w:p>
        </w:tc>
      </w:tr>
      <w:tr w:rsidR="00000000" w14:paraId="2B98F60C" w14:textId="77777777">
        <w:trPr>
          <w:trHeight w:val="200"/>
          <w:tblCellSpacing w:w="15" w:type="dxa"/>
        </w:trPr>
        <w:tc>
          <w:tcPr>
            <w:tcW w:w="0" w:type="auto"/>
            <w:gridSpan w:val="3"/>
            <w:hideMark/>
          </w:tcPr>
          <w:p w14:paraId="2436516E" w14:textId="77777777" w:rsidR="00000000" w:rsidRDefault="003A1B5D">
            <w:pPr>
              <w:pStyle w:val="a3"/>
              <w:spacing w:before="0" w:beforeAutospacing="0" w:after="0" w:afterAutospacing="0"/>
              <w:rPr>
                <w:sz w:val="20"/>
                <w:szCs w:val="20"/>
              </w:rPr>
            </w:pPr>
            <w:hyperlink w:anchor="part_ii_or_information" w:history="1">
              <w:r>
                <w:rPr>
                  <w:rStyle w:val="a4"/>
                  <w:b/>
                  <w:bCs/>
                  <w:sz w:val="20"/>
                  <w:szCs w:val="20"/>
                </w:rPr>
                <w:t>PART II – OTHER INFORMATIO</w:t>
              </w:r>
              <w:r>
                <w:rPr>
                  <w:rStyle w:val="a4"/>
                  <w:b/>
                  <w:bCs/>
                  <w:sz w:val="20"/>
                  <w:szCs w:val="20"/>
                </w:rPr>
                <w:t>N</w:t>
              </w:r>
            </w:hyperlink>
          </w:p>
        </w:tc>
        <w:tc>
          <w:tcPr>
            <w:tcW w:w="0" w:type="auto"/>
            <w:hideMark/>
          </w:tcPr>
          <w:p w14:paraId="52DE9CF6"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41386574" w14:textId="77777777" w:rsidR="00000000" w:rsidRDefault="003A1B5D">
            <w:pPr>
              <w:pStyle w:val="a3"/>
              <w:spacing w:before="0" w:beforeAutospacing="0" w:after="0" w:afterAutospacing="0"/>
              <w:jc w:val="right"/>
              <w:rPr>
                <w:sz w:val="20"/>
                <w:szCs w:val="20"/>
              </w:rPr>
            </w:pPr>
            <w:r>
              <w:rPr>
                <w:sz w:val="20"/>
                <w:szCs w:val="20"/>
              </w:rPr>
              <w:t> </w:t>
            </w:r>
          </w:p>
        </w:tc>
      </w:tr>
      <w:tr w:rsidR="00000000" w14:paraId="7D83EF71" w14:textId="77777777">
        <w:trPr>
          <w:tblCellSpacing w:w="15" w:type="dxa"/>
        </w:trPr>
        <w:tc>
          <w:tcPr>
            <w:tcW w:w="0" w:type="auto"/>
            <w:hideMark/>
          </w:tcPr>
          <w:p w14:paraId="2623FB35" w14:textId="77777777" w:rsidR="00000000" w:rsidRDefault="003A1B5D">
            <w:pPr>
              <w:pStyle w:val="a3"/>
              <w:spacing w:before="0" w:beforeAutospacing="0" w:after="0" w:afterAutospacing="0"/>
              <w:rPr>
                <w:sz w:val="12"/>
                <w:szCs w:val="12"/>
              </w:rPr>
            </w:pPr>
            <w:r>
              <w:rPr>
                <w:sz w:val="12"/>
                <w:szCs w:val="12"/>
              </w:rPr>
              <w:t> </w:t>
            </w:r>
          </w:p>
        </w:tc>
        <w:tc>
          <w:tcPr>
            <w:tcW w:w="0" w:type="auto"/>
            <w:hideMark/>
          </w:tcPr>
          <w:p w14:paraId="4D68F9B8" w14:textId="77777777" w:rsidR="00000000" w:rsidRDefault="003A1B5D">
            <w:pPr>
              <w:pStyle w:val="a3"/>
              <w:spacing w:before="0" w:beforeAutospacing="0" w:after="0" w:afterAutospacing="0"/>
              <w:rPr>
                <w:sz w:val="12"/>
                <w:szCs w:val="12"/>
              </w:rPr>
            </w:pPr>
            <w:r>
              <w:rPr>
                <w:sz w:val="12"/>
                <w:szCs w:val="12"/>
              </w:rPr>
              <w:t> </w:t>
            </w:r>
          </w:p>
        </w:tc>
        <w:tc>
          <w:tcPr>
            <w:tcW w:w="0" w:type="auto"/>
            <w:hideMark/>
          </w:tcPr>
          <w:p w14:paraId="4F40DD09" w14:textId="77777777" w:rsidR="00000000" w:rsidRDefault="003A1B5D">
            <w:pPr>
              <w:pStyle w:val="a3"/>
              <w:spacing w:before="0" w:beforeAutospacing="0" w:after="0" w:afterAutospacing="0"/>
              <w:rPr>
                <w:sz w:val="12"/>
                <w:szCs w:val="12"/>
              </w:rPr>
            </w:pPr>
            <w:r>
              <w:rPr>
                <w:sz w:val="12"/>
                <w:szCs w:val="12"/>
              </w:rPr>
              <w:t> </w:t>
            </w:r>
          </w:p>
        </w:tc>
        <w:tc>
          <w:tcPr>
            <w:tcW w:w="0" w:type="auto"/>
            <w:hideMark/>
          </w:tcPr>
          <w:p w14:paraId="066C9045" w14:textId="77777777" w:rsidR="00000000" w:rsidRDefault="003A1B5D">
            <w:pPr>
              <w:pStyle w:val="a3"/>
              <w:spacing w:before="0" w:beforeAutospacing="0" w:after="0" w:afterAutospacing="0"/>
              <w:rPr>
                <w:sz w:val="12"/>
                <w:szCs w:val="12"/>
              </w:rPr>
            </w:pPr>
            <w:r>
              <w:rPr>
                <w:sz w:val="12"/>
                <w:szCs w:val="12"/>
              </w:rPr>
              <w:t> </w:t>
            </w:r>
          </w:p>
        </w:tc>
        <w:tc>
          <w:tcPr>
            <w:tcW w:w="0" w:type="auto"/>
            <w:hideMark/>
          </w:tcPr>
          <w:p w14:paraId="0DE74D0F" w14:textId="77777777" w:rsidR="00000000" w:rsidRDefault="003A1B5D">
            <w:pPr>
              <w:pStyle w:val="a3"/>
              <w:spacing w:before="0" w:beforeAutospacing="0" w:after="0" w:afterAutospacing="0"/>
              <w:jc w:val="right"/>
              <w:rPr>
                <w:sz w:val="12"/>
                <w:szCs w:val="12"/>
              </w:rPr>
            </w:pPr>
            <w:r>
              <w:rPr>
                <w:sz w:val="12"/>
                <w:szCs w:val="12"/>
              </w:rPr>
              <w:t> </w:t>
            </w:r>
          </w:p>
        </w:tc>
      </w:tr>
      <w:tr w:rsidR="00000000" w14:paraId="2AF6C12C" w14:textId="77777777">
        <w:trPr>
          <w:trHeight w:val="200"/>
          <w:tblCellSpacing w:w="15" w:type="dxa"/>
        </w:trPr>
        <w:tc>
          <w:tcPr>
            <w:tcW w:w="0" w:type="auto"/>
            <w:hideMark/>
          </w:tcPr>
          <w:p w14:paraId="4985CEB1" w14:textId="77777777" w:rsidR="00000000" w:rsidRDefault="003A1B5D">
            <w:pPr>
              <w:pStyle w:val="a3"/>
              <w:spacing w:before="0" w:beforeAutospacing="0" w:after="0" w:afterAutospacing="0"/>
              <w:rPr>
                <w:sz w:val="20"/>
                <w:szCs w:val="20"/>
              </w:rPr>
            </w:pPr>
            <w:r>
              <w:rPr>
                <w:sz w:val="20"/>
                <w:szCs w:val="20"/>
              </w:rPr>
              <w:t>Item 1</w:t>
            </w:r>
            <w:r>
              <w:rPr>
                <w:sz w:val="20"/>
                <w:szCs w:val="20"/>
              </w:rPr>
              <w:t>.</w:t>
            </w:r>
          </w:p>
        </w:tc>
        <w:tc>
          <w:tcPr>
            <w:tcW w:w="0" w:type="auto"/>
            <w:hideMark/>
          </w:tcPr>
          <w:p w14:paraId="2D5733E5"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056E98A2" w14:textId="77777777" w:rsidR="00000000" w:rsidRDefault="003A1B5D">
            <w:pPr>
              <w:pStyle w:val="a3"/>
              <w:spacing w:before="0" w:beforeAutospacing="0" w:after="0" w:afterAutospacing="0"/>
              <w:rPr>
                <w:sz w:val="20"/>
                <w:szCs w:val="20"/>
              </w:rPr>
            </w:pPr>
            <w:hyperlink w:anchor="item_1_legal_proceedings" w:history="1">
              <w:r>
                <w:rPr>
                  <w:rStyle w:val="a4"/>
                  <w:sz w:val="20"/>
                  <w:szCs w:val="20"/>
                </w:rPr>
                <w:t>Legal Proceeding</w:t>
              </w:r>
              <w:r>
                <w:rPr>
                  <w:rStyle w:val="a4"/>
                  <w:sz w:val="20"/>
                  <w:szCs w:val="20"/>
                </w:rPr>
                <w:t>s</w:t>
              </w:r>
            </w:hyperlink>
          </w:p>
        </w:tc>
        <w:tc>
          <w:tcPr>
            <w:tcW w:w="0" w:type="auto"/>
            <w:hideMark/>
          </w:tcPr>
          <w:p w14:paraId="7EE23A6B"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47E80438" w14:textId="77777777" w:rsidR="00000000" w:rsidRDefault="003A1B5D">
            <w:pPr>
              <w:pStyle w:val="a3"/>
              <w:spacing w:before="0" w:beforeAutospacing="0" w:after="0" w:afterAutospacing="0"/>
              <w:jc w:val="right"/>
              <w:rPr>
                <w:sz w:val="20"/>
                <w:szCs w:val="20"/>
              </w:rPr>
            </w:pPr>
            <w:r>
              <w:rPr>
                <w:sz w:val="20"/>
                <w:szCs w:val="20"/>
              </w:rPr>
              <w:t>4</w:t>
            </w:r>
            <w:r>
              <w:rPr>
                <w:sz w:val="20"/>
                <w:szCs w:val="20"/>
              </w:rPr>
              <w:t>5</w:t>
            </w:r>
          </w:p>
        </w:tc>
      </w:tr>
      <w:tr w:rsidR="00000000" w14:paraId="7D51BDB9" w14:textId="77777777">
        <w:trPr>
          <w:trHeight w:val="200"/>
          <w:tblCellSpacing w:w="15" w:type="dxa"/>
        </w:trPr>
        <w:tc>
          <w:tcPr>
            <w:tcW w:w="0" w:type="auto"/>
            <w:hideMark/>
          </w:tcPr>
          <w:p w14:paraId="575D6CE1" w14:textId="77777777" w:rsidR="00000000" w:rsidRDefault="003A1B5D">
            <w:pPr>
              <w:pStyle w:val="a3"/>
              <w:spacing w:before="0" w:beforeAutospacing="0" w:after="0" w:afterAutospacing="0"/>
              <w:rPr>
                <w:sz w:val="20"/>
                <w:szCs w:val="20"/>
              </w:rPr>
            </w:pPr>
            <w:r>
              <w:rPr>
                <w:sz w:val="20"/>
                <w:szCs w:val="20"/>
              </w:rPr>
              <w:t>Item 1A</w:t>
            </w:r>
            <w:r>
              <w:rPr>
                <w:sz w:val="20"/>
                <w:szCs w:val="20"/>
              </w:rPr>
              <w:t>.</w:t>
            </w:r>
          </w:p>
        </w:tc>
        <w:tc>
          <w:tcPr>
            <w:tcW w:w="0" w:type="auto"/>
            <w:hideMark/>
          </w:tcPr>
          <w:p w14:paraId="3626E0E9"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0C8F1713" w14:textId="77777777" w:rsidR="00000000" w:rsidRDefault="003A1B5D">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hideMark/>
          </w:tcPr>
          <w:p w14:paraId="6874F1DE"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696FB3CD" w14:textId="77777777" w:rsidR="00000000" w:rsidRDefault="003A1B5D">
            <w:pPr>
              <w:pStyle w:val="a3"/>
              <w:spacing w:before="0" w:beforeAutospacing="0" w:after="0" w:afterAutospacing="0"/>
              <w:jc w:val="right"/>
              <w:rPr>
                <w:sz w:val="20"/>
                <w:szCs w:val="20"/>
              </w:rPr>
            </w:pPr>
            <w:r>
              <w:rPr>
                <w:sz w:val="20"/>
                <w:szCs w:val="20"/>
              </w:rPr>
              <w:t>4</w:t>
            </w:r>
            <w:r>
              <w:rPr>
                <w:sz w:val="20"/>
                <w:szCs w:val="20"/>
              </w:rPr>
              <w:t>5</w:t>
            </w:r>
          </w:p>
        </w:tc>
      </w:tr>
      <w:tr w:rsidR="00000000" w14:paraId="4550CC20" w14:textId="77777777">
        <w:trPr>
          <w:trHeight w:val="200"/>
          <w:tblCellSpacing w:w="15" w:type="dxa"/>
        </w:trPr>
        <w:tc>
          <w:tcPr>
            <w:tcW w:w="0" w:type="auto"/>
            <w:hideMark/>
          </w:tcPr>
          <w:p w14:paraId="43E864E2" w14:textId="77777777" w:rsidR="00000000" w:rsidRDefault="003A1B5D">
            <w:pPr>
              <w:pStyle w:val="a3"/>
              <w:spacing w:before="0" w:beforeAutospacing="0" w:after="0" w:afterAutospacing="0"/>
              <w:rPr>
                <w:sz w:val="20"/>
                <w:szCs w:val="20"/>
              </w:rPr>
            </w:pPr>
            <w:r>
              <w:rPr>
                <w:sz w:val="20"/>
                <w:szCs w:val="20"/>
              </w:rPr>
              <w:t>Item 2</w:t>
            </w:r>
            <w:r>
              <w:rPr>
                <w:sz w:val="20"/>
                <w:szCs w:val="20"/>
              </w:rPr>
              <w:t>.</w:t>
            </w:r>
          </w:p>
        </w:tc>
        <w:tc>
          <w:tcPr>
            <w:tcW w:w="0" w:type="auto"/>
            <w:hideMark/>
          </w:tcPr>
          <w:p w14:paraId="4573038C"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685BFCB4" w14:textId="77777777" w:rsidR="00000000" w:rsidRDefault="003A1B5D">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w:t>
              </w:r>
              <w:r>
                <w:rPr>
                  <w:rStyle w:val="a4"/>
                  <w:sz w:val="20"/>
                  <w:szCs w:val="20"/>
                </w:rPr>
                <w:t>s</w:t>
              </w:r>
            </w:hyperlink>
          </w:p>
        </w:tc>
        <w:tc>
          <w:tcPr>
            <w:tcW w:w="0" w:type="auto"/>
            <w:hideMark/>
          </w:tcPr>
          <w:p w14:paraId="2BFA8658"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4500A899" w14:textId="77777777" w:rsidR="00000000" w:rsidRDefault="003A1B5D">
            <w:pPr>
              <w:pStyle w:val="a3"/>
              <w:spacing w:before="0" w:beforeAutospacing="0" w:after="0" w:afterAutospacing="0"/>
              <w:jc w:val="right"/>
              <w:rPr>
                <w:sz w:val="20"/>
                <w:szCs w:val="20"/>
              </w:rPr>
            </w:pPr>
            <w:r>
              <w:rPr>
                <w:sz w:val="20"/>
                <w:szCs w:val="20"/>
              </w:rPr>
              <w:t>4</w:t>
            </w:r>
            <w:r>
              <w:rPr>
                <w:sz w:val="20"/>
                <w:szCs w:val="20"/>
              </w:rPr>
              <w:t>5</w:t>
            </w:r>
          </w:p>
        </w:tc>
      </w:tr>
      <w:tr w:rsidR="00000000" w14:paraId="44CA02FF" w14:textId="77777777">
        <w:trPr>
          <w:trHeight w:val="200"/>
          <w:tblCellSpacing w:w="15" w:type="dxa"/>
        </w:trPr>
        <w:tc>
          <w:tcPr>
            <w:tcW w:w="0" w:type="auto"/>
            <w:hideMark/>
          </w:tcPr>
          <w:p w14:paraId="47B3B999" w14:textId="77777777" w:rsidR="00000000" w:rsidRDefault="003A1B5D">
            <w:pPr>
              <w:pStyle w:val="a3"/>
              <w:spacing w:before="0" w:beforeAutospacing="0" w:after="0" w:afterAutospacing="0"/>
              <w:rPr>
                <w:sz w:val="20"/>
                <w:szCs w:val="20"/>
              </w:rPr>
            </w:pPr>
            <w:r>
              <w:rPr>
                <w:sz w:val="20"/>
                <w:szCs w:val="20"/>
              </w:rPr>
              <w:t>Item 3</w:t>
            </w:r>
            <w:r>
              <w:rPr>
                <w:sz w:val="20"/>
                <w:szCs w:val="20"/>
              </w:rPr>
              <w:t>.</w:t>
            </w:r>
          </w:p>
        </w:tc>
        <w:tc>
          <w:tcPr>
            <w:tcW w:w="0" w:type="auto"/>
            <w:hideMark/>
          </w:tcPr>
          <w:p w14:paraId="54E3F17B"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47B3DFCA" w14:textId="77777777" w:rsidR="00000000" w:rsidRDefault="003A1B5D">
            <w:pPr>
              <w:pStyle w:val="a3"/>
              <w:spacing w:before="0" w:beforeAutospacing="0" w:after="0" w:afterAutospacing="0"/>
              <w:rPr>
                <w:sz w:val="20"/>
                <w:szCs w:val="20"/>
              </w:rPr>
            </w:pPr>
            <w:hyperlink w:anchor="item_3_defaults_upon_senior_securities" w:history="1">
              <w:r>
                <w:rPr>
                  <w:rStyle w:val="a4"/>
                  <w:sz w:val="20"/>
                  <w:szCs w:val="20"/>
                </w:rPr>
                <w:t>Defaults Upon Senior Securitie</w:t>
              </w:r>
              <w:r>
                <w:rPr>
                  <w:rStyle w:val="a4"/>
                  <w:sz w:val="20"/>
                  <w:szCs w:val="20"/>
                </w:rPr>
                <w:t>s</w:t>
              </w:r>
            </w:hyperlink>
          </w:p>
        </w:tc>
        <w:tc>
          <w:tcPr>
            <w:tcW w:w="0" w:type="auto"/>
            <w:hideMark/>
          </w:tcPr>
          <w:p w14:paraId="5A9D15A2"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5753CC1B" w14:textId="77777777" w:rsidR="00000000" w:rsidRDefault="003A1B5D">
            <w:pPr>
              <w:pStyle w:val="a3"/>
              <w:spacing w:before="0" w:beforeAutospacing="0" w:after="0" w:afterAutospacing="0"/>
              <w:jc w:val="right"/>
              <w:rPr>
                <w:sz w:val="20"/>
                <w:szCs w:val="20"/>
              </w:rPr>
            </w:pPr>
            <w:r>
              <w:rPr>
                <w:sz w:val="20"/>
                <w:szCs w:val="20"/>
              </w:rPr>
              <w:t>4</w:t>
            </w:r>
            <w:r>
              <w:rPr>
                <w:sz w:val="20"/>
                <w:szCs w:val="20"/>
              </w:rPr>
              <w:t>5</w:t>
            </w:r>
          </w:p>
        </w:tc>
      </w:tr>
      <w:tr w:rsidR="00000000" w14:paraId="4F97943C" w14:textId="77777777">
        <w:trPr>
          <w:trHeight w:val="200"/>
          <w:tblCellSpacing w:w="15" w:type="dxa"/>
        </w:trPr>
        <w:tc>
          <w:tcPr>
            <w:tcW w:w="0" w:type="auto"/>
            <w:hideMark/>
          </w:tcPr>
          <w:p w14:paraId="14E1CCA7" w14:textId="77777777" w:rsidR="00000000" w:rsidRDefault="003A1B5D">
            <w:pPr>
              <w:pStyle w:val="a3"/>
              <w:spacing w:before="0" w:beforeAutospacing="0" w:after="0" w:afterAutospacing="0"/>
              <w:rPr>
                <w:sz w:val="20"/>
                <w:szCs w:val="20"/>
              </w:rPr>
            </w:pPr>
            <w:r>
              <w:rPr>
                <w:sz w:val="20"/>
                <w:szCs w:val="20"/>
              </w:rPr>
              <w:t>Item 4</w:t>
            </w:r>
            <w:r>
              <w:rPr>
                <w:sz w:val="20"/>
                <w:szCs w:val="20"/>
              </w:rPr>
              <w:t>.</w:t>
            </w:r>
          </w:p>
        </w:tc>
        <w:tc>
          <w:tcPr>
            <w:tcW w:w="0" w:type="auto"/>
            <w:hideMark/>
          </w:tcPr>
          <w:p w14:paraId="3574D83E"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5E98977E" w14:textId="77777777" w:rsidR="00000000" w:rsidRDefault="003A1B5D">
            <w:pPr>
              <w:pStyle w:val="a3"/>
              <w:spacing w:before="0" w:beforeAutospacing="0" w:after="0" w:afterAutospacing="0"/>
              <w:rPr>
                <w:sz w:val="20"/>
                <w:szCs w:val="20"/>
              </w:rPr>
            </w:pPr>
            <w:hyperlink w:anchor="item_4_mine_safety_disclosures" w:history="1">
              <w:r>
                <w:rPr>
                  <w:rStyle w:val="a4"/>
                  <w:sz w:val="20"/>
                  <w:szCs w:val="20"/>
                </w:rPr>
                <w:t>Mine Safety Disclosure</w:t>
              </w:r>
              <w:r>
                <w:rPr>
                  <w:rStyle w:val="a4"/>
                  <w:sz w:val="20"/>
                  <w:szCs w:val="20"/>
                </w:rPr>
                <w:t>s</w:t>
              </w:r>
            </w:hyperlink>
          </w:p>
        </w:tc>
        <w:tc>
          <w:tcPr>
            <w:tcW w:w="0" w:type="auto"/>
            <w:hideMark/>
          </w:tcPr>
          <w:p w14:paraId="1EF895DE"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419A1800" w14:textId="77777777" w:rsidR="00000000" w:rsidRDefault="003A1B5D">
            <w:pPr>
              <w:pStyle w:val="a3"/>
              <w:spacing w:before="0" w:beforeAutospacing="0" w:after="0" w:afterAutospacing="0"/>
              <w:jc w:val="right"/>
              <w:rPr>
                <w:sz w:val="20"/>
                <w:szCs w:val="20"/>
              </w:rPr>
            </w:pPr>
            <w:r>
              <w:rPr>
                <w:sz w:val="20"/>
                <w:szCs w:val="20"/>
              </w:rPr>
              <w:t>4</w:t>
            </w:r>
            <w:r>
              <w:rPr>
                <w:sz w:val="20"/>
                <w:szCs w:val="20"/>
              </w:rPr>
              <w:t>5</w:t>
            </w:r>
          </w:p>
        </w:tc>
      </w:tr>
      <w:tr w:rsidR="00000000" w14:paraId="136CDB0F" w14:textId="77777777">
        <w:trPr>
          <w:trHeight w:val="200"/>
          <w:tblCellSpacing w:w="15" w:type="dxa"/>
        </w:trPr>
        <w:tc>
          <w:tcPr>
            <w:tcW w:w="0" w:type="auto"/>
            <w:hideMark/>
          </w:tcPr>
          <w:p w14:paraId="051EB2A5" w14:textId="77777777" w:rsidR="00000000" w:rsidRDefault="003A1B5D">
            <w:pPr>
              <w:pStyle w:val="a3"/>
              <w:spacing w:before="0" w:beforeAutospacing="0" w:after="0" w:afterAutospacing="0"/>
              <w:rPr>
                <w:sz w:val="20"/>
                <w:szCs w:val="20"/>
              </w:rPr>
            </w:pPr>
            <w:r>
              <w:rPr>
                <w:sz w:val="20"/>
                <w:szCs w:val="20"/>
              </w:rPr>
              <w:t>Item 5</w:t>
            </w:r>
            <w:r>
              <w:rPr>
                <w:sz w:val="20"/>
                <w:szCs w:val="20"/>
              </w:rPr>
              <w:t>.</w:t>
            </w:r>
          </w:p>
        </w:tc>
        <w:tc>
          <w:tcPr>
            <w:tcW w:w="0" w:type="auto"/>
            <w:hideMark/>
          </w:tcPr>
          <w:p w14:paraId="05B80630"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7FD21349" w14:textId="77777777" w:rsidR="00000000" w:rsidRDefault="003A1B5D">
            <w:pPr>
              <w:pStyle w:val="a3"/>
              <w:spacing w:before="0" w:beforeAutospacing="0" w:after="0" w:afterAutospacing="0"/>
              <w:rPr>
                <w:sz w:val="20"/>
                <w:szCs w:val="20"/>
              </w:rPr>
            </w:pPr>
            <w:hyperlink w:anchor="item_5_or_information" w:history="1">
              <w:r>
                <w:rPr>
                  <w:rStyle w:val="a4"/>
                  <w:sz w:val="20"/>
                  <w:szCs w:val="20"/>
                </w:rPr>
                <w:t>Other Informatio</w:t>
              </w:r>
              <w:r>
                <w:rPr>
                  <w:rStyle w:val="a4"/>
                  <w:sz w:val="20"/>
                  <w:szCs w:val="20"/>
                </w:rPr>
                <w:t>n</w:t>
              </w:r>
            </w:hyperlink>
          </w:p>
        </w:tc>
        <w:tc>
          <w:tcPr>
            <w:tcW w:w="0" w:type="auto"/>
            <w:hideMark/>
          </w:tcPr>
          <w:p w14:paraId="393ACC09"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1FB23A22" w14:textId="77777777" w:rsidR="00000000" w:rsidRDefault="003A1B5D">
            <w:pPr>
              <w:pStyle w:val="a3"/>
              <w:spacing w:before="0" w:beforeAutospacing="0" w:after="0" w:afterAutospacing="0"/>
              <w:jc w:val="right"/>
              <w:rPr>
                <w:sz w:val="20"/>
                <w:szCs w:val="20"/>
              </w:rPr>
            </w:pPr>
            <w:r>
              <w:rPr>
                <w:sz w:val="20"/>
                <w:szCs w:val="20"/>
              </w:rPr>
              <w:t>4</w:t>
            </w:r>
            <w:r>
              <w:rPr>
                <w:sz w:val="20"/>
                <w:szCs w:val="20"/>
              </w:rPr>
              <w:t>5</w:t>
            </w:r>
          </w:p>
        </w:tc>
      </w:tr>
      <w:tr w:rsidR="00000000" w14:paraId="6AD52C3B" w14:textId="77777777">
        <w:trPr>
          <w:trHeight w:val="200"/>
          <w:tblCellSpacing w:w="15" w:type="dxa"/>
        </w:trPr>
        <w:tc>
          <w:tcPr>
            <w:tcW w:w="0" w:type="auto"/>
            <w:hideMark/>
          </w:tcPr>
          <w:p w14:paraId="521C8479" w14:textId="77777777" w:rsidR="00000000" w:rsidRDefault="003A1B5D">
            <w:pPr>
              <w:pStyle w:val="a3"/>
              <w:spacing w:before="0" w:beforeAutospacing="0" w:after="0" w:afterAutospacing="0"/>
              <w:rPr>
                <w:sz w:val="20"/>
                <w:szCs w:val="20"/>
              </w:rPr>
            </w:pPr>
            <w:r>
              <w:rPr>
                <w:sz w:val="20"/>
                <w:szCs w:val="20"/>
              </w:rPr>
              <w:t>Item 6</w:t>
            </w:r>
            <w:r>
              <w:rPr>
                <w:sz w:val="20"/>
                <w:szCs w:val="20"/>
              </w:rPr>
              <w:t>.</w:t>
            </w:r>
          </w:p>
        </w:tc>
        <w:tc>
          <w:tcPr>
            <w:tcW w:w="0" w:type="auto"/>
            <w:hideMark/>
          </w:tcPr>
          <w:p w14:paraId="2B12EE60"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104F993E" w14:textId="77777777" w:rsidR="00000000" w:rsidRDefault="003A1B5D">
            <w:pPr>
              <w:pStyle w:val="a3"/>
              <w:spacing w:before="0" w:beforeAutospacing="0" w:after="0" w:afterAutospacing="0"/>
              <w:rPr>
                <w:sz w:val="20"/>
                <w:szCs w:val="20"/>
              </w:rPr>
            </w:pPr>
            <w:hyperlink w:anchor="item_6_exhibits" w:history="1">
              <w:r>
                <w:rPr>
                  <w:rStyle w:val="a4"/>
                  <w:sz w:val="20"/>
                  <w:szCs w:val="20"/>
                </w:rPr>
                <w:t>Exhibit</w:t>
              </w:r>
              <w:r>
                <w:rPr>
                  <w:rStyle w:val="a4"/>
                  <w:sz w:val="20"/>
                  <w:szCs w:val="20"/>
                </w:rPr>
                <w:t>s</w:t>
              </w:r>
            </w:hyperlink>
          </w:p>
        </w:tc>
        <w:tc>
          <w:tcPr>
            <w:tcW w:w="0" w:type="auto"/>
            <w:hideMark/>
          </w:tcPr>
          <w:p w14:paraId="58B6941F"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6F5D56BB" w14:textId="77777777" w:rsidR="00000000" w:rsidRDefault="003A1B5D">
            <w:pPr>
              <w:pStyle w:val="a3"/>
              <w:spacing w:before="0" w:beforeAutospacing="0" w:after="0" w:afterAutospacing="0"/>
              <w:jc w:val="right"/>
              <w:rPr>
                <w:sz w:val="20"/>
                <w:szCs w:val="20"/>
              </w:rPr>
            </w:pPr>
            <w:r>
              <w:rPr>
                <w:sz w:val="20"/>
                <w:szCs w:val="20"/>
              </w:rPr>
              <w:t>4</w:t>
            </w:r>
            <w:r>
              <w:rPr>
                <w:sz w:val="20"/>
                <w:szCs w:val="20"/>
              </w:rPr>
              <w:t>6</w:t>
            </w:r>
          </w:p>
        </w:tc>
      </w:tr>
      <w:tr w:rsidR="00000000" w14:paraId="53F785C3" w14:textId="77777777">
        <w:trPr>
          <w:trHeight w:val="130"/>
          <w:tblCellSpacing w:w="15" w:type="dxa"/>
        </w:trPr>
        <w:tc>
          <w:tcPr>
            <w:tcW w:w="0" w:type="auto"/>
            <w:hideMark/>
          </w:tcPr>
          <w:p w14:paraId="0F0ECDA5"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45F3F04F"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3A56D779" w14:textId="77777777" w:rsidR="00000000" w:rsidRDefault="003A1B5D">
            <w:pPr>
              <w:pStyle w:val="a3"/>
              <w:spacing w:before="0" w:beforeAutospacing="0" w:after="0" w:afterAutospacing="0"/>
            </w:pPr>
            <w:r>
              <w:t> </w:t>
            </w:r>
          </w:p>
        </w:tc>
        <w:tc>
          <w:tcPr>
            <w:tcW w:w="0" w:type="auto"/>
            <w:hideMark/>
          </w:tcPr>
          <w:p w14:paraId="30950F74"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617EAE74" w14:textId="77777777" w:rsidR="00000000" w:rsidRDefault="003A1B5D">
            <w:pPr>
              <w:pStyle w:val="a3"/>
              <w:spacing w:before="0" w:beforeAutospacing="0" w:after="0" w:afterAutospacing="0"/>
              <w:jc w:val="right"/>
              <w:rPr>
                <w:sz w:val="20"/>
                <w:szCs w:val="20"/>
              </w:rPr>
            </w:pPr>
            <w:r>
              <w:rPr>
                <w:sz w:val="20"/>
                <w:szCs w:val="20"/>
              </w:rPr>
              <w:t> </w:t>
            </w:r>
          </w:p>
        </w:tc>
      </w:tr>
      <w:tr w:rsidR="00000000" w14:paraId="56F27308" w14:textId="77777777">
        <w:trPr>
          <w:trHeight w:val="200"/>
          <w:tblCellSpacing w:w="15" w:type="dxa"/>
        </w:trPr>
        <w:tc>
          <w:tcPr>
            <w:tcW w:w="0" w:type="auto"/>
            <w:gridSpan w:val="3"/>
            <w:hideMark/>
          </w:tcPr>
          <w:p w14:paraId="59D359B6" w14:textId="77777777" w:rsidR="00000000" w:rsidRDefault="003A1B5D">
            <w:pPr>
              <w:pStyle w:val="a3"/>
              <w:spacing w:before="0" w:beforeAutospacing="0" w:after="0" w:afterAutospacing="0"/>
              <w:rPr>
                <w:sz w:val="20"/>
                <w:szCs w:val="20"/>
              </w:rPr>
            </w:pPr>
            <w:hyperlink w:anchor="signatures" w:history="1">
              <w:r>
                <w:rPr>
                  <w:rStyle w:val="a4"/>
                  <w:b/>
                  <w:bCs/>
                  <w:sz w:val="20"/>
                  <w:szCs w:val="20"/>
                </w:rPr>
                <w:t>SIGNATURE</w:t>
              </w:r>
              <w:r>
                <w:rPr>
                  <w:rStyle w:val="a4"/>
                  <w:b/>
                  <w:bCs/>
                  <w:sz w:val="20"/>
                  <w:szCs w:val="20"/>
                </w:rPr>
                <w:t>S</w:t>
              </w:r>
            </w:hyperlink>
          </w:p>
        </w:tc>
        <w:tc>
          <w:tcPr>
            <w:tcW w:w="0" w:type="auto"/>
            <w:hideMark/>
          </w:tcPr>
          <w:p w14:paraId="1C258D16"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67A24308" w14:textId="77777777" w:rsidR="00000000" w:rsidRDefault="003A1B5D">
            <w:pPr>
              <w:pStyle w:val="a3"/>
              <w:spacing w:before="0" w:beforeAutospacing="0" w:after="0" w:afterAutospacing="0"/>
              <w:jc w:val="right"/>
              <w:rPr>
                <w:sz w:val="20"/>
                <w:szCs w:val="20"/>
              </w:rPr>
            </w:pPr>
            <w:r>
              <w:rPr>
                <w:sz w:val="20"/>
                <w:szCs w:val="20"/>
              </w:rPr>
              <w:t>4</w:t>
            </w:r>
            <w:r>
              <w:rPr>
                <w:sz w:val="20"/>
                <w:szCs w:val="20"/>
              </w:rPr>
              <w:t>7</w:t>
            </w:r>
          </w:p>
        </w:tc>
      </w:tr>
    </w:tbl>
    <w:p w14:paraId="2E33CDAD" w14:textId="77777777" w:rsidR="00000000" w:rsidRDefault="003A1B5D">
      <w:pPr>
        <w:pStyle w:val="a3"/>
        <w:spacing w:before="0" w:beforeAutospacing="0" w:after="0" w:afterAutospacing="0"/>
        <w:jc w:val="both"/>
        <w:rPr>
          <w:sz w:val="20"/>
          <w:szCs w:val="20"/>
        </w:rPr>
      </w:pPr>
      <w:r>
        <w:rPr>
          <w:sz w:val="20"/>
          <w:szCs w:val="20"/>
        </w:rPr>
        <w:t> </w:t>
      </w:r>
    </w:p>
    <w:p w14:paraId="14664289" w14:textId="77777777" w:rsidR="00000000" w:rsidRDefault="003A1B5D">
      <w:pPr>
        <w:pStyle w:val="a3"/>
        <w:spacing w:before="0" w:beforeAutospacing="0" w:after="0" w:afterAutospacing="0"/>
        <w:jc w:val="both"/>
        <w:rPr>
          <w:sz w:val="20"/>
          <w:szCs w:val="20"/>
        </w:rPr>
      </w:pPr>
      <w:r>
        <w:rPr>
          <w:sz w:val="20"/>
          <w:szCs w:val="20"/>
        </w:rPr>
        <w:t> </w:t>
      </w:r>
    </w:p>
    <w:p w14:paraId="32134FB2" w14:textId="77777777" w:rsidR="00000000" w:rsidRDefault="003A1B5D">
      <w:pPr>
        <w:pStyle w:val="a3"/>
        <w:spacing w:before="0" w:beforeAutospacing="0" w:after="0" w:afterAutospacing="0"/>
        <w:jc w:val="both"/>
        <w:rPr>
          <w:sz w:val="20"/>
          <w:szCs w:val="20"/>
        </w:rPr>
      </w:pPr>
      <w:r>
        <w:rPr>
          <w:sz w:val="20"/>
          <w:szCs w:val="20"/>
        </w:rPr>
        <w:t> </w:t>
      </w:r>
    </w:p>
    <w:p w14:paraId="29E535E8" w14:textId="77777777" w:rsidR="00000000" w:rsidRDefault="003A1B5D">
      <w:pPr>
        <w:rPr>
          <w:rFonts w:eastAsia="Times New Roman"/>
        </w:rPr>
      </w:pPr>
      <w:r>
        <w:rPr>
          <w:rFonts w:eastAsia="Times New Roman"/>
        </w:rPr>
        <w:lastRenderedPageBreak/>
        <w:pict w14:anchorId="7344C0FA">
          <v:rect id="_x0000_i1026" style="width:0;height:1.5pt" o:hralign="center" o:hrstd="t" o:hr="t" fillcolor="#a0a0a0" stroked="f"/>
        </w:pict>
      </w:r>
    </w:p>
    <w:p w14:paraId="5951E1BE" w14:textId="77777777" w:rsidR="00000000" w:rsidRDefault="003A1B5D">
      <w:pPr>
        <w:pStyle w:val="a3"/>
        <w:spacing w:before="0" w:beforeAutospacing="0" w:after="0" w:afterAutospacing="0"/>
        <w:jc w:val="center"/>
        <w:rPr>
          <w:sz w:val="20"/>
          <w:szCs w:val="20"/>
        </w:rPr>
      </w:pPr>
      <w:r>
        <w:rPr>
          <w:b/>
          <w:bCs/>
          <w:sz w:val="20"/>
          <w:szCs w:val="20"/>
        </w:rPr>
        <w:t xml:space="preserve">PART I – </w:t>
      </w:r>
      <w:r>
        <w:rPr>
          <w:b/>
          <w:bCs/>
          <w:sz w:val="20"/>
          <w:szCs w:val="20"/>
        </w:rPr>
        <w:t>F</w:t>
      </w:r>
      <w:r>
        <w:rPr>
          <w:b/>
          <w:bCs/>
          <w:sz w:val="20"/>
          <w:szCs w:val="20"/>
        </w:rPr>
        <w:t>INANCIAL INFORMATIO</w:t>
      </w:r>
      <w:r>
        <w:rPr>
          <w:b/>
          <w:bCs/>
          <w:sz w:val="20"/>
          <w:szCs w:val="20"/>
        </w:rPr>
        <w:t>N</w:t>
      </w:r>
    </w:p>
    <w:p w14:paraId="354E1568" w14:textId="77777777" w:rsidR="00000000" w:rsidRDefault="003A1B5D">
      <w:pPr>
        <w:pStyle w:val="a3"/>
        <w:spacing w:before="240" w:beforeAutospacing="0" w:after="0" w:afterAutospacing="0"/>
        <w:jc w:val="both"/>
        <w:rPr>
          <w:sz w:val="20"/>
          <w:szCs w:val="20"/>
        </w:rPr>
      </w:pPr>
      <w:r>
        <w:rPr>
          <w:b/>
          <w:bCs/>
          <w:sz w:val="20"/>
          <w:szCs w:val="20"/>
        </w:rPr>
        <w:t>ITEM 1. – FINANCIAL STATEMENTS</w:t>
      </w:r>
      <w:r>
        <w:rPr>
          <w:b/>
          <w:bCs/>
          <w:sz w:val="20"/>
          <w:szCs w:val="20"/>
        </w:rPr>
        <w:t>.</w:t>
      </w:r>
    </w:p>
    <w:p w14:paraId="0F981964" w14:textId="77777777" w:rsidR="00000000" w:rsidRDefault="003A1B5D">
      <w:pPr>
        <w:pStyle w:val="a3"/>
        <w:spacing w:before="240" w:beforeAutospacing="0" w:after="0" w:afterAutospacing="0"/>
        <w:jc w:val="center"/>
        <w:rPr>
          <w:sz w:val="20"/>
          <w:szCs w:val="20"/>
        </w:rPr>
      </w:pPr>
      <w:r>
        <w:rPr>
          <w:b/>
          <w:bCs/>
          <w:sz w:val="20"/>
          <w:szCs w:val="20"/>
        </w:rPr>
        <w:t>CORECIVIC, INC. AND SUBSIDIARIE</w:t>
      </w:r>
      <w:r>
        <w:rPr>
          <w:b/>
          <w:bCs/>
          <w:sz w:val="20"/>
          <w:szCs w:val="20"/>
        </w:rPr>
        <w:t>S</w:t>
      </w:r>
    </w:p>
    <w:p w14:paraId="5912C64D" w14:textId="77777777" w:rsidR="00000000" w:rsidRDefault="003A1B5D">
      <w:pPr>
        <w:pStyle w:val="a3"/>
        <w:spacing w:before="0" w:beforeAutospacing="0" w:after="0" w:afterAutospacing="0"/>
        <w:jc w:val="center"/>
        <w:rPr>
          <w:sz w:val="20"/>
          <w:szCs w:val="20"/>
        </w:rPr>
      </w:pPr>
      <w:r>
        <w:rPr>
          <w:b/>
          <w:bCs/>
          <w:sz w:val="20"/>
          <w:szCs w:val="20"/>
        </w:rPr>
        <w:t>CONSOLIDATED BALANCE SHEET</w:t>
      </w:r>
      <w:r>
        <w:rPr>
          <w:b/>
          <w:bCs/>
          <w:sz w:val="20"/>
          <w:szCs w:val="20"/>
        </w:rPr>
        <w:t>S</w:t>
      </w:r>
    </w:p>
    <w:p w14:paraId="404E61EC" w14:textId="77777777" w:rsidR="00000000" w:rsidRDefault="003A1B5D">
      <w:pPr>
        <w:pStyle w:val="a3"/>
        <w:spacing w:before="0" w:beforeAutospacing="0" w:after="0" w:afterAutospacing="0"/>
        <w:jc w:val="center"/>
        <w:rPr>
          <w:sz w:val="20"/>
          <w:szCs w:val="20"/>
        </w:rPr>
      </w:pPr>
      <w:r>
        <w:rPr>
          <w:sz w:val="20"/>
          <w:szCs w:val="20"/>
        </w:rPr>
        <w:t>(UNAUDITED AND AMOUNTS IN THOUSANDS, EXCEPT PER SHARE AMOUNTS</w:t>
      </w:r>
      <w:r>
        <w:rPr>
          <w:sz w:val="20"/>
          <w:szCs w:val="20"/>
        </w:rPr>
        <w:t>)</w:t>
      </w:r>
    </w:p>
    <w:p w14:paraId="1A0F6E6F" w14:textId="77777777" w:rsidR="00000000" w:rsidRDefault="003A1B5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4"/>
        <w:gridCol w:w="133"/>
        <w:gridCol w:w="160"/>
        <w:gridCol w:w="1033"/>
        <w:gridCol w:w="127"/>
        <w:gridCol w:w="133"/>
        <w:gridCol w:w="160"/>
        <w:gridCol w:w="1034"/>
        <w:gridCol w:w="142"/>
      </w:tblGrid>
      <w:tr w:rsidR="00000000" w14:paraId="7677219F" w14:textId="77777777">
        <w:trPr>
          <w:tblCellSpacing w:w="15" w:type="dxa"/>
        </w:trPr>
        <w:tc>
          <w:tcPr>
            <w:tcW w:w="3349" w:type="pct"/>
            <w:vAlign w:val="center"/>
            <w:hideMark/>
          </w:tcPr>
          <w:p w14:paraId="5D0C47AD" w14:textId="77777777" w:rsidR="00000000" w:rsidRDefault="003A1B5D">
            <w:pPr>
              <w:rPr>
                <w:sz w:val="20"/>
                <w:szCs w:val="20"/>
              </w:rPr>
            </w:pPr>
          </w:p>
        </w:tc>
        <w:tc>
          <w:tcPr>
            <w:tcW w:w="81" w:type="pct"/>
            <w:vAlign w:val="center"/>
            <w:hideMark/>
          </w:tcPr>
          <w:p w14:paraId="3B26B042" w14:textId="77777777" w:rsidR="00000000" w:rsidRDefault="003A1B5D">
            <w:pPr>
              <w:rPr>
                <w:rFonts w:eastAsia="Times New Roman"/>
                <w:sz w:val="20"/>
                <w:szCs w:val="20"/>
              </w:rPr>
            </w:pPr>
          </w:p>
        </w:tc>
        <w:tc>
          <w:tcPr>
            <w:tcW w:w="50" w:type="pct"/>
            <w:vAlign w:val="center"/>
            <w:hideMark/>
          </w:tcPr>
          <w:p w14:paraId="5644A9D8" w14:textId="77777777" w:rsidR="00000000" w:rsidRDefault="003A1B5D">
            <w:pPr>
              <w:rPr>
                <w:rFonts w:eastAsia="Times New Roman"/>
                <w:sz w:val="20"/>
                <w:szCs w:val="20"/>
              </w:rPr>
            </w:pPr>
          </w:p>
        </w:tc>
        <w:tc>
          <w:tcPr>
            <w:tcW w:w="643" w:type="pct"/>
            <w:vAlign w:val="center"/>
            <w:hideMark/>
          </w:tcPr>
          <w:p w14:paraId="2334A374" w14:textId="77777777" w:rsidR="00000000" w:rsidRDefault="003A1B5D">
            <w:pPr>
              <w:rPr>
                <w:rFonts w:eastAsia="Times New Roman"/>
                <w:sz w:val="20"/>
                <w:szCs w:val="20"/>
              </w:rPr>
            </w:pPr>
          </w:p>
        </w:tc>
        <w:tc>
          <w:tcPr>
            <w:tcW w:w="50" w:type="pct"/>
            <w:vAlign w:val="center"/>
            <w:hideMark/>
          </w:tcPr>
          <w:p w14:paraId="356F66C4" w14:textId="77777777" w:rsidR="00000000" w:rsidRDefault="003A1B5D">
            <w:pPr>
              <w:rPr>
                <w:rFonts w:eastAsia="Times New Roman"/>
                <w:sz w:val="20"/>
                <w:szCs w:val="20"/>
              </w:rPr>
            </w:pPr>
          </w:p>
        </w:tc>
        <w:tc>
          <w:tcPr>
            <w:tcW w:w="81" w:type="pct"/>
            <w:vAlign w:val="center"/>
            <w:hideMark/>
          </w:tcPr>
          <w:p w14:paraId="0DC64DF0" w14:textId="77777777" w:rsidR="00000000" w:rsidRDefault="003A1B5D">
            <w:pPr>
              <w:rPr>
                <w:rFonts w:eastAsia="Times New Roman"/>
                <w:sz w:val="20"/>
                <w:szCs w:val="20"/>
              </w:rPr>
            </w:pPr>
          </w:p>
        </w:tc>
        <w:tc>
          <w:tcPr>
            <w:tcW w:w="50" w:type="pct"/>
            <w:vAlign w:val="center"/>
            <w:hideMark/>
          </w:tcPr>
          <w:p w14:paraId="0BA8B6C6" w14:textId="77777777" w:rsidR="00000000" w:rsidRDefault="003A1B5D">
            <w:pPr>
              <w:rPr>
                <w:rFonts w:eastAsia="Times New Roman"/>
                <w:sz w:val="20"/>
                <w:szCs w:val="20"/>
              </w:rPr>
            </w:pPr>
          </w:p>
        </w:tc>
        <w:tc>
          <w:tcPr>
            <w:tcW w:w="643" w:type="pct"/>
            <w:vAlign w:val="center"/>
            <w:hideMark/>
          </w:tcPr>
          <w:p w14:paraId="62788173" w14:textId="77777777" w:rsidR="00000000" w:rsidRDefault="003A1B5D">
            <w:pPr>
              <w:rPr>
                <w:rFonts w:eastAsia="Times New Roman"/>
                <w:sz w:val="20"/>
                <w:szCs w:val="20"/>
              </w:rPr>
            </w:pPr>
          </w:p>
        </w:tc>
        <w:tc>
          <w:tcPr>
            <w:tcW w:w="50" w:type="pct"/>
            <w:vAlign w:val="center"/>
            <w:hideMark/>
          </w:tcPr>
          <w:p w14:paraId="440B0978" w14:textId="77777777" w:rsidR="00000000" w:rsidRDefault="003A1B5D">
            <w:pPr>
              <w:rPr>
                <w:rFonts w:eastAsia="Times New Roman"/>
                <w:sz w:val="20"/>
                <w:szCs w:val="20"/>
              </w:rPr>
            </w:pPr>
          </w:p>
        </w:tc>
      </w:tr>
      <w:tr w:rsidR="00000000" w14:paraId="2B230956" w14:textId="77777777">
        <w:trPr>
          <w:trHeight w:val="200"/>
          <w:tblCellSpacing w:w="15" w:type="dxa"/>
        </w:trPr>
        <w:tc>
          <w:tcPr>
            <w:tcW w:w="0" w:type="auto"/>
            <w:vAlign w:val="bottom"/>
            <w:hideMark/>
          </w:tcPr>
          <w:p w14:paraId="5351D994" w14:textId="77777777" w:rsidR="00000000" w:rsidRDefault="003A1B5D">
            <w:pPr>
              <w:pStyle w:val="a3"/>
              <w:spacing w:before="0" w:beforeAutospacing="0" w:after="0" w:afterAutospacing="0"/>
              <w:jc w:val="center"/>
              <w:rPr>
                <w:sz w:val="20"/>
                <w:szCs w:val="20"/>
              </w:rPr>
            </w:pPr>
            <w:r>
              <w:rPr>
                <w:b/>
                <w:bCs/>
                <w:sz w:val="20"/>
                <w:szCs w:val="20"/>
              </w:rPr>
              <w:t>ASSET</w:t>
            </w:r>
            <w:r>
              <w:rPr>
                <w:b/>
                <w:bCs/>
                <w:sz w:val="20"/>
                <w:szCs w:val="20"/>
              </w:rPr>
              <w:t>S</w:t>
            </w:r>
          </w:p>
        </w:tc>
        <w:tc>
          <w:tcPr>
            <w:tcW w:w="0" w:type="auto"/>
            <w:vAlign w:val="bottom"/>
            <w:hideMark/>
          </w:tcPr>
          <w:p w14:paraId="0614F6AF"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6D484AF9" w14:textId="77777777" w:rsidR="00000000" w:rsidRDefault="003A1B5D">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14:paraId="09712387"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546CA944"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67A66A85" w14:textId="77777777" w:rsidR="00000000" w:rsidRDefault="003A1B5D">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14:paraId="765161D4"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0C3F5630" w14:textId="77777777">
        <w:trPr>
          <w:trHeight w:val="200"/>
          <w:tblCellSpacing w:w="15" w:type="dxa"/>
        </w:trPr>
        <w:tc>
          <w:tcPr>
            <w:tcW w:w="0" w:type="auto"/>
            <w:hideMark/>
          </w:tcPr>
          <w:p w14:paraId="7A2A03E0" w14:textId="77777777" w:rsidR="00000000" w:rsidRDefault="003A1B5D">
            <w:pPr>
              <w:pStyle w:val="a3"/>
              <w:spacing w:before="0" w:beforeAutospacing="0" w:after="0" w:afterAutospacing="0"/>
              <w:rPr>
                <w:sz w:val="20"/>
                <w:szCs w:val="20"/>
              </w:rPr>
            </w:pPr>
            <w:r>
              <w:rPr>
                <w:sz w:val="20"/>
                <w:szCs w:val="20"/>
              </w:rPr>
              <w:t>Cash and cash equivalent</w:t>
            </w:r>
            <w:r>
              <w:rPr>
                <w:sz w:val="20"/>
                <w:szCs w:val="20"/>
              </w:rPr>
              <w:t>s</w:t>
            </w:r>
          </w:p>
        </w:tc>
        <w:tc>
          <w:tcPr>
            <w:tcW w:w="0" w:type="auto"/>
            <w:vAlign w:val="bottom"/>
            <w:hideMark/>
          </w:tcPr>
          <w:p w14:paraId="38E3AE3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19E9DE4"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0D1BF29F" w14:textId="77777777" w:rsidR="00000000" w:rsidRDefault="003A1B5D">
            <w:pPr>
              <w:pStyle w:val="a3"/>
              <w:spacing w:before="0" w:beforeAutospacing="0" w:after="0" w:afterAutospacing="0"/>
              <w:jc w:val="right"/>
              <w:rPr>
                <w:sz w:val="20"/>
                <w:szCs w:val="20"/>
              </w:rPr>
            </w:pPr>
            <w:r>
              <w:rPr>
                <w:b/>
                <w:bCs/>
                <w:sz w:val="20"/>
                <w:szCs w:val="20"/>
              </w:rPr>
              <w:t>185,32</w:t>
            </w:r>
            <w:r>
              <w:rPr>
                <w:b/>
                <w:bCs/>
                <w:sz w:val="20"/>
                <w:szCs w:val="20"/>
              </w:rPr>
              <w:t>8</w:t>
            </w:r>
          </w:p>
        </w:tc>
        <w:tc>
          <w:tcPr>
            <w:tcW w:w="0" w:type="auto"/>
            <w:noWrap/>
            <w:vAlign w:val="bottom"/>
            <w:hideMark/>
          </w:tcPr>
          <w:p w14:paraId="0437797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F3C349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3BAFEBE"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57CB9018" w14:textId="77777777" w:rsidR="00000000" w:rsidRDefault="003A1B5D">
            <w:pPr>
              <w:pStyle w:val="a3"/>
              <w:spacing w:before="0" w:beforeAutospacing="0" w:after="0" w:afterAutospacing="0"/>
              <w:jc w:val="right"/>
              <w:rPr>
                <w:sz w:val="20"/>
                <w:szCs w:val="20"/>
              </w:rPr>
            </w:pPr>
            <w:r>
              <w:rPr>
                <w:sz w:val="20"/>
                <w:szCs w:val="20"/>
              </w:rPr>
              <w:t>299,64</w:t>
            </w:r>
            <w:r>
              <w:rPr>
                <w:sz w:val="20"/>
                <w:szCs w:val="20"/>
              </w:rPr>
              <w:t>5</w:t>
            </w:r>
          </w:p>
        </w:tc>
        <w:tc>
          <w:tcPr>
            <w:tcW w:w="0" w:type="auto"/>
            <w:noWrap/>
            <w:vAlign w:val="bottom"/>
            <w:hideMark/>
          </w:tcPr>
          <w:p w14:paraId="3763D717" w14:textId="77777777" w:rsidR="00000000" w:rsidRDefault="003A1B5D">
            <w:pPr>
              <w:pStyle w:val="a3"/>
              <w:spacing w:before="0" w:beforeAutospacing="0" w:after="0" w:afterAutospacing="0"/>
              <w:rPr>
                <w:sz w:val="20"/>
                <w:szCs w:val="20"/>
              </w:rPr>
            </w:pPr>
            <w:r>
              <w:rPr>
                <w:sz w:val="20"/>
                <w:szCs w:val="20"/>
              </w:rPr>
              <w:t> </w:t>
            </w:r>
          </w:p>
        </w:tc>
      </w:tr>
      <w:tr w:rsidR="00000000" w14:paraId="7136F0B0" w14:textId="77777777">
        <w:trPr>
          <w:trHeight w:val="200"/>
          <w:tblCellSpacing w:w="15" w:type="dxa"/>
        </w:trPr>
        <w:tc>
          <w:tcPr>
            <w:tcW w:w="0" w:type="auto"/>
            <w:hideMark/>
          </w:tcPr>
          <w:p w14:paraId="74DA3831" w14:textId="77777777" w:rsidR="00000000" w:rsidRDefault="003A1B5D">
            <w:pPr>
              <w:pStyle w:val="a3"/>
              <w:spacing w:before="0" w:beforeAutospacing="0" w:after="0" w:afterAutospacing="0"/>
              <w:rPr>
                <w:sz w:val="20"/>
                <w:szCs w:val="20"/>
              </w:rPr>
            </w:pPr>
            <w:r>
              <w:rPr>
                <w:sz w:val="20"/>
                <w:szCs w:val="20"/>
              </w:rPr>
              <w:t>Restricted cas</w:t>
            </w:r>
            <w:r>
              <w:rPr>
                <w:sz w:val="20"/>
                <w:szCs w:val="20"/>
              </w:rPr>
              <w:t>h</w:t>
            </w:r>
          </w:p>
        </w:tc>
        <w:tc>
          <w:tcPr>
            <w:tcW w:w="0" w:type="auto"/>
            <w:vAlign w:val="bottom"/>
            <w:hideMark/>
          </w:tcPr>
          <w:p w14:paraId="72AA97F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59431B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1437392" w14:textId="77777777" w:rsidR="00000000" w:rsidRDefault="003A1B5D">
            <w:pPr>
              <w:pStyle w:val="a3"/>
              <w:spacing w:before="0" w:beforeAutospacing="0" w:after="0" w:afterAutospacing="0"/>
              <w:jc w:val="right"/>
              <w:rPr>
                <w:sz w:val="20"/>
                <w:szCs w:val="20"/>
              </w:rPr>
            </w:pPr>
            <w:r>
              <w:rPr>
                <w:b/>
                <w:bCs/>
                <w:sz w:val="20"/>
                <w:szCs w:val="20"/>
              </w:rPr>
              <w:t>13,83</w:t>
            </w:r>
            <w:r>
              <w:rPr>
                <w:b/>
                <w:bCs/>
                <w:sz w:val="20"/>
                <w:szCs w:val="20"/>
              </w:rPr>
              <w:t>3</w:t>
            </w:r>
          </w:p>
        </w:tc>
        <w:tc>
          <w:tcPr>
            <w:tcW w:w="0" w:type="auto"/>
            <w:noWrap/>
            <w:vAlign w:val="bottom"/>
            <w:hideMark/>
          </w:tcPr>
          <w:p w14:paraId="43B5962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84F638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8A97BA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8F947B9" w14:textId="77777777" w:rsidR="00000000" w:rsidRDefault="003A1B5D">
            <w:pPr>
              <w:pStyle w:val="a3"/>
              <w:spacing w:before="0" w:beforeAutospacing="0" w:after="0" w:afterAutospacing="0"/>
              <w:jc w:val="right"/>
              <w:rPr>
                <w:sz w:val="20"/>
                <w:szCs w:val="20"/>
              </w:rPr>
            </w:pPr>
            <w:r>
              <w:rPr>
                <w:sz w:val="20"/>
                <w:szCs w:val="20"/>
              </w:rPr>
              <w:t>11,06</w:t>
            </w:r>
            <w:r>
              <w:rPr>
                <w:sz w:val="20"/>
                <w:szCs w:val="20"/>
              </w:rPr>
              <w:t>2</w:t>
            </w:r>
          </w:p>
        </w:tc>
        <w:tc>
          <w:tcPr>
            <w:tcW w:w="0" w:type="auto"/>
            <w:noWrap/>
            <w:vAlign w:val="bottom"/>
            <w:hideMark/>
          </w:tcPr>
          <w:p w14:paraId="3E417BCB" w14:textId="77777777" w:rsidR="00000000" w:rsidRDefault="003A1B5D">
            <w:pPr>
              <w:pStyle w:val="a3"/>
              <w:spacing w:before="0" w:beforeAutospacing="0" w:after="0" w:afterAutospacing="0"/>
              <w:rPr>
                <w:sz w:val="20"/>
                <w:szCs w:val="20"/>
              </w:rPr>
            </w:pPr>
            <w:r>
              <w:rPr>
                <w:sz w:val="20"/>
                <w:szCs w:val="20"/>
              </w:rPr>
              <w:t> </w:t>
            </w:r>
          </w:p>
        </w:tc>
      </w:tr>
      <w:tr w:rsidR="00000000" w14:paraId="6C19F88A" w14:textId="77777777">
        <w:trPr>
          <w:trHeight w:val="200"/>
          <w:tblCellSpacing w:w="15" w:type="dxa"/>
        </w:trPr>
        <w:tc>
          <w:tcPr>
            <w:tcW w:w="0" w:type="auto"/>
            <w:hideMark/>
          </w:tcPr>
          <w:p w14:paraId="63BC76E3" w14:textId="77777777" w:rsidR="00000000" w:rsidRDefault="003A1B5D">
            <w:pPr>
              <w:pStyle w:val="a3"/>
              <w:spacing w:before="0" w:beforeAutospacing="0" w:after="0" w:afterAutospacing="0"/>
              <w:rPr>
                <w:sz w:val="20"/>
                <w:szCs w:val="20"/>
              </w:rPr>
            </w:pPr>
            <w:r>
              <w:rPr>
                <w:sz w:val="20"/>
                <w:szCs w:val="20"/>
              </w:rPr>
              <w:t xml:space="preserve">Accounts receivable, net of credit loss reserve of </w:t>
            </w:r>
            <w:r>
              <w:rPr>
                <w:sz w:val="20"/>
                <w:szCs w:val="20"/>
              </w:rPr>
              <w:t>$</w:t>
            </w:r>
            <w:r>
              <w:rPr>
                <w:sz w:val="20"/>
                <w:szCs w:val="20"/>
              </w:rPr>
              <w:t>8,33</w:t>
            </w:r>
            <w:r>
              <w:rPr>
                <w:sz w:val="20"/>
                <w:szCs w:val="20"/>
              </w:rPr>
              <w:t>2</w:t>
            </w:r>
            <w:r>
              <w:rPr>
                <w:sz w:val="20"/>
                <w:szCs w:val="20"/>
              </w:rPr>
              <w:t xml:space="preserve"> and </w:t>
            </w:r>
            <w:r>
              <w:rPr>
                <w:sz w:val="20"/>
                <w:szCs w:val="20"/>
              </w:rPr>
              <w:t>$</w:t>
            </w:r>
            <w:r>
              <w:rPr>
                <w:sz w:val="20"/>
                <w:szCs w:val="20"/>
              </w:rPr>
              <w:t>7,93</w:t>
            </w:r>
            <w:r>
              <w:rPr>
                <w:sz w:val="20"/>
                <w:szCs w:val="20"/>
              </w:rPr>
              <w:t>1</w:t>
            </w:r>
            <w:r>
              <w:rPr>
                <w:sz w:val="20"/>
                <w:szCs w:val="20"/>
              </w:rPr>
              <w:t>, respectivel</w:t>
            </w:r>
            <w:r>
              <w:rPr>
                <w:sz w:val="20"/>
                <w:szCs w:val="20"/>
              </w:rPr>
              <w:t>y</w:t>
            </w:r>
          </w:p>
        </w:tc>
        <w:tc>
          <w:tcPr>
            <w:tcW w:w="0" w:type="auto"/>
            <w:vAlign w:val="bottom"/>
            <w:hideMark/>
          </w:tcPr>
          <w:p w14:paraId="5029D27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F7CA7B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C3B6BC1" w14:textId="77777777" w:rsidR="00000000" w:rsidRDefault="003A1B5D">
            <w:pPr>
              <w:pStyle w:val="a3"/>
              <w:spacing w:before="0" w:beforeAutospacing="0" w:after="0" w:afterAutospacing="0"/>
              <w:jc w:val="right"/>
              <w:rPr>
                <w:sz w:val="20"/>
                <w:szCs w:val="20"/>
              </w:rPr>
            </w:pPr>
            <w:r>
              <w:rPr>
                <w:b/>
                <w:bCs/>
                <w:sz w:val="20"/>
                <w:szCs w:val="20"/>
              </w:rPr>
              <w:t>293,39</w:t>
            </w:r>
            <w:r>
              <w:rPr>
                <w:b/>
                <w:bCs/>
                <w:sz w:val="20"/>
                <w:szCs w:val="20"/>
              </w:rPr>
              <w:t>5</w:t>
            </w:r>
          </w:p>
        </w:tc>
        <w:tc>
          <w:tcPr>
            <w:tcW w:w="0" w:type="auto"/>
            <w:noWrap/>
            <w:vAlign w:val="bottom"/>
            <w:hideMark/>
          </w:tcPr>
          <w:p w14:paraId="2EA1953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7E6517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9D0576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8B649C9" w14:textId="77777777" w:rsidR="00000000" w:rsidRDefault="003A1B5D">
            <w:pPr>
              <w:pStyle w:val="a3"/>
              <w:spacing w:before="0" w:beforeAutospacing="0" w:after="0" w:afterAutospacing="0"/>
              <w:jc w:val="right"/>
              <w:rPr>
                <w:sz w:val="20"/>
                <w:szCs w:val="20"/>
              </w:rPr>
            </w:pPr>
            <w:r>
              <w:rPr>
                <w:sz w:val="20"/>
                <w:szCs w:val="20"/>
              </w:rPr>
              <w:t>282,80</w:t>
            </w:r>
            <w:r>
              <w:rPr>
                <w:sz w:val="20"/>
                <w:szCs w:val="20"/>
              </w:rPr>
              <w:t>9</w:t>
            </w:r>
          </w:p>
        </w:tc>
        <w:tc>
          <w:tcPr>
            <w:tcW w:w="0" w:type="auto"/>
            <w:noWrap/>
            <w:vAlign w:val="bottom"/>
            <w:hideMark/>
          </w:tcPr>
          <w:p w14:paraId="44397A69" w14:textId="77777777" w:rsidR="00000000" w:rsidRDefault="003A1B5D">
            <w:pPr>
              <w:pStyle w:val="a3"/>
              <w:spacing w:before="0" w:beforeAutospacing="0" w:after="0" w:afterAutospacing="0"/>
              <w:rPr>
                <w:sz w:val="20"/>
                <w:szCs w:val="20"/>
              </w:rPr>
            </w:pPr>
            <w:r>
              <w:rPr>
                <w:sz w:val="20"/>
                <w:szCs w:val="20"/>
              </w:rPr>
              <w:t> </w:t>
            </w:r>
          </w:p>
        </w:tc>
      </w:tr>
      <w:tr w:rsidR="00000000" w14:paraId="1BC8615B" w14:textId="77777777">
        <w:trPr>
          <w:trHeight w:val="200"/>
          <w:tblCellSpacing w:w="15" w:type="dxa"/>
        </w:trPr>
        <w:tc>
          <w:tcPr>
            <w:tcW w:w="0" w:type="auto"/>
            <w:hideMark/>
          </w:tcPr>
          <w:p w14:paraId="3B60C3A3" w14:textId="77777777" w:rsidR="00000000" w:rsidRDefault="003A1B5D">
            <w:pPr>
              <w:pStyle w:val="a3"/>
              <w:spacing w:before="0" w:beforeAutospacing="0" w:after="0" w:afterAutospacing="0"/>
              <w:rPr>
                <w:sz w:val="20"/>
                <w:szCs w:val="20"/>
              </w:rPr>
            </w:pPr>
            <w:r>
              <w:rPr>
                <w:sz w:val="20"/>
                <w:szCs w:val="20"/>
              </w:rPr>
              <w:t>Prepaid expenses and other current asset</w:t>
            </w:r>
            <w:r>
              <w:rPr>
                <w:sz w:val="20"/>
                <w:szCs w:val="20"/>
              </w:rPr>
              <w:t>s</w:t>
            </w:r>
          </w:p>
        </w:tc>
        <w:tc>
          <w:tcPr>
            <w:tcW w:w="0" w:type="auto"/>
            <w:vAlign w:val="bottom"/>
            <w:hideMark/>
          </w:tcPr>
          <w:p w14:paraId="0A3E27A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D83C03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2716DE0" w14:textId="77777777" w:rsidR="00000000" w:rsidRDefault="003A1B5D">
            <w:pPr>
              <w:pStyle w:val="a3"/>
              <w:spacing w:before="0" w:beforeAutospacing="0" w:after="0" w:afterAutospacing="0"/>
              <w:jc w:val="right"/>
              <w:rPr>
                <w:sz w:val="20"/>
                <w:szCs w:val="20"/>
              </w:rPr>
            </w:pPr>
            <w:r>
              <w:rPr>
                <w:b/>
                <w:bCs/>
                <w:sz w:val="20"/>
                <w:szCs w:val="20"/>
              </w:rPr>
              <w:t>30,74</w:t>
            </w:r>
            <w:r>
              <w:rPr>
                <w:b/>
                <w:bCs/>
                <w:sz w:val="20"/>
                <w:szCs w:val="20"/>
              </w:rPr>
              <w:t>8</w:t>
            </w:r>
          </w:p>
        </w:tc>
        <w:tc>
          <w:tcPr>
            <w:tcW w:w="0" w:type="auto"/>
            <w:noWrap/>
            <w:vAlign w:val="bottom"/>
            <w:hideMark/>
          </w:tcPr>
          <w:p w14:paraId="2490DBD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44E295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59583F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3F56B61" w14:textId="77777777" w:rsidR="00000000" w:rsidRDefault="003A1B5D">
            <w:pPr>
              <w:pStyle w:val="a3"/>
              <w:spacing w:before="0" w:beforeAutospacing="0" w:after="0" w:afterAutospacing="0"/>
              <w:jc w:val="right"/>
              <w:rPr>
                <w:sz w:val="20"/>
                <w:szCs w:val="20"/>
              </w:rPr>
            </w:pPr>
            <w:r>
              <w:rPr>
                <w:sz w:val="20"/>
                <w:szCs w:val="20"/>
              </w:rPr>
              <w:t>26,87</w:t>
            </w:r>
            <w:r>
              <w:rPr>
                <w:sz w:val="20"/>
                <w:szCs w:val="20"/>
              </w:rPr>
              <w:t>2</w:t>
            </w:r>
          </w:p>
        </w:tc>
        <w:tc>
          <w:tcPr>
            <w:tcW w:w="0" w:type="auto"/>
            <w:noWrap/>
            <w:vAlign w:val="bottom"/>
            <w:hideMark/>
          </w:tcPr>
          <w:p w14:paraId="29256CB7" w14:textId="77777777" w:rsidR="00000000" w:rsidRDefault="003A1B5D">
            <w:pPr>
              <w:pStyle w:val="a3"/>
              <w:spacing w:before="0" w:beforeAutospacing="0" w:after="0" w:afterAutospacing="0"/>
              <w:rPr>
                <w:sz w:val="20"/>
                <w:szCs w:val="20"/>
              </w:rPr>
            </w:pPr>
            <w:r>
              <w:rPr>
                <w:sz w:val="20"/>
                <w:szCs w:val="20"/>
              </w:rPr>
              <w:t> </w:t>
            </w:r>
          </w:p>
        </w:tc>
      </w:tr>
      <w:tr w:rsidR="00000000" w14:paraId="7A2806D7" w14:textId="77777777">
        <w:trPr>
          <w:trHeight w:val="200"/>
          <w:tblCellSpacing w:w="15" w:type="dxa"/>
        </w:trPr>
        <w:tc>
          <w:tcPr>
            <w:tcW w:w="0" w:type="auto"/>
            <w:hideMark/>
          </w:tcPr>
          <w:p w14:paraId="714B8E5D" w14:textId="77777777" w:rsidR="00000000" w:rsidRDefault="003A1B5D">
            <w:pPr>
              <w:pStyle w:val="a3"/>
              <w:spacing w:before="0" w:beforeAutospacing="0" w:after="0" w:afterAutospacing="0"/>
              <w:rPr>
                <w:sz w:val="20"/>
                <w:szCs w:val="20"/>
              </w:rPr>
            </w:pPr>
            <w:r>
              <w:rPr>
                <w:sz w:val="20"/>
                <w:szCs w:val="20"/>
              </w:rPr>
              <w:t>Assets held for sal</w:t>
            </w:r>
            <w:r>
              <w:rPr>
                <w:sz w:val="20"/>
                <w:szCs w:val="20"/>
              </w:rPr>
              <w:t>e</w:t>
            </w:r>
          </w:p>
        </w:tc>
        <w:tc>
          <w:tcPr>
            <w:tcW w:w="0" w:type="auto"/>
            <w:vAlign w:val="bottom"/>
            <w:hideMark/>
          </w:tcPr>
          <w:p w14:paraId="7AA1695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D53FE1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A46673B" w14:textId="77777777" w:rsidR="00000000" w:rsidRDefault="003A1B5D">
            <w:pPr>
              <w:pStyle w:val="a3"/>
              <w:spacing w:before="0" w:beforeAutospacing="0" w:after="0" w:afterAutospacing="0"/>
              <w:jc w:val="right"/>
              <w:rPr>
                <w:sz w:val="20"/>
                <w:szCs w:val="20"/>
              </w:rPr>
            </w:pPr>
            <w:r>
              <w:rPr>
                <w:b/>
                <w:bCs/>
                <w:sz w:val="20"/>
                <w:szCs w:val="20"/>
              </w:rPr>
              <w:t>6,65</w:t>
            </w:r>
            <w:r>
              <w:rPr>
                <w:b/>
                <w:bCs/>
                <w:sz w:val="20"/>
                <w:szCs w:val="20"/>
              </w:rPr>
              <w:t>9</w:t>
            </w:r>
          </w:p>
        </w:tc>
        <w:tc>
          <w:tcPr>
            <w:tcW w:w="0" w:type="auto"/>
            <w:noWrap/>
            <w:vAlign w:val="bottom"/>
            <w:hideMark/>
          </w:tcPr>
          <w:p w14:paraId="39F31DD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ECCD86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3961D8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0F80D3A" w14:textId="77777777" w:rsidR="00000000" w:rsidRDefault="003A1B5D">
            <w:pPr>
              <w:pStyle w:val="a3"/>
              <w:spacing w:before="0" w:beforeAutospacing="0" w:after="0" w:afterAutospacing="0"/>
              <w:jc w:val="right"/>
              <w:rPr>
                <w:sz w:val="20"/>
                <w:szCs w:val="20"/>
              </w:rPr>
            </w:pPr>
            <w:r>
              <w:rPr>
                <w:sz w:val="20"/>
                <w:szCs w:val="20"/>
              </w:rPr>
              <w:t>6,99</w:t>
            </w:r>
            <w:r>
              <w:rPr>
                <w:sz w:val="20"/>
                <w:szCs w:val="20"/>
              </w:rPr>
              <w:t>6</w:t>
            </w:r>
          </w:p>
        </w:tc>
        <w:tc>
          <w:tcPr>
            <w:tcW w:w="0" w:type="auto"/>
            <w:noWrap/>
            <w:vAlign w:val="bottom"/>
            <w:hideMark/>
          </w:tcPr>
          <w:p w14:paraId="07203899" w14:textId="77777777" w:rsidR="00000000" w:rsidRDefault="003A1B5D">
            <w:pPr>
              <w:pStyle w:val="a3"/>
              <w:spacing w:before="0" w:beforeAutospacing="0" w:after="0" w:afterAutospacing="0"/>
              <w:rPr>
                <w:sz w:val="20"/>
                <w:szCs w:val="20"/>
              </w:rPr>
            </w:pPr>
            <w:r>
              <w:rPr>
                <w:sz w:val="20"/>
                <w:szCs w:val="20"/>
              </w:rPr>
              <w:t> </w:t>
            </w:r>
          </w:p>
        </w:tc>
      </w:tr>
      <w:tr w:rsidR="00000000" w14:paraId="19518A88" w14:textId="77777777">
        <w:trPr>
          <w:trHeight w:val="200"/>
          <w:tblCellSpacing w:w="15" w:type="dxa"/>
        </w:trPr>
        <w:tc>
          <w:tcPr>
            <w:tcW w:w="0" w:type="auto"/>
            <w:hideMark/>
          </w:tcPr>
          <w:p w14:paraId="6C9B6E53" w14:textId="77777777" w:rsidR="00000000" w:rsidRDefault="003A1B5D">
            <w:pPr>
              <w:pStyle w:val="a3"/>
              <w:spacing w:before="0" w:beforeAutospacing="0" w:after="0" w:afterAutospacing="0"/>
              <w:ind w:left="200"/>
              <w:rPr>
                <w:sz w:val="20"/>
                <w:szCs w:val="20"/>
              </w:rPr>
            </w:pPr>
            <w:r>
              <w:rPr>
                <w:sz w:val="20"/>
                <w:szCs w:val="20"/>
              </w:rPr>
              <w:t>Total current asset</w:t>
            </w:r>
            <w:r>
              <w:rPr>
                <w:sz w:val="20"/>
                <w:szCs w:val="20"/>
              </w:rPr>
              <w:t>s</w:t>
            </w:r>
          </w:p>
        </w:tc>
        <w:tc>
          <w:tcPr>
            <w:tcW w:w="0" w:type="auto"/>
            <w:vAlign w:val="bottom"/>
            <w:hideMark/>
          </w:tcPr>
          <w:p w14:paraId="21E448A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DC5360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1B62C7E" w14:textId="77777777" w:rsidR="00000000" w:rsidRDefault="003A1B5D">
            <w:pPr>
              <w:pStyle w:val="a3"/>
              <w:spacing w:before="0" w:beforeAutospacing="0" w:after="0" w:afterAutospacing="0"/>
              <w:jc w:val="right"/>
              <w:rPr>
                <w:sz w:val="20"/>
                <w:szCs w:val="20"/>
              </w:rPr>
            </w:pPr>
            <w:r>
              <w:rPr>
                <w:b/>
                <w:bCs/>
                <w:sz w:val="20"/>
                <w:szCs w:val="20"/>
              </w:rPr>
              <w:t>529,96</w:t>
            </w:r>
            <w:r>
              <w:rPr>
                <w:b/>
                <w:bCs/>
                <w:sz w:val="20"/>
                <w:szCs w:val="20"/>
              </w:rPr>
              <w:t>3</w:t>
            </w:r>
          </w:p>
        </w:tc>
        <w:tc>
          <w:tcPr>
            <w:tcW w:w="0" w:type="auto"/>
            <w:noWrap/>
            <w:vAlign w:val="bottom"/>
            <w:hideMark/>
          </w:tcPr>
          <w:p w14:paraId="64D5ACF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459A61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E44E3A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3DEFCF3" w14:textId="77777777" w:rsidR="00000000" w:rsidRDefault="003A1B5D">
            <w:pPr>
              <w:pStyle w:val="a3"/>
              <w:spacing w:before="0" w:beforeAutospacing="0" w:after="0" w:afterAutospacing="0"/>
              <w:jc w:val="right"/>
              <w:rPr>
                <w:sz w:val="20"/>
                <w:szCs w:val="20"/>
              </w:rPr>
            </w:pPr>
            <w:r>
              <w:rPr>
                <w:sz w:val="20"/>
                <w:szCs w:val="20"/>
              </w:rPr>
              <w:t>627,38</w:t>
            </w:r>
            <w:r>
              <w:rPr>
                <w:sz w:val="20"/>
                <w:szCs w:val="20"/>
              </w:rPr>
              <w:t>4</w:t>
            </w:r>
          </w:p>
        </w:tc>
        <w:tc>
          <w:tcPr>
            <w:tcW w:w="0" w:type="auto"/>
            <w:noWrap/>
            <w:vAlign w:val="bottom"/>
            <w:hideMark/>
          </w:tcPr>
          <w:p w14:paraId="3C9ACA59" w14:textId="77777777" w:rsidR="00000000" w:rsidRDefault="003A1B5D">
            <w:pPr>
              <w:pStyle w:val="a3"/>
              <w:spacing w:before="0" w:beforeAutospacing="0" w:after="0" w:afterAutospacing="0"/>
              <w:rPr>
                <w:sz w:val="20"/>
                <w:szCs w:val="20"/>
              </w:rPr>
            </w:pPr>
            <w:r>
              <w:rPr>
                <w:sz w:val="20"/>
                <w:szCs w:val="20"/>
              </w:rPr>
              <w:t> </w:t>
            </w:r>
          </w:p>
        </w:tc>
      </w:tr>
      <w:tr w:rsidR="00000000" w14:paraId="1DF542B8" w14:textId="77777777">
        <w:trPr>
          <w:trHeight w:val="200"/>
          <w:tblCellSpacing w:w="15" w:type="dxa"/>
        </w:trPr>
        <w:tc>
          <w:tcPr>
            <w:tcW w:w="0" w:type="auto"/>
            <w:hideMark/>
          </w:tcPr>
          <w:p w14:paraId="683C40D8" w14:textId="77777777" w:rsidR="00000000" w:rsidRDefault="003A1B5D">
            <w:pPr>
              <w:pStyle w:val="a3"/>
              <w:spacing w:before="0" w:beforeAutospacing="0" w:after="0" w:afterAutospacing="0"/>
              <w:rPr>
                <w:sz w:val="20"/>
                <w:szCs w:val="20"/>
              </w:rPr>
            </w:pPr>
            <w:r>
              <w:rPr>
                <w:sz w:val="20"/>
                <w:szCs w:val="20"/>
              </w:rPr>
              <w:t>Real estate and related assets</w:t>
            </w:r>
            <w:r>
              <w:rPr>
                <w:sz w:val="20"/>
                <w:szCs w:val="20"/>
              </w:rPr>
              <w:t>:</w:t>
            </w:r>
          </w:p>
        </w:tc>
        <w:tc>
          <w:tcPr>
            <w:tcW w:w="0" w:type="auto"/>
            <w:vAlign w:val="bottom"/>
            <w:hideMark/>
          </w:tcPr>
          <w:p w14:paraId="6A909C92"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48D381C7"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752688FB"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6261EF48"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62257EC9"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37DD8DC" w14:textId="77777777" w:rsidR="00000000" w:rsidRDefault="003A1B5D">
            <w:pPr>
              <w:pStyle w:val="a3"/>
              <w:spacing w:before="0" w:beforeAutospacing="0" w:after="0" w:afterAutospacing="0"/>
              <w:jc w:val="right"/>
              <w:rPr>
                <w:sz w:val="20"/>
                <w:szCs w:val="20"/>
              </w:rPr>
            </w:pPr>
            <w:r>
              <w:rPr>
                <w:sz w:val="20"/>
                <w:szCs w:val="20"/>
              </w:rPr>
              <w:t> </w:t>
            </w:r>
          </w:p>
        </w:tc>
      </w:tr>
      <w:tr w:rsidR="00000000" w14:paraId="472FF63D" w14:textId="77777777">
        <w:trPr>
          <w:trHeight w:val="200"/>
          <w:tblCellSpacing w:w="15" w:type="dxa"/>
        </w:trPr>
        <w:tc>
          <w:tcPr>
            <w:tcW w:w="0" w:type="auto"/>
            <w:hideMark/>
          </w:tcPr>
          <w:p w14:paraId="650D5BAB" w14:textId="77777777" w:rsidR="00000000" w:rsidRDefault="003A1B5D">
            <w:pPr>
              <w:pStyle w:val="a3"/>
              <w:spacing w:before="0" w:beforeAutospacing="0" w:after="0" w:afterAutospacing="0"/>
              <w:rPr>
                <w:sz w:val="20"/>
                <w:szCs w:val="20"/>
              </w:rPr>
            </w:pPr>
            <w:r>
              <w:rPr>
                <w:sz w:val="20"/>
                <w:szCs w:val="20"/>
              </w:rPr>
              <w:t xml:space="preserve">   Property and equipment, net of accumulated depreciation of </w:t>
            </w:r>
            <w:r>
              <w:rPr>
                <w:sz w:val="20"/>
                <w:szCs w:val="20"/>
              </w:rPr>
              <w:t>$</w:t>
            </w:r>
            <w:r>
              <w:rPr>
                <w:sz w:val="20"/>
                <w:szCs w:val="20"/>
              </w:rPr>
              <w:t>1,688,39</w:t>
            </w:r>
            <w:r>
              <w:rPr>
                <w:sz w:val="20"/>
                <w:szCs w:val="20"/>
              </w:rPr>
              <w:t>0</w:t>
            </w:r>
            <w:r>
              <w:rPr>
                <w:sz w:val="20"/>
                <w:szCs w:val="20"/>
              </w:rPr>
              <w:t> </w:t>
            </w:r>
            <w:r>
              <w:rPr>
                <w:sz w:val="20"/>
                <w:szCs w:val="20"/>
              </w:rPr>
              <w:br/>
              <w:t xml:space="preserve">       and </w:t>
            </w:r>
            <w:r>
              <w:rPr>
                <w:sz w:val="20"/>
                <w:szCs w:val="20"/>
              </w:rPr>
              <w:t>$</w:t>
            </w:r>
            <w:r>
              <w:rPr>
                <w:sz w:val="20"/>
                <w:szCs w:val="20"/>
              </w:rPr>
              <w:t>1,657,70</w:t>
            </w:r>
            <w:r>
              <w:rPr>
                <w:sz w:val="20"/>
                <w:szCs w:val="20"/>
              </w:rPr>
              <w:t>9</w:t>
            </w:r>
            <w:r>
              <w:rPr>
                <w:sz w:val="20"/>
                <w:szCs w:val="20"/>
              </w:rPr>
              <w:t>, respectivel</w:t>
            </w:r>
            <w:r>
              <w:rPr>
                <w:sz w:val="20"/>
                <w:szCs w:val="20"/>
              </w:rPr>
              <w:t>y</w:t>
            </w:r>
          </w:p>
        </w:tc>
        <w:tc>
          <w:tcPr>
            <w:tcW w:w="0" w:type="auto"/>
            <w:vAlign w:val="bottom"/>
            <w:hideMark/>
          </w:tcPr>
          <w:p w14:paraId="4C828C4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74B915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913E736" w14:textId="77777777" w:rsidR="00000000" w:rsidRDefault="003A1B5D">
            <w:pPr>
              <w:pStyle w:val="a3"/>
              <w:spacing w:before="0" w:beforeAutospacing="0" w:after="0" w:afterAutospacing="0"/>
              <w:jc w:val="right"/>
              <w:rPr>
                <w:sz w:val="20"/>
                <w:szCs w:val="20"/>
              </w:rPr>
            </w:pPr>
            <w:r>
              <w:rPr>
                <w:b/>
                <w:bCs/>
                <w:sz w:val="20"/>
                <w:szCs w:val="20"/>
              </w:rPr>
              <w:t>2,176,05</w:t>
            </w:r>
            <w:r>
              <w:rPr>
                <w:b/>
                <w:bCs/>
                <w:sz w:val="20"/>
                <w:szCs w:val="20"/>
              </w:rPr>
              <w:t>0</w:t>
            </w:r>
          </w:p>
        </w:tc>
        <w:tc>
          <w:tcPr>
            <w:tcW w:w="0" w:type="auto"/>
            <w:noWrap/>
            <w:vAlign w:val="bottom"/>
            <w:hideMark/>
          </w:tcPr>
          <w:p w14:paraId="4B99E15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9661DC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D90E8A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B394F12" w14:textId="77777777" w:rsidR="00000000" w:rsidRDefault="003A1B5D">
            <w:pPr>
              <w:pStyle w:val="a3"/>
              <w:spacing w:before="0" w:beforeAutospacing="0" w:after="0" w:afterAutospacing="0"/>
              <w:jc w:val="right"/>
              <w:rPr>
                <w:sz w:val="20"/>
                <w:szCs w:val="20"/>
              </w:rPr>
            </w:pPr>
            <w:r>
              <w:rPr>
                <w:sz w:val="20"/>
                <w:szCs w:val="20"/>
              </w:rPr>
              <w:t>2,283,25</w:t>
            </w:r>
            <w:r>
              <w:rPr>
                <w:sz w:val="20"/>
                <w:szCs w:val="20"/>
              </w:rPr>
              <w:t>6</w:t>
            </w:r>
          </w:p>
        </w:tc>
        <w:tc>
          <w:tcPr>
            <w:tcW w:w="0" w:type="auto"/>
            <w:noWrap/>
            <w:vAlign w:val="bottom"/>
            <w:hideMark/>
          </w:tcPr>
          <w:p w14:paraId="309B0C34" w14:textId="77777777" w:rsidR="00000000" w:rsidRDefault="003A1B5D">
            <w:pPr>
              <w:pStyle w:val="a3"/>
              <w:spacing w:before="0" w:beforeAutospacing="0" w:after="0" w:afterAutospacing="0"/>
              <w:rPr>
                <w:sz w:val="20"/>
                <w:szCs w:val="20"/>
              </w:rPr>
            </w:pPr>
            <w:r>
              <w:rPr>
                <w:sz w:val="20"/>
                <w:szCs w:val="20"/>
              </w:rPr>
              <w:t> </w:t>
            </w:r>
          </w:p>
        </w:tc>
      </w:tr>
      <w:tr w:rsidR="00000000" w14:paraId="593A1A6A" w14:textId="77777777">
        <w:trPr>
          <w:trHeight w:val="200"/>
          <w:tblCellSpacing w:w="15" w:type="dxa"/>
        </w:trPr>
        <w:tc>
          <w:tcPr>
            <w:tcW w:w="0" w:type="auto"/>
            <w:hideMark/>
          </w:tcPr>
          <w:p w14:paraId="160669B7" w14:textId="77777777" w:rsidR="00000000" w:rsidRDefault="003A1B5D">
            <w:pPr>
              <w:pStyle w:val="a3"/>
              <w:spacing w:before="0" w:beforeAutospacing="0" w:after="0" w:afterAutospacing="0"/>
              <w:rPr>
                <w:sz w:val="20"/>
                <w:szCs w:val="20"/>
              </w:rPr>
            </w:pPr>
            <w:r>
              <w:rPr>
                <w:sz w:val="20"/>
                <w:szCs w:val="20"/>
              </w:rPr>
              <w:t>   </w:t>
            </w:r>
            <w:r>
              <w:rPr>
                <w:sz w:val="20"/>
                <w:szCs w:val="20"/>
              </w:rPr>
              <w:t>Other real estate asset</w:t>
            </w:r>
            <w:r>
              <w:rPr>
                <w:sz w:val="20"/>
                <w:szCs w:val="20"/>
              </w:rPr>
              <w:t>s</w:t>
            </w:r>
          </w:p>
        </w:tc>
        <w:tc>
          <w:tcPr>
            <w:tcW w:w="0" w:type="auto"/>
            <w:vAlign w:val="bottom"/>
            <w:hideMark/>
          </w:tcPr>
          <w:p w14:paraId="0F12460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B147AD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BBA5CB4" w14:textId="77777777" w:rsidR="00000000" w:rsidRDefault="003A1B5D">
            <w:pPr>
              <w:pStyle w:val="a3"/>
              <w:spacing w:before="0" w:beforeAutospacing="0" w:after="0" w:afterAutospacing="0"/>
              <w:jc w:val="right"/>
              <w:rPr>
                <w:sz w:val="20"/>
                <w:szCs w:val="20"/>
              </w:rPr>
            </w:pPr>
            <w:r>
              <w:rPr>
                <w:b/>
                <w:bCs/>
                <w:sz w:val="20"/>
                <w:szCs w:val="20"/>
              </w:rPr>
              <w:t>210,24</w:t>
            </w:r>
            <w:r>
              <w:rPr>
                <w:b/>
                <w:bCs/>
                <w:sz w:val="20"/>
                <w:szCs w:val="20"/>
              </w:rPr>
              <w:t>2</w:t>
            </w:r>
          </w:p>
        </w:tc>
        <w:tc>
          <w:tcPr>
            <w:tcW w:w="0" w:type="auto"/>
            <w:noWrap/>
            <w:vAlign w:val="bottom"/>
            <w:hideMark/>
          </w:tcPr>
          <w:p w14:paraId="67835F3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5E8F50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50D204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39B2A1E" w14:textId="77777777" w:rsidR="00000000" w:rsidRDefault="003A1B5D">
            <w:pPr>
              <w:pStyle w:val="a3"/>
              <w:spacing w:before="0" w:beforeAutospacing="0" w:after="0" w:afterAutospacing="0"/>
              <w:jc w:val="right"/>
              <w:rPr>
                <w:sz w:val="20"/>
                <w:szCs w:val="20"/>
              </w:rPr>
            </w:pPr>
            <w:r>
              <w:rPr>
                <w:sz w:val="20"/>
                <w:szCs w:val="20"/>
              </w:rPr>
              <w:t>218,91</w:t>
            </w:r>
            <w:r>
              <w:rPr>
                <w:sz w:val="20"/>
                <w:szCs w:val="20"/>
              </w:rPr>
              <w:t>5</w:t>
            </w:r>
          </w:p>
        </w:tc>
        <w:tc>
          <w:tcPr>
            <w:tcW w:w="0" w:type="auto"/>
            <w:noWrap/>
            <w:vAlign w:val="bottom"/>
            <w:hideMark/>
          </w:tcPr>
          <w:p w14:paraId="12AB85D6" w14:textId="77777777" w:rsidR="00000000" w:rsidRDefault="003A1B5D">
            <w:pPr>
              <w:pStyle w:val="a3"/>
              <w:spacing w:before="0" w:beforeAutospacing="0" w:after="0" w:afterAutospacing="0"/>
              <w:rPr>
                <w:sz w:val="20"/>
                <w:szCs w:val="20"/>
              </w:rPr>
            </w:pPr>
            <w:r>
              <w:rPr>
                <w:sz w:val="20"/>
                <w:szCs w:val="20"/>
              </w:rPr>
              <w:t> </w:t>
            </w:r>
          </w:p>
        </w:tc>
      </w:tr>
      <w:tr w:rsidR="00000000" w14:paraId="724AB6E2" w14:textId="77777777">
        <w:trPr>
          <w:trHeight w:val="200"/>
          <w:tblCellSpacing w:w="15" w:type="dxa"/>
        </w:trPr>
        <w:tc>
          <w:tcPr>
            <w:tcW w:w="0" w:type="auto"/>
            <w:hideMark/>
          </w:tcPr>
          <w:p w14:paraId="25142CC6" w14:textId="77777777" w:rsidR="00000000" w:rsidRDefault="003A1B5D">
            <w:pPr>
              <w:pStyle w:val="a3"/>
              <w:spacing w:before="0" w:beforeAutospacing="0" w:after="0" w:afterAutospacing="0"/>
              <w:rPr>
                <w:sz w:val="20"/>
                <w:szCs w:val="20"/>
              </w:rPr>
            </w:pPr>
            <w:r>
              <w:rPr>
                <w:sz w:val="20"/>
                <w:szCs w:val="20"/>
              </w:rPr>
              <w:t>Goodwil</w:t>
            </w:r>
            <w:r>
              <w:rPr>
                <w:sz w:val="20"/>
                <w:szCs w:val="20"/>
              </w:rPr>
              <w:t>l</w:t>
            </w:r>
          </w:p>
        </w:tc>
        <w:tc>
          <w:tcPr>
            <w:tcW w:w="0" w:type="auto"/>
            <w:vAlign w:val="bottom"/>
            <w:hideMark/>
          </w:tcPr>
          <w:p w14:paraId="120680B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E84F60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DE01714" w14:textId="77777777" w:rsidR="00000000" w:rsidRDefault="003A1B5D">
            <w:pPr>
              <w:pStyle w:val="a3"/>
              <w:spacing w:before="0" w:beforeAutospacing="0" w:after="0" w:afterAutospacing="0"/>
              <w:jc w:val="right"/>
              <w:rPr>
                <w:sz w:val="20"/>
                <w:szCs w:val="20"/>
              </w:rPr>
            </w:pPr>
            <w:r>
              <w:rPr>
                <w:b/>
                <w:bCs/>
                <w:sz w:val="20"/>
                <w:szCs w:val="20"/>
              </w:rPr>
              <w:t>4,84</w:t>
            </w:r>
            <w:r>
              <w:rPr>
                <w:b/>
                <w:bCs/>
                <w:sz w:val="20"/>
                <w:szCs w:val="20"/>
              </w:rPr>
              <w:t>4</w:t>
            </w:r>
          </w:p>
        </w:tc>
        <w:tc>
          <w:tcPr>
            <w:tcW w:w="0" w:type="auto"/>
            <w:noWrap/>
            <w:vAlign w:val="bottom"/>
            <w:hideMark/>
          </w:tcPr>
          <w:p w14:paraId="48E2499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C2EBC8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802DB7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0A9161A" w14:textId="77777777" w:rsidR="00000000" w:rsidRDefault="003A1B5D">
            <w:pPr>
              <w:pStyle w:val="a3"/>
              <w:spacing w:before="0" w:beforeAutospacing="0" w:after="0" w:afterAutospacing="0"/>
              <w:jc w:val="right"/>
              <w:rPr>
                <w:sz w:val="20"/>
                <w:szCs w:val="20"/>
              </w:rPr>
            </w:pPr>
            <w:r>
              <w:rPr>
                <w:sz w:val="20"/>
                <w:szCs w:val="20"/>
              </w:rPr>
              <w:t>4,84</w:t>
            </w:r>
            <w:r>
              <w:rPr>
                <w:sz w:val="20"/>
                <w:szCs w:val="20"/>
              </w:rPr>
              <w:t>4</w:t>
            </w:r>
          </w:p>
        </w:tc>
        <w:tc>
          <w:tcPr>
            <w:tcW w:w="0" w:type="auto"/>
            <w:noWrap/>
            <w:vAlign w:val="bottom"/>
            <w:hideMark/>
          </w:tcPr>
          <w:p w14:paraId="31C1C90D" w14:textId="77777777" w:rsidR="00000000" w:rsidRDefault="003A1B5D">
            <w:pPr>
              <w:pStyle w:val="a3"/>
              <w:spacing w:before="0" w:beforeAutospacing="0" w:after="0" w:afterAutospacing="0"/>
              <w:rPr>
                <w:sz w:val="20"/>
                <w:szCs w:val="20"/>
              </w:rPr>
            </w:pPr>
            <w:r>
              <w:rPr>
                <w:sz w:val="20"/>
                <w:szCs w:val="20"/>
              </w:rPr>
              <w:t> </w:t>
            </w:r>
          </w:p>
        </w:tc>
      </w:tr>
      <w:tr w:rsidR="00000000" w14:paraId="505D4483" w14:textId="77777777">
        <w:trPr>
          <w:trHeight w:val="200"/>
          <w:tblCellSpacing w:w="15" w:type="dxa"/>
        </w:trPr>
        <w:tc>
          <w:tcPr>
            <w:tcW w:w="0" w:type="auto"/>
            <w:hideMark/>
          </w:tcPr>
          <w:p w14:paraId="37570106" w14:textId="77777777" w:rsidR="00000000" w:rsidRDefault="003A1B5D">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14:paraId="1FCF260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8F20AF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89BA9AE" w14:textId="77777777" w:rsidR="00000000" w:rsidRDefault="003A1B5D">
            <w:pPr>
              <w:pStyle w:val="a3"/>
              <w:spacing w:before="0" w:beforeAutospacing="0" w:after="0" w:afterAutospacing="0"/>
              <w:jc w:val="right"/>
              <w:rPr>
                <w:sz w:val="20"/>
                <w:szCs w:val="20"/>
              </w:rPr>
            </w:pPr>
            <w:r>
              <w:rPr>
                <w:b/>
                <w:bCs/>
                <w:sz w:val="20"/>
                <w:szCs w:val="20"/>
              </w:rPr>
              <w:t>349,82</w:t>
            </w:r>
            <w:r>
              <w:rPr>
                <w:b/>
                <w:bCs/>
                <w:sz w:val="20"/>
                <w:szCs w:val="20"/>
              </w:rPr>
              <w:t>7</w:t>
            </w:r>
          </w:p>
        </w:tc>
        <w:tc>
          <w:tcPr>
            <w:tcW w:w="0" w:type="auto"/>
            <w:noWrap/>
            <w:vAlign w:val="bottom"/>
            <w:hideMark/>
          </w:tcPr>
          <w:p w14:paraId="76C94D0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39CF71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7BEDB7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FF6E024" w14:textId="77777777" w:rsidR="00000000" w:rsidRDefault="003A1B5D">
            <w:pPr>
              <w:pStyle w:val="a3"/>
              <w:spacing w:before="0" w:beforeAutospacing="0" w:after="0" w:afterAutospacing="0"/>
              <w:jc w:val="right"/>
              <w:rPr>
                <w:sz w:val="20"/>
                <w:szCs w:val="20"/>
              </w:rPr>
            </w:pPr>
            <w:r>
              <w:rPr>
                <w:sz w:val="20"/>
                <w:szCs w:val="20"/>
              </w:rPr>
              <w:t>364,53</w:t>
            </w:r>
            <w:r>
              <w:rPr>
                <w:sz w:val="20"/>
                <w:szCs w:val="20"/>
              </w:rPr>
              <w:t>9</w:t>
            </w:r>
          </w:p>
        </w:tc>
        <w:tc>
          <w:tcPr>
            <w:tcW w:w="0" w:type="auto"/>
            <w:noWrap/>
            <w:vAlign w:val="bottom"/>
            <w:hideMark/>
          </w:tcPr>
          <w:p w14:paraId="4D01927B" w14:textId="77777777" w:rsidR="00000000" w:rsidRDefault="003A1B5D">
            <w:pPr>
              <w:pStyle w:val="a3"/>
              <w:spacing w:before="0" w:beforeAutospacing="0" w:after="0" w:afterAutospacing="0"/>
              <w:rPr>
                <w:sz w:val="20"/>
                <w:szCs w:val="20"/>
              </w:rPr>
            </w:pPr>
            <w:r>
              <w:rPr>
                <w:sz w:val="20"/>
                <w:szCs w:val="20"/>
              </w:rPr>
              <w:t> </w:t>
            </w:r>
          </w:p>
        </w:tc>
      </w:tr>
      <w:tr w:rsidR="00000000" w14:paraId="0A6211CF" w14:textId="77777777">
        <w:trPr>
          <w:trHeight w:val="200"/>
          <w:tblCellSpacing w:w="15" w:type="dxa"/>
        </w:trPr>
        <w:tc>
          <w:tcPr>
            <w:tcW w:w="0" w:type="auto"/>
            <w:hideMark/>
          </w:tcPr>
          <w:p w14:paraId="251A288A" w14:textId="77777777" w:rsidR="00000000" w:rsidRDefault="003A1B5D">
            <w:pPr>
              <w:pStyle w:val="a3"/>
              <w:spacing w:before="0" w:beforeAutospacing="0" w:after="0" w:afterAutospacing="0"/>
              <w:ind w:left="200"/>
              <w:rPr>
                <w:sz w:val="20"/>
                <w:szCs w:val="20"/>
              </w:rPr>
            </w:pPr>
            <w:r>
              <w:rPr>
                <w:sz w:val="20"/>
                <w:szCs w:val="20"/>
              </w:rPr>
              <w:t>Total asset</w:t>
            </w:r>
            <w:r>
              <w:rPr>
                <w:sz w:val="20"/>
                <w:szCs w:val="20"/>
              </w:rPr>
              <w:t>s</w:t>
            </w:r>
          </w:p>
        </w:tc>
        <w:tc>
          <w:tcPr>
            <w:tcW w:w="0" w:type="auto"/>
            <w:vAlign w:val="bottom"/>
            <w:hideMark/>
          </w:tcPr>
          <w:p w14:paraId="7791EC8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42BF24D"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14FB462C" w14:textId="77777777" w:rsidR="00000000" w:rsidRDefault="003A1B5D">
            <w:pPr>
              <w:pStyle w:val="a3"/>
              <w:spacing w:before="0" w:beforeAutospacing="0" w:after="0" w:afterAutospacing="0"/>
              <w:jc w:val="right"/>
              <w:rPr>
                <w:sz w:val="20"/>
                <w:szCs w:val="20"/>
              </w:rPr>
            </w:pPr>
            <w:r>
              <w:rPr>
                <w:b/>
                <w:bCs/>
                <w:sz w:val="20"/>
                <w:szCs w:val="20"/>
              </w:rPr>
              <w:t>3,270,92</w:t>
            </w:r>
            <w:r>
              <w:rPr>
                <w:b/>
                <w:bCs/>
                <w:sz w:val="20"/>
                <w:szCs w:val="20"/>
              </w:rPr>
              <w:t>6</w:t>
            </w:r>
          </w:p>
        </w:tc>
        <w:tc>
          <w:tcPr>
            <w:tcW w:w="0" w:type="auto"/>
            <w:noWrap/>
            <w:vAlign w:val="bottom"/>
            <w:hideMark/>
          </w:tcPr>
          <w:p w14:paraId="06BFC36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5B9045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5E84BFB"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5BB7B5DF" w14:textId="77777777" w:rsidR="00000000" w:rsidRDefault="003A1B5D">
            <w:pPr>
              <w:pStyle w:val="a3"/>
              <w:spacing w:before="0" w:beforeAutospacing="0" w:after="0" w:afterAutospacing="0"/>
              <w:jc w:val="right"/>
              <w:rPr>
                <w:sz w:val="20"/>
                <w:szCs w:val="20"/>
              </w:rPr>
            </w:pPr>
            <w:r>
              <w:rPr>
                <w:sz w:val="20"/>
                <w:szCs w:val="20"/>
              </w:rPr>
              <w:t>3,498,93</w:t>
            </w:r>
            <w:r>
              <w:rPr>
                <w:sz w:val="20"/>
                <w:szCs w:val="20"/>
              </w:rPr>
              <w:t>8</w:t>
            </w:r>
          </w:p>
        </w:tc>
        <w:tc>
          <w:tcPr>
            <w:tcW w:w="0" w:type="auto"/>
            <w:noWrap/>
            <w:vAlign w:val="bottom"/>
            <w:hideMark/>
          </w:tcPr>
          <w:p w14:paraId="31C9161D" w14:textId="77777777" w:rsidR="00000000" w:rsidRDefault="003A1B5D">
            <w:pPr>
              <w:pStyle w:val="a3"/>
              <w:spacing w:before="0" w:beforeAutospacing="0" w:after="0" w:afterAutospacing="0"/>
              <w:rPr>
                <w:sz w:val="20"/>
                <w:szCs w:val="20"/>
              </w:rPr>
            </w:pPr>
            <w:r>
              <w:rPr>
                <w:sz w:val="20"/>
                <w:szCs w:val="20"/>
              </w:rPr>
              <w:t> </w:t>
            </w:r>
          </w:p>
        </w:tc>
      </w:tr>
      <w:tr w:rsidR="00000000" w14:paraId="34543645" w14:textId="77777777">
        <w:trPr>
          <w:trHeight w:val="200"/>
          <w:tblCellSpacing w:w="15" w:type="dxa"/>
        </w:trPr>
        <w:tc>
          <w:tcPr>
            <w:tcW w:w="0" w:type="auto"/>
            <w:vAlign w:val="bottom"/>
            <w:hideMark/>
          </w:tcPr>
          <w:p w14:paraId="6F51D94F" w14:textId="77777777" w:rsidR="00000000" w:rsidRDefault="003A1B5D">
            <w:pPr>
              <w:pStyle w:val="a3"/>
              <w:spacing w:before="0" w:beforeAutospacing="0" w:after="0" w:afterAutospacing="0"/>
              <w:jc w:val="center"/>
              <w:rPr>
                <w:sz w:val="20"/>
                <w:szCs w:val="20"/>
              </w:rPr>
            </w:pPr>
            <w:r>
              <w:rPr>
                <w:b/>
                <w:bCs/>
                <w:sz w:val="20"/>
                <w:szCs w:val="20"/>
              </w:rPr>
              <w:t>LIABILITIES AND STOCKHOLDERS' EQUIT</w:t>
            </w:r>
            <w:r>
              <w:rPr>
                <w:b/>
                <w:bCs/>
                <w:sz w:val="20"/>
                <w:szCs w:val="20"/>
              </w:rPr>
              <w:t>Y</w:t>
            </w:r>
          </w:p>
        </w:tc>
        <w:tc>
          <w:tcPr>
            <w:tcW w:w="0" w:type="auto"/>
            <w:vAlign w:val="bottom"/>
            <w:hideMark/>
          </w:tcPr>
          <w:p w14:paraId="320AA4DC"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5D635AD2" w14:textId="77777777" w:rsidR="00000000" w:rsidRDefault="003A1B5D">
            <w:pPr>
              <w:pStyle w:val="a3"/>
              <w:spacing w:before="0" w:beforeAutospacing="0" w:after="0" w:afterAutospacing="0"/>
              <w:jc w:val="right"/>
              <w:rPr>
                <w:sz w:val="16"/>
                <w:szCs w:val="16"/>
              </w:rPr>
            </w:pPr>
            <w:r>
              <w:rPr>
                <w:sz w:val="16"/>
                <w:szCs w:val="16"/>
              </w:rPr>
              <w:t> </w:t>
            </w:r>
          </w:p>
        </w:tc>
        <w:tc>
          <w:tcPr>
            <w:tcW w:w="0" w:type="auto"/>
            <w:vAlign w:val="bottom"/>
            <w:hideMark/>
          </w:tcPr>
          <w:p w14:paraId="47A00E65" w14:textId="77777777" w:rsidR="00000000" w:rsidRDefault="003A1B5D">
            <w:pPr>
              <w:pStyle w:val="a3"/>
              <w:spacing w:before="0" w:beforeAutospacing="0" w:after="0" w:afterAutospacing="0"/>
              <w:jc w:val="right"/>
              <w:rPr>
                <w:sz w:val="16"/>
                <w:szCs w:val="16"/>
              </w:rPr>
            </w:pPr>
            <w:r>
              <w:rPr>
                <w:sz w:val="16"/>
                <w:szCs w:val="16"/>
              </w:rPr>
              <w:t> </w:t>
            </w:r>
          </w:p>
        </w:tc>
        <w:tc>
          <w:tcPr>
            <w:tcW w:w="0" w:type="auto"/>
            <w:vAlign w:val="bottom"/>
            <w:hideMark/>
          </w:tcPr>
          <w:p w14:paraId="625505F1"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72D1D2CD" w14:textId="77777777" w:rsidR="00000000" w:rsidRDefault="003A1B5D">
            <w:pPr>
              <w:pStyle w:val="a3"/>
              <w:spacing w:before="0" w:beforeAutospacing="0" w:after="0" w:afterAutospacing="0"/>
              <w:jc w:val="right"/>
              <w:rPr>
                <w:sz w:val="16"/>
                <w:szCs w:val="16"/>
              </w:rPr>
            </w:pPr>
            <w:r>
              <w:rPr>
                <w:sz w:val="16"/>
                <w:szCs w:val="16"/>
              </w:rPr>
              <w:t> </w:t>
            </w:r>
          </w:p>
        </w:tc>
        <w:tc>
          <w:tcPr>
            <w:tcW w:w="0" w:type="auto"/>
            <w:vAlign w:val="bottom"/>
            <w:hideMark/>
          </w:tcPr>
          <w:p w14:paraId="76910405" w14:textId="77777777" w:rsidR="00000000" w:rsidRDefault="003A1B5D">
            <w:pPr>
              <w:pStyle w:val="a3"/>
              <w:spacing w:before="0" w:beforeAutospacing="0" w:after="0" w:afterAutospacing="0"/>
              <w:jc w:val="right"/>
              <w:rPr>
                <w:sz w:val="16"/>
                <w:szCs w:val="16"/>
              </w:rPr>
            </w:pPr>
            <w:r>
              <w:rPr>
                <w:sz w:val="16"/>
                <w:szCs w:val="16"/>
              </w:rPr>
              <w:t> </w:t>
            </w:r>
          </w:p>
        </w:tc>
      </w:tr>
      <w:tr w:rsidR="00000000" w14:paraId="7ABC0970" w14:textId="77777777">
        <w:trPr>
          <w:trHeight w:val="200"/>
          <w:tblCellSpacing w:w="15" w:type="dxa"/>
        </w:trPr>
        <w:tc>
          <w:tcPr>
            <w:tcW w:w="0" w:type="auto"/>
            <w:hideMark/>
          </w:tcPr>
          <w:p w14:paraId="1DB2B1B0" w14:textId="77777777" w:rsidR="00000000" w:rsidRDefault="003A1B5D">
            <w:pPr>
              <w:pStyle w:val="a3"/>
              <w:spacing w:before="0" w:beforeAutospacing="0" w:after="0" w:afterAutospacing="0"/>
              <w:rPr>
                <w:sz w:val="20"/>
                <w:szCs w:val="20"/>
              </w:rPr>
            </w:pPr>
            <w:r>
              <w:rPr>
                <w:sz w:val="20"/>
                <w:szCs w:val="20"/>
              </w:rPr>
              <w:t>Accounts payable and accrued expense</w:t>
            </w:r>
            <w:r>
              <w:rPr>
                <w:sz w:val="20"/>
                <w:szCs w:val="20"/>
              </w:rPr>
              <w:t>s</w:t>
            </w:r>
          </w:p>
        </w:tc>
        <w:tc>
          <w:tcPr>
            <w:tcW w:w="0" w:type="auto"/>
            <w:vAlign w:val="bottom"/>
            <w:hideMark/>
          </w:tcPr>
          <w:p w14:paraId="6B575E6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1CCF7AD"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7F465720" w14:textId="77777777" w:rsidR="00000000" w:rsidRDefault="003A1B5D">
            <w:pPr>
              <w:pStyle w:val="a3"/>
              <w:spacing w:before="0" w:beforeAutospacing="0" w:after="0" w:afterAutospacing="0"/>
              <w:jc w:val="right"/>
              <w:rPr>
                <w:sz w:val="20"/>
                <w:szCs w:val="20"/>
              </w:rPr>
            </w:pPr>
            <w:r>
              <w:rPr>
                <w:b/>
                <w:bCs/>
                <w:sz w:val="20"/>
                <w:szCs w:val="20"/>
              </w:rPr>
              <w:t>295,67</w:t>
            </w:r>
            <w:r>
              <w:rPr>
                <w:b/>
                <w:bCs/>
                <w:sz w:val="20"/>
                <w:szCs w:val="20"/>
              </w:rPr>
              <w:t>1</w:t>
            </w:r>
          </w:p>
        </w:tc>
        <w:tc>
          <w:tcPr>
            <w:tcW w:w="0" w:type="auto"/>
            <w:noWrap/>
            <w:vAlign w:val="bottom"/>
            <w:hideMark/>
          </w:tcPr>
          <w:p w14:paraId="4889581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8045E5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AA3109C"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1CC0F994" w14:textId="77777777" w:rsidR="00000000" w:rsidRDefault="003A1B5D">
            <w:pPr>
              <w:pStyle w:val="a3"/>
              <w:spacing w:before="0" w:beforeAutospacing="0" w:after="0" w:afterAutospacing="0"/>
              <w:jc w:val="right"/>
              <w:rPr>
                <w:sz w:val="20"/>
                <w:szCs w:val="20"/>
              </w:rPr>
            </w:pPr>
            <w:r>
              <w:rPr>
                <w:sz w:val="20"/>
                <w:szCs w:val="20"/>
              </w:rPr>
              <w:t>305,59</w:t>
            </w:r>
            <w:r>
              <w:rPr>
                <w:sz w:val="20"/>
                <w:szCs w:val="20"/>
              </w:rPr>
              <w:t>2</w:t>
            </w:r>
          </w:p>
        </w:tc>
        <w:tc>
          <w:tcPr>
            <w:tcW w:w="0" w:type="auto"/>
            <w:noWrap/>
            <w:vAlign w:val="bottom"/>
            <w:hideMark/>
          </w:tcPr>
          <w:p w14:paraId="3233727E" w14:textId="77777777" w:rsidR="00000000" w:rsidRDefault="003A1B5D">
            <w:pPr>
              <w:pStyle w:val="a3"/>
              <w:spacing w:before="0" w:beforeAutospacing="0" w:after="0" w:afterAutospacing="0"/>
              <w:rPr>
                <w:sz w:val="20"/>
                <w:szCs w:val="20"/>
              </w:rPr>
            </w:pPr>
            <w:r>
              <w:rPr>
                <w:sz w:val="20"/>
                <w:szCs w:val="20"/>
              </w:rPr>
              <w:t> </w:t>
            </w:r>
          </w:p>
        </w:tc>
      </w:tr>
      <w:tr w:rsidR="00000000" w14:paraId="5596A44C" w14:textId="77777777">
        <w:trPr>
          <w:trHeight w:val="200"/>
          <w:tblCellSpacing w:w="15" w:type="dxa"/>
        </w:trPr>
        <w:tc>
          <w:tcPr>
            <w:tcW w:w="0" w:type="auto"/>
            <w:hideMark/>
          </w:tcPr>
          <w:p w14:paraId="1AC2FA56" w14:textId="77777777" w:rsidR="00000000" w:rsidRDefault="003A1B5D">
            <w:pPr>
              <w:pStyle w:val="a3"/>
              <w:spacing w:before="0" w:beforeAutospacing="0" w:after="0" w:afterAutospacing="0"/>
              <w:rPr>
                <w:sz w:val="20"/>
                <w:szCs w:val="20"/>
              </w:rPr>
            </w:pPr>
            <w:r>
              <w:rPr>
                <w:sz w:val="20"/>
                <w:szCs w:val="20"/>
              </w:rPr>
              <w:t>Current portion of long-term deb</w:t>
            </w:r>
            <w:r>
              <w:rPr>
                <w:sz w:val="20"/>
                <w:szCs w:val="20"/>
              </w:rPr>
              <w:t>t</w:t>
            </w:r>
          </w:p>
        </w:tc>
        <w:tc>
          <w:tcPr>
            <w:tcW w:w="0" w:type="auto"/>
            <w:vAlign w:val="bottom"/>
            <w:hideMark/>
          </w:tcPr>
          <w:p w14:paraId="450A776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D93932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181AFE9" w14:textId="77777777" w:rsidR="00000000" w:rsidRDefault="003A1B5D">
            <w:pPr>
              <w:pStyle w:val="a3"/>
              <w:spacing w:before="0" w:beforeAutospacing="0" w:after="0" w:afterAutospacing="0"/>
              <w:jc w:val="right"/>
              <w:rPr>
                <w:sz w:val="20"/>
                <w:szCs w:val="20"/>
              </w:rPr>
            </w:pPr>
            <w:r>
              <w:rPr>
                <w:b/>
                <w:bCs/>
                <w:sz w:val="20"/>
                <w:szCs w:val="20"/>
              </w:rPr>
              <w:t>177,55</w:t>
            </w:r>
            <w:r>
              <w:rPr>
                <w:b/>
                <w:bCs/>
                <w:sz w:val="20"/>
                <w:szCs w:val="20"/>
              </w:rPr>
              <w:t>6</w:t>
            </w:r>
          </w:p>
        </w:tc>
        <w:tc>
          <w:tcPr>
            <w:tcW w:w="0" w:type="auto"/>
            <w:noWrap/>
            <w:vAlign w:val="bottom"/>
            <w:hideMark/>
          </w:tcPr>
          <w:p w14:paraId="47466EF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41AB93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041410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267E0A4" w14:textId="77777777" w:rsidR="00000000" w:rsidRDefault="003A1B5D">
            <w:pPr>
              <w:pStyle w:val="a3"/>
              <w:spacing w:before="0" w:beforeAutospacing="0" w:after="0" w:afterAutospacing="0"/>
              <w:jc w:val="right"/>
              <w:rPr>
                <w:sz w:val="20"/>
                <w:szCs w:val="20"/>
              </w:rPr>
            </w:pPr>
            <w:r>
              <w:rPr>
                <w:sz w:val="20"/>
                <w:szCs w:val="20"/>
              </w:rPr>
              <w:t>35,37</w:t>
            </w:r>
            <w:r>
              <w:rPr>
                <w:sz w:val="20"/>
                <w:szCs w:val="20"/>
              </w:rPr>
              <w:t>6</w:t>
            </w:r>
          </w:p>
        </w:tc>
        <w:tc>
          <w:tcPr>
            <w:tcW w:w="0" w:type="auto"/>
            <w:noWrap/>
            <w:vAlign w:val="bottom"/>
            <w:hideMark/>
          </w:tcPr>
          <w:p w14:paraId="0621B12C" w14:textId="77777777" w:rsidR="00000000" w:rsidRDefault="003A1B5D">
            <w:pPr>
              <w:pStyle w:val="a3"/>
              <w:spacing w:before="0" w:beforeAutospacing="0" w:after="0" w:afterAutospacing="0"/>
              <w:rPr>
                <w:sz w:val="20"/>
                <w:szCs w:val="20"/>
              </w:rPr>
            </w:pPr>
            <w:r>
              <w:rPr>
                <w:sz w:val="20"/>
                <w:szCs w:val="20"/>
              </w:rPr>
              <w:t> </w:t>
            </w:r>
          </w:p>
        </w:tc>
      </w:tr>
      <w:tr w:rsidR="00000000" w14:paraId="7F2D1468" w14:textId="77777777">
        <w:trPr>
          <w:trHeight w:val="200"/>
          <w:tblCellSpacing w:w="15" w:type="dxa"/>
        </w:trPr>
        <w:tc>
          <w:tcPr>
            <w:tcW w:w="0" w:type="auto"/>
            <w:hideMark/>
          </w:tcPr>
          <w:p w14:paraId="0F29E41C" w14:textId="77777777" w:rsidR="00000000" w:rsidRDefault="003A1B5D">
            <w:pPr>
              <w:pStyle w:val="a3"/>
              <w:spacing w:before="0" w:beforeAutospacing="0" w:after="0" w:afterAutospacing="0"/>
              <w:ind w:left="200"/>
              <w:rPr>
                <w:sz w:val="20"/>
                <w:szCs w:val="20"/>
              </w:rPr>
            </w:pPr>
            <w:r>
              <w:rPr>
                <w:sz w:val="20"/>
                <w:szCs w:val="20"/>
              </w:rPr>
              <w:t>Total current liabilitie</w:t>
            </w:r>
            <w:r>
              <w:rPr>
                <w:sz w:val="20"/>
                <w:szCs w:val="20"/>
              </w:rPr>
              <w:t>s</w:t>
            </w:r>
          </w:p>
        </w:tc>
        <w:tc>
          <w:tcPr>
            <w:tcW w:w="0" w:type="auto"/>
            <w:vAlign w:val="bottom"/>
            <w:hideMark/>
          </w:tcPr>
          <w:p w14:paraId="5520BA3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395E5F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8A32D57" w14:textId="77777777" w:rsidR="00000000" w:rsidRDefault="003A1B5D">
            <w:pPr>
              <w:pStyle w:val="a3"/>
              <w:spacing w:before="0" w:beforeAutospacing="0" w:after="0" w:afterAutospacing="0"/>
              <w:jc w:val="right"/>
              <w:rPr>
                <w:sz w:val="20"/>
                <w:szCs w:val="20"/>
              </w:rPr>
            </w:pPr>
            <w:r>
              <w:rPr>
                <w:b/>
                <w:bCs/>
                <w:sz w:val="20"/>
                <w:szCs w:val="20"/>
              </w:rPr>
              <w:t>473,22</w:t>
            </w:r>
            <w:r>
              <w:rPr>
                <w:b/>
                <w:bCs/>
                <w:sz w:val="20"/>
                <w:szCs w:val="20"/>
              </w:rPr>
              <w:t>7</w:t>
            </w:r>
          </w:p>
        </w:tc>
        <w:tc>
          <w:tcPr>
            <w:tcW w:w="0" w:type="auto"/>
            <w:noWrap/>
            <w:vAlign w:val="bottom"/>
            <w:hideMark/>
          </w:tcPr>
          <w:p w14:paraId="770F0D7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784642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D03D30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6C2EA91" w14:textId="77777777" w:rsidR="00000000" w:rsidRDefault="003A1B5D">
            <w:pPr>
              <w:pStyle w:val="a3"/>
              <w:spacing w:before="0" w:beforeAutospacing="0" w:after="0" w:afterAutospacing="0"/>
              <w:jc w:val="right"/>
              <w:rPr>
                <w:sz w:val="20"/>
                <w:szCs w:val="20"/>
              </w:rPr>
            </w:pPr>
            <w:r>
              <w:rPr>
                <w:sz w:val="20"/>
                <w:szCs w:val="20"/>
              </w:rPr>
              <w:t>340,96</w:t>
            </w:r>
            <w:r>
              <w:rPr>
                <w:sz w:val="20"/>
                <w:szCs w:val="20"/>
              </w:rPr>
              <w:t>8</w:t>
            </w:r>
          </w:p>
        </w:tc>
        <w:tc>
          <w:tcPr>
            <w:tcW w:w="0" w:type="auto"/>
            <w:noWrap/>
            <w:vAlign w:val="bottom"/>
            <w:hideMark/>
          </w:tcPr>
          <w:p w14:paraId="1EAD734D" w14:textId="77777777" w:rsidR="00000000" w:rsidRDefault="003A1B5D">
            <w:pPr>
              <w:pStyle w:val="a3"/>
              <w:spacing w:before="0" w:beforeAutospacing="0" w:after="0" w:afterAutospacing="0"/>
              <w:rPr>
                <w:sz w:val="20"/>
                <w:szCs w:val="20"/>
              </w:rPr>
            </w:pPr>
            <w:r>
              <w:rPr>
                <w:sz w:val="20"/>
                <w:szCs w:val="20"/>
              </w:rPr>
              <w:t> </w:t>
            </w:r>
          </w:p>
        </w:tc>
      </w:tr>
      <w:tr w:rsidR="00000000" w14:paraId="1BC0E809" w14:textId="77777777">
        <w:trPr>
          <w:trHeight w:val="200"/>
          <w:tblCellSpacing w:w="15" w:type="dxa"/>
        </w:trPr>
        <w:tc>
          <w:tcPr>
            <w:tcW w:w="0" w:type="auto"/>
            <w:hideMark/>
          </w:tcPr>
          <w:p w14:paraId="7F74C5E6" w14:textId="77777777" w:rsidR="00000000" w:rsidRDefault="003A1B5D">
            <w:pPr>
              <w:pStyle w:val="a3"/>
              <w:spacing w:before="0" w:beforeAutospacing="0" w:after="0" w:afterAutospacing="0"/>
              <w:rPr>
                <w:sz w:val="20"/>
                <w:szCs w:val="20"/>
              </w:rPr>
            </w:pPr>
            <w:r>
              <w:rPr>
                <w:sz w:val="20"/>
                <w:szCs w:val="20"/>
              </w:rPr>
              <w:t>Long-term debt, ne</w:t>
            </w:r>
            <w:r>
              <w:rPr>
                <w:sz w:val="20"/>
                <w:szCs w:val="20"/>
              </w:rPr>
              <w:t>t</w:t>
            </w:r>
          </w:p>
        </w:tc>
        <w:tc>
          <w:tcPr>
            <w:tcW w:w="0" w:type="auto"/>
            <w:vAlign w:val="bottom"/>
            <w:hideMark/>
          </w:tcPr>
          <w:p w14:paraId="3DD90CF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AD2C4F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2DBB0F2" w14:textId="77777777" w:rsidR="00000000" w:rsidRDefault="003A1B5D">
            <w:pPr>
              <w:pStyle w:val="a3"/>
              <w:spacing w:before="0" w:beforeAutospacing="0" w:after="0" w:afterAutospacing="0"/>
              <w:jc w:val="right"/>
              <w:rPr>
                <w:sz w:val="20"/>
                <w:szCs w:val="20"/>
              </w:rPr>
            </w:pPr>
            <w:r>
              <w:rPr>
                <w:b/>
                <w:bCs/>
                <w:sz w:val="20"/>
                <w:szCs w:val="20"/>
              </w:rPr>
              <w:t>1,113,93</w:t>
            </w:r>
            <w:r>
              <w:rPr>
                <w:b/>
                <w:bCs/>
                <w:sz w:val="20"/>
                <w:szCs w:val="20"/>
              </w:rPr>
              <w:t>8</w:t>
            </w:r>
          </w:p>
        </w:tc>
        <w:tc>
          <w:tcPr>
            <w:tcW w:w="0" w:type="auto"/>
            <w:noWrap/>
            <w:vAlign w:val="bottom"/>
            <w:hideMark/>
          </w:tcPr>
          <w:p w14:paraId="111FECA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0C5EFF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49302B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6DCCEBF" w14:textId="77777777" w:rsidR="00000000" w:rsidRDefault="003A1B5D">
            <w:pPr>
              <w:pStyle w:val="a3"/>
              <w:spacing w:before="0" w:beforeAutospacing="0" w:after="0" w:afterAutospacing="0"/>
              <w:jc w:val="right"/>
              <w:rPr>
                <w:sz w:val="20"/>
                <w:szCs w:val="20"/>
              </w:rPr>
            </w:pPr>
            <w:r>
              <w:rPr>
                <w:sz w:val="20"/>
                <w:szCs w:val="20"/>
              </w:rPr>
              <w:t>1,492,04</w:t>
            </w:r>
            <w:r>
              <w:rPr>
                <w:sz w:val="20"/>
                <w:szCs w:val="20"/>
              </w:rPr>
              <w:t>6</w:t>
            </w:r>
          </w:p>
        </w:tc>
        <w:tc>
          <w:tcPr>
            <w:tcW w:w="0" w:type="auto"/>
            <w:noWrap/>
            <w:vAlign w:val="bottom"/>
            <w:hideMark/>
          </w:tcPr>
          <w:p w14:paraId="3FF4572B" w14:textId="77777777" w:rsidR="00000000" w:rsidRDefault="003A1B5D">
            <w:pPr>
              <w:pStyle w:val="a3"/>
              <w:spacing w:before="0" w:beforeAutospacing="0" w:after="0" w:afterAutospacing="0"/>
              <w:rPr>
                <w:sz w:val="20"/>
                <w:szCs w:val="20"/>
              </w:rPr>
            </w:pPr>
            <w:r>
              <w:rPr>
                <w:sz w:val="20"/>
                <w:szCs w:val="20"/>
              </w:rPr>
              <w:t> </w:t>
            </w:r>
          </w:p>
        </w:tc>
      </w:tr>
      <w:tr w:rsidR="00000000" w14:paraId="2F136A20" w14:textId="77777777">
        <w:trPr>
          <w:trHeight w:val="200"/>
          <w:tblCellSpacing w:w="15" w:type="dxa"/>
        </w:trPr>
        <w:tc>
          <w:tcPr>
            <w:tcW w:w="0" w:type="auto"/>
            <w:hideMark/>
          </w:tcPr>
          <w:p w14:paraId="52926BD3" w14:textId="77777777" w:rsidR="00000000" w:rsidRDefault="003A1B5D">
            <w:pPr>
              <w:pStyle w:val="a3"/>
              <w:spacing w:before="0" w:beforeAutospacing="0" w:after="0" w:afterAutospacing="0"/>
              <w:rPr>
                <w:sz w:val="20"/>
                <w:szCs w:val="20"/>
              </w:rPr>
            </w:pPr>
            <w:r>
              <w:rPr>
                <w:sz w:val="20"/>
                <w:szCs w:val="20"/>
              </w:rPr>
              <w:t>Deferred revenu</w:t>
            </w:r>
            <w:r>
              <w:rPr>
                <w:sz w:val="20"/>
                <w:szCs w:val="20"/>
              </w:rPr>
              <w:t>e</w:t>
            </w:r>
          </w:p>
        </w:tc>
        <w:tc>
          <w:tcPr>
            <w:tcW w:w="0" w:type="auto"/>
            <w:vAlign w:val="bottom"/>
            <w:hideMark/>
          </w:tcPr>
          <w:p w14:paraId="563F4D3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582802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A7B99C9" w14:textId="77777777" w:rsidR="00000000" w:rsidRDefault="003A1B5D">
            <w:pPr>
              <w:pStyle w:val="a3"/>
              <w:spacing w:before="0" w:beforeAutospacing="0" w:after="0" w:afterAutospacing="0"/>
              <w:jc w:val="right"/>
              <w:rPr>
                <w:sz w:val="20"/>
                <w:szCs w:val="20"/>
              </w:rPr>
            </w:pPr>
            <w:r>
              <w:rPr>
                <w:b/>
                <w:bCs/>
                <w:sz w:val="20"/>
                <w:szCs w:val="20"/>
              </w:rPr>
              <w:t>23,83</w:t>
            </w:r>
            <w:r>
              <w:rPr>
                <w:b/>
                <w:bCs/>
                <w:sz w:val="20"/>
                <w:szCs w:val="20"/>
              </w:rPr>
              <w:t>0</w:t>
            </w:r>
          </w:p>
        </w:tc>
        <w:tc>
          <w:tcPr>
            <w:tcW w:w="0" w:type="auto"/>
            <w:noWrap/>
            <w:vAlign w:val="bottom"/>
            <w:hideMark/>
          </w:tcPr>
          <w:p w14:paraId="42C7754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8EB2D0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12AAE7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D741E78" w14:textId="77777777" w:rsidR="00000000" w:rsidRDefault="003A1B5D">
            <w:pPr>
              <w:pStyle w:val="a3"/>
              <w:spacing w:before="0" w:beforeAutospacing="0" w:after="0" w:afterAutospacing="0"/>
              <w:jc w:val="right"/>
              <w:rPr>
                <w:sz w:val="20"/>
                <w:szCs w:val="20"/>
              </w:rPr>
            </w:pPr>
            <w:r>
              <w:rPr>
                <w:sz w:val="20"/>
                <w:szCs w:val="20"/>
              </w:rPr>
              <w:t>27,55</w:t>
            </w:r>
            <w:r>
              <w:rPr>
                <w:sz w:val="20"/>
                <w:szCs w:val="20"/>
              </w:rPr>
              <w:t>1</w:t>
            </w:r>
          </w:p>
        </w:tc>
        <w:tc>
          <w:tcPr>
            <w:tcW w:w="0" w:type="auto"/>
            <w:noWrap/>
            <w:vAlign w:val="bottom"/>
            <w:hideMark/>
          </w:tcPr>
          <w:p w14:paraId="3AC19239" w14:textId="77777777" w:rsidR="00000000" w:rsidRDefault="003A1B5D">
            <w:pPr>
              <w:pStyle w:val="a3"/>
              <w:spacing w:before="0" w:beforeAutospacing="0" w:after="0" w:afterAutospacing="0"/>
              <w:rPr>
                <w:sz w:val="20"/>
                <w:szCs w:val="20"/>
              </w:rPr>
            </w:pPr>
            <w:r>
              <w:rPr>
                <w:sz w:val="20"/>
                <w:szCs w:val="20"/>
              </w:rPr>
              <w:t> </w:t>
            </w:r>
          </w:p>
        </w:tc>
      </w:tr>
      <w:tr w:rsidR="00000000" w14:paraId="46E9C30D" w14:textId="77777777">
        <w:trPr>
          <w:trHeight w:val="200"/>
          <w:tblCellSpacing w:w="15" w:type="dxa"/>
        </w:trPr>
        <w:tc>
          <w:tcPr>
            <w:tcW w:w="0" w:type="auto"/>
            <w:hideMark/>
          </w:tcPr>
          <w:p w14:paraId="16DB2A2A" w14:textId="77777777" w:rsidR="00000000" w:rsidRDefault="003A1B5D">
            <w:pPr>
              <w:pStyle w:val="a3"/>
              <w:spacing w:before="0" w:beforeAutospacing="0" w:after="0" w:afterAutospacing="0"/>
              <w:rPr>
                <w:sz w:val="20"/>
                <w:szCs w:val="20"/>
              </w:rPr>
            </w:pPr>
            <w:r>
              <w:rPr>
                <w:sz w:val="20"/>
                <w:szCs w:val="20"/>
              </w:rPr>
              <w:t>Non-current deferred tax liabilitie</w:t>
            </w:r>
            <w:r>
              <w:rPr>
                <w:sz w:val="20"/>
                <w:szCs w:val="20"/>
              </w:rPr>
              <w:t>s</w:t>
            </w:r>
          </w:p>
        </w:tc>
        <w:tc>
          <w:tcPr>
            <w:tcW w:w="0" w:type="auto"/>
            <w:vAlign w:val="bottom"/>
            <w:hideMark/>
          </w:tcPr>
          <w:p w14:paraId="70ED4D3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AB9485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11A404D" w14:textId="77777777" w:rsidR="00000000" w:rsidRDefault="003A1B5D">
            <w:pPr>
              <w:pStyle w:val="a3"/>
              <w:spacing w:before="0" w:beforeAutospacing="0" w:after="0" w:afterAutospacing="0"/>
              <w:jc w:val="right"/>
              <w:rPr>
                <w:sz w:val="20"/>
                <w:szCs w:val="20"/>
              </w:rPr>
            </w:pPr>
            <w:r>
              <w:rPr>
                <w:b/>
                <w:bCs/>
                <w:sz w:val="20"/>
                <w:szCs w:val="20"/>
              </w:rPr>
              <w:t>97,68</w:t>
            </w:r>
            <w:r>
              <w:rPr>
                <w:b/>
                <w:bCs/>
                <w:sz w:val="20"/>
                <w:szCs w:val="20"/>
              </w:rPr>
              <w:t>9</w:t>
            </w:r>
          </w:p>
        </w:tc>
        <w:tc>
          <w:tcPr>
            <w:tcW w:w="0" w:type="auto"/>
            <w:noWrap/>
            <w:vAlign w:val="bottom"/>
            <w:hideMark/>
          </w:tcPr>
          <w:p w14:paraId="3721910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DC4B4B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E54E8A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A6D4BC5" w14:textId="77777777" w:rsidR="00000000" w:rsidRDefault="003A1B5D">
            <w:pPr>
              <w:pStyle w:val="a3"/>
              <w:spacing w:before="0" w:beforeAutospacing="0" w:after="0" w:afterAutospacing="0"/>
              <w:jc w:val="right"/>
              <w:rPr>
                <w:sz w:val="20"/>
                <w:szCs w:val="20"/>
              </w:rPr>
            </w:pPr>
            <w:r>
              <w:rPr>
                <w:sz w:val="20"/>
                <w:szCs w:val="20"/>
              </w:rPr>
              <w:t>88,15</w:t>
            </w:r>
            <w:r>
              <w:rPr>
                <w:sz w:val="20"/>
                <w:szCs w:val="20"/>
              </w:rPr>
              <w:t>7</w:t>
            </w:r>
          </w:p>
        </w:tc>
        <w:tc>
          <w:tcPr>
            <w:tcW w:w="0" w:type="auto"/>
            <w:noWrap/>
            <w:vAlign w:val="bottom"/>
            <w:hideMark/>
          </w:tcPr>
          <w:p w14:paraId="0E0091E5" w14:textId="77777777" w:rsidR="00000000" w:rsidRDefault="003A1B5D">
            <w:pPr>
              <w:pStyle w:val="a3"/>
              <w:spacing w:before="0" w:beforeAutospacing="0" w:after="0" w:afterAutospacing="0"/>
              <w:rPr>
                <w:sz w:val="20"/>
                <w:szCs w:val="20"/>
              </w:rPr>
            </w:pPr>
            <w:r>
              <w:rPr>
                <w:sz w:val="20"/>
                <w:szCs w:val="20"/>
              </w:rPr>
              <w:t> </w:t>
            </w:r>
          </w:p>
        </w:tc>
      </w:tr>
      <w:tr w:rsidR="00000000" w14:paraId="0A7F749B" w14:textId="77777777">
        <w:trPr>
          <w:trHeight w:val="200"/>
          <w:tblCellSpacing w:w="15" w:type="dxa"/>
        </w:trPr>
        <w:tc>
          <w:tcPr>
            <w:tcW w:w="0" w:type="auto"/>
            <w:hideMark/>
          </w:tcPr>
          <w:p w14:paraId="10ECA0CB" w14:textId="77777777" w:rsidR="00000000" w:rsidRDefault="003A1B5D">
            <w:pPr>
              <w:pStyle w:val="a3"/>
              <w:spacing w:before="0" w:beforeAutospacing="0" w:after="0" w:afterAutospacing="0"/>
              <w:rPr>
                <w:sz w:val="20"/>
                <w:szCs w:val="20"/>
              </w:rPr>
            </w:pPr>
            <w:r>
              <w:rPr>
                <w:sz w:val="20"/>
                <w:szCs w:val="20"/>
              </w:rPr>
              <w:t>Other liabilitie</w:t>
            </w:r>
            <w:r>
              <w:rPr>
                <w:sz w:val="20"/>
                <w:szCs w:val="20"/>
              </w:rPr>
              <w:t>s</w:t>
            </w:r>
          </w:p>
        </w:tc>
        <w:tc>
          <w:tcPr>
            <w:tcW w:w="0" w:type="auto"/>
            <w:vAlign w:val="bottom"/>
            <w:hideMark/>
          </w:tcPr>
          <w:p w14:paraId="60E141C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CA4FAF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03D55EA" w14:textId="77777777" w:rsidR="00000000" w:rsidRDefault="003A1B5D">
            <w:pPr>
              <w:pStyle w:val="a3"/>
              <w:spacing w:before="0" w:beforeAutospacing="0" w:after="0" w:afterAutospacing="0"/>
              <w:jc w:val="right"/>
              <w:rPr>
                <w:sz w:val="20"/>
                <w:szCs w:val="20"/>
              </w:rPr>
            </w:pPr>
            <w:r>
              <w:rPr>
                <w:b/>
                <w:bCs/>
                <w:sz w:val="20"/>
                <w:szCs w:val="20"/>
              </w:rPr>
              <w:t>160,06</w:t>
            </w:r>
            <w:r>
              <w:rPr>
                <w:b/>
                <w:bCs/>
                <w:sz w:val="20"/>
                <w:szCs w:val="20"/>
              </w:rPr>
              <w:t>7</w:t>
            </w:r>
          </w:p>
        </w:tc>
        <w:tc>
          <w:tcPr>
            <w:tcW w:w="0" w:type="auto"/>
            <w:noWrap/>
            <w:vAlign w:val="bottom"/>
            <w:hideMark/>
          </w:tcPr>
          <w:p w14:paraId="6C15A69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5A575C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7A43BA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291E9EF" w14:textId="77777777" w:rsidR="00000000" w:rsidRDefault="003A1B5D">
            <w:pPr>
              <w:pStyle w:val="a3"/>
              <w:spacing w:before="0" w:beforeAutospacing="0" w:after="0" w:afterAutospacing="0"/>
              <w:jc w:val="right"/>
              <w:rPr>
                <w:sz w:val="20"/>
                <w:szCs w:val="20"/>
              </w:rPr>
            </w:pPr>
            <w:r>
              <w:rPr>
                <w:sz w:val="20"/>
                <w:szCs w:val="20"/>
              </w:rPr>
              <w:t>177,74</w:t>
            </w:r>
            <w:r>
              <w:rPr>
                <w:sz w:val="20"/>
                <w:szCs w:val="20"/>
              </w:rPr>
              <w:t>8</w:t>
            </w:r>
          </w:p>
        </w:tc>
        <w:tc>
          <w:tcPr>
            <w:tcW w:w="0" w:type="auto"/>
            <w:noWrap/>
            <w:vAlign w:val="bottom"/>
            <w:hideMark/>
          </w:tcPr>
          <w:p w14:paraId="72C8555B" w14:textId="77777777" w:rsidR="00000000" w:rsidRDefault="003A1B5D">
            <w:pPr>
              <w:pStyle w:val="a3"/>
              <w:spacing w:before="0" w:beforeAutospacing="0" w:after="0" w:afterAutospacing="0"/>
              <w:rPr>
                <w:sz w:val="20"/>
                <w:szCs w:val="20"/>
              </w:rPr>
            </w:pPr>
            <w:r>
              <w:rPr>
                <w:sz w:val="20"/>
                <w:szCs w:val="20"/>
              </w:rPr>
              <w:t> </w:t>
            </w:r>
          </w:p>
        </w:tc>
      </w:tr>
      <w:tr w:rsidR="00000000" w14:paraId="57567BE0" w14:textId="77777777">
        <w:trPr>
          <w:trHeight w:val="200"/>
          <w:tblCellSpacing w:w="15" w:type="dxa"/>
        </w:trPr>
        <w:tc>
          <w:tcPr>
            <w:tcW w:w="0" w:type="auto"/>
            <w:hideMark/>
          </w:tcPr>
          <w:p w14:paraId="56A90B31" w14:textId="77777777" w:rsidR="00000000" w:rsidRDefault="003A1B5D">
            <w:pPr>
              <w:pStyle w:val="a3"/>
              <w:spacing w:before="0" w:beforeAutospacing="0" w:after="0" w:afterAutospacing="0"/>
              <w:ind w:left="200"/>
              <w:rPr>
                <w:sz w:val="20"/>
                <w:szCs w:val="20"/>
              </w:rPr>
            </w:pPr>
            <w:r>
              <w:rPr>
                <w:sz w:val="20"/>
                <w:szCs w:val="20"/>
              </w:rPr>
              <w:t>Total liabilitie</w:t>
            </w:r>
            <w:r>
              <w:rPr>
                <w:sz w:val="20"/>
                <w:szCs w:val="20"/>
              </w:rPr>
              <w:t>s</w:t>
            </w:r>
          </w:p>
        </w:tc>
        <w:tc>
          <w:tcPr>
            <w:tcW w:w="0" w:type="auto"/>
            <w:vAlign w:val="bottom"/>
            <w:hideMark/>
          </w:tcPr>
          <w:p w14:paraId="2E1F291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C77824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FCF0AB0" w14:textId="77777777" w:rsidR="00000000" w:rsidRDefault="003A1B5D">
            <w:pPr>
              <w:pStyle w:val="a3"/>
              <w:spacing w:before="0" w:beforeAutospacing="0" w:after="0" w:afterAutospacing="0"/>
              <w:jc w:val="right"/>
              <w:rPr>
                <w:sz w:val="20"/>
                <w:szCs w:val="20"/>
              </w:rPr>
            </w:pPr>
            <w:r>
              <w:rPr>
                <w:b/>
                <w:bCs/>
                <w:sz w:val="20"/>
                <w:szCs w:val="20"/>
              </w:rPr>
              <w:t>1,868,75</w:t>
            </w:r>
            <w:r>
              <w:rPr>
                <w:b/>
                <w:bCs/>
                <w:sz w:val="20"/>
                <w:szCs w:val="20"/>
              </w:rPr>
              <w:t>1</w:t>
            </w:r>
          </w:p>
        </w:tc>
        <w:tc>
          <w:tcPr>
            <w:tcW w:w="0" w:type="auto"/>
            <w:noWrap/>
            <w:vAlign w:val="bottom"/>
            <w:hideMark/>
          </w:tcPr>
          <w:p w14:paraId="14D9AA5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D68085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B14074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A6838BC" w14:textId="77777777" w:rsidR="00000000" w:rsidRDefault="003A1B5D">
            <w:pPr>
              <w:pStyle w:val="a3"/>
              <w:spacing w:before="0" w:beforeAutospacing="0" w:after="0" w:afterAutospacing="0"/>
              <w:jc w:val="right"/>
              <w:rPr>
                <w:sz w:val="20"/>
                <w:szCs w:val="20"/>
              </w:rPr>
            </w:pPr>
            <w:r>
              <w:rPr>
                <w:sz w:val="20"/>
                <w:szCs w:val="20"/>
              </w:rPr>
              <w:t>2,126,47</w:t>
            </w:r>
            <w:r>
              <w:rPr>
                <w:sz w:val="20"/>
                <w:szCs w:val="20"/>
              </w:rPr>
              <w:t>0</w:t>
            </w:r>
          </w:p>
        </w:tc>
        <w:tc>
          <w:tcPr>
            <w:tcW w:w="0" w:type="auto"/>
            <w:noWrap/>
            <w:vAlign w:val="bottom"/>
            <w:hideMark/>
          </w:tcPr>
          <w:p w14:paraId="3B556D7F" w14:textId="77777777" w:rsidR="00000000" w:rsidRDefault="003A1B5D">
            <w:pPr>
              <w:pStyle w:val="a3"/>
              <w:spacing w:before="0" w:beforeAutospacing="0" w:after="0" w:afterAutospacing="0"/>
              <w:rPr>
                <w:sz w:val="20"/>
                <w:szCs w:val="20"/>
              </w:rPr>
            </w:pPr>
            <w:r>
              <w:rPr>
                <w:sz w:val="20"/>
                <w:szCs w:val="20"/>
              </w:rPr>
              <w:t> </w:t>
            </w:r>
          </w:p>
        </w:tc>
      </w:tr>
      <w:tr w:rsidR="00000000" w14:paraId="7E75D139" w14:textId="77777777">
        <w:trPr>
          <w:trHeight w:val="200"/>
          <w:tblCellSpacing w:w="15" w:type="dxa"/>
        </w:trPr>
        <w:tc>
          <w:tcPr>
            <w:tcW w:w="0" w:type="auto"/>
            <w:hideMark/>
          </w:tcPr>
          <w:p w14:paraId="2BDB18F1" w14:textId="77777777" w:rsidR="00000000" w:rsidRDefault="003A1B5D">
            <w:pPr>
              <w:pStyle w:val="a3"/>
              <w:spacing w:before="0" w:beforeAutospacing="0" w:after="0" w:afterAutospacing="0"/>
              <w:rPr>
                <w:sz w:val="20"/>
                <w:szCs w:val="20"/>
              </w:rPr>
            </w:pPr>
            <w:r>
              <w:rPr>
                <w:sz w:val="20"/>
                <w:szCs w:val="20"/>
              </w:rPr>
              <w:t>Commitments and contingencie</w:t>
            </w:r>
            <w:r>
              <w:rPr>
                <w:sz w:val="20"/>
                <w:szCs w:val="20"/>
              </w:rPr>
              <w:t>s</w:t>
            </w:r>
          </w:p>
        </w:tc>
        <w:tc>
          <w:tcPr>
            <w:tcW w:w="0" w:type="auto"/>
            <w:vAlign w:val="bottom"/>
            <w:hideMark/>
          </w:tcPr>
          <w:p w14:paraId="0F58A3DB"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5692B4EA"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533633A"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F728954"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580B2C83"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3FB784FE" w14:textId="77777777" w:rsidR="00000000" w:rsidRDefault="003A1B5D">
            <w:pPr>
              <w:pStyle w:val="a3"/>
              <w:spacing w:before="0" w:beforeAutospacing="0" w:after="0" w:afterAutospacing="0"/>
              <w:jc w:val="right"/>
              <w:rPr>
                <w:sz w:val="20"/>
                <w:szCs w:val="20"/>
              </w:rPr>
            </w:pPr>
            <w:r>
              <w:rPr>
                <w:sz w:val="20"/>
                <w:szCs w:val="20"/>
              </w:rPr>
              <w:t> </w:t>
            </w:r>
          </w:p>
        </w:tc>
      </w:tr>
      <w:tr w:rsidR="00000000" w14:paraId="1345CA25" w14:textId="77777777">
        <w:trPr>
          <w:trHeight w:val="200"/>
          <w:tblCellSpacing w:w="15" w:type="dxa"/>
        </w:trPr>
        <w:tc>
          <w:tcPr>
            <w:tcW w:w="0" w:type="auto"/>
            <w:hideMark/>
          </w:tcPr>
          <w:p w14:paraId="08E86674" w14:textId="77777777" w:rsidR="00000000" w:rsidRDefault="003A1B5D">
            <w:pPr>
              <w:pStyle w:val="a3"/>
              <w:spacing w:before="0" w:beforeAutospacing="0" w:after="0" w:afterAutospacing="0"/>
              <w:rPr>
                <w:sz w:val="20"/>
                <w:szCs w:val="20"/>
              </w:rPr>
            </w:pPr>
            <w:r>
              <w:rPr>
                <w:sz w:val="20"/>
                <w:szCs w:val="20"/>
              </w:rPr>
              <w:t xml:space="preserve">Preferred stock – </w:t>
            </w:r>
            <w:r>
              <w:rPr>
                <w:sz w:val="20"/>
                <w:szCs w:val="20"/>
              </w:rPr>
              <w:t>$</w:t>
            </w:r>
            <w:r>
              <w:rPr>
                <w:sz w:val="20"/>
                <w:szCs w:val="20"/>
              </w:rPr>
              <w:t>0.0</w:t>
            </w:r>
            <w:r>
              <w:rPr>
                <w:sz w:val="20"/>
                <w:szCs w:val="20"/>
              </w:rPr>
              <w:t>1</w:t>
            </w:r>
            <w:r>
              <w:rPr>
                <w:sz w:val="20"/>
                <w:szCs w:val="20"/>
              </w:rPr>
              <w:t> par value;</w:t>
            </w:r>
            <w:r>
              <w:rPr>
                <w:sz w:val="20"/>
                <w:szCs w:val="20"/>
              </w:rPr>
              <w:t xml:space="preserve"> </w:t>
            </w:r>
            <w:r>
              <w:rPr>
                <w:sz w:val="20"/>
                <w:szCs w:val="20"/>
              </w:rPr>
              <w:t>50,00</w:t>
            </w:r>
            <w:r>
              <w:rPr>
                <w:sz w:val="20"/>
                <w:szCs w:val="20"/>
              </w:rPr>
              <w:t>0</w:t>
            </w:r>
            <w:r>
              <w:rPr>
                <w:sz w:val="20"/>
                <w:szCs w:val="20"/>
              </w:rPr>
              <w:t> shares authorized;</w:t>
            </w:r>
            <w:r>
              <w:rPr>
                <w:sz w:val="20"/>
                <w:szCs w:val="20"/>
              </w:rPr>
              <w:t xml:space="preserve"> </w:t>
            </w:r>
            <w:r>
              <w:rPr>
                <w:sz w:val="20"/>
                <w:szCs w:val="20"/>
              </w:rPr>
              <w:t>non</w:t>
            </w:r>
            <w:r>
              <w:rPr>
                <w:sz w:val="20"/>
                <w:szCs w:val="20"/>
              </w:rPr>
              <w:t>e</w:t>
            </w:r>
            <w:r>
              <w:rPr>
                <w:sz w:val="20"/>
                <w:szCs w:val="20"/>
              </w:rPr>
              <w:t> issued and outstanding</w:t>
            </w:r>
            <w:r>
              <w:rPr>
                <w:sz w:val="20"/>
                <w:szCs w:val="20"/>
              </w:rPr>
              <w:br/>
              <w:t>   at September 30, 2022 and December 31, 2021, respectivel</w:t>
            </w:r>
            <w:r>
              <w:rPr>
                <w:sz w:val="20"/>
                <w:szCs w:val="20"/>
              </w:rPr>
              <w:t>y</w:t>
            </w:r>
          </w:p>
        </w:tc>
        <w:tc>
          <w:tcPr>
            <w:tcW w:w="0" w:type="auto"/>
            <w:vAlign w:val="bottom"/>
            <w:hideMark/>
          </w:tcPr>
          <w:p w14:paraId="56AF359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AA8170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D886FB0" w14:textId="77777777" w:rsidR="00000000" w:rsidRDefault="003A1B5D">
            <w:pPr>
              <w:pStyle w:val="a3"/>
              <w:spacing w:before="0" w:beforeAutospacing="0" w:after="0" w:afterAutospacing="0"/>
              <w:jc w:val="right"/>
              <w:rPr>
                <w:sz w:val="20"/>
                <w:szCs w:val="20"/>
              </w:rPr>
            </w:pPr>
            <w:r>
              <w:rPr>
                <w:b/>
                <w:bCs/>
                <w:sz w:val="20"/>
                <w:szCs w:val="20"/>
              </w:rPr>
              <w:t>—</w:t>
            </w:r>
          </w:p>
        </w:tc>
        <w:tc>
          <w:tcPr>
            <w:tcW w:w="0" w:type="auto"/>
            <w:noWrap/>
            <w:vAlign w:val="bottom"/>
            <w:hideMark/>
          </w:tcPr>
          <w:p w14:paraId="36318E5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62EDD4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EEAAFD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C6807BF"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7DFDF8FC" w14:textId="77777777" w:rsidR="00000000" w:rsidRDefault="003A1B5D">
            <w:pPr>
              <w:pStyle w:val="a3"/>
              <w:spacing w:before="0" w:beforeAutospacing="0" w:after="0" w:afterAutospacing="0"/>
              <w:rPr>
                <w:sz w:val="20"/>
                <w:szCs w:val="20"/>
              </w:rPr>
            </w:pPr>
            <w:r>
              <w:rPr>
                <w:sz w:val="20"/>
                <w:szCs w:val="20"/>
              </w:rPr>
              <w:t> </w:t>
            </w:r>
          </w:p>
        </w:tc>
      </w:tr>
      <w:tr w:rsidR="00000000" w14:paraId="67DE51FD" w14:textId="77777777">
        <w:trPr>
          <w:trHeight w:val="200"/>
          <w:tblCellSpacing w:w="15" w:type="dxa"/>
        </w:trPr>
        <w:tc>
          <w:tcPr>
            <w:tcW w:w="0" w:type="auto"/>
            <w:hideMark/>
          </w:tcPr>
          <w:p w14:paraId="7768A4CF" w14:textId="77777777" w:rsidR="00000000" w:rsidRDefault="003A1B5D">
            <w:pPr>
              <w:pStyle w:val="a3"/>
              <w:spacing w:before="0" w:beforeAutospacing="0" w:after="0" w:afterAutospacing="0"/>
              <w:rPr>
                <w:sz w:val="20"/>
                <w:szCs w:val="20"/>
              </w:rPr>
            </w:pPr>
            <w:r>
              <w:rPr>
                <w:sz w:val="20"/>
                <w:szCs w:val="20"/>
              </w:rPr>
              <w:t xml:space="preserve">Common stock – </w:t>
            </w:r>
            <w:r>
              <w:rPr>
                <w:sz w:val="20"/>
                <w:szCs w:val="20"/>
              </w:rPr>
              <w:t>$</w:t>
            </w:r>
            <w:r>
              <w:rPr>
                <w:sz w:val="20"/>
                <w:szCs w:val="20"/>
              </w:rPr>
              <w:t>0.0</w:t>
            </w:r>
            <w:r>
              <w:rPr>
                <w:sz w:val="20"/>
                <w:szCs w:val="20"/>
              </w:rPr>
              <w:t>1</w:t>
            </w:r>
            <w:r>
              <w:rPr>
                <w:sz w:val="20"/>
                <w:szCs w:val="20"/>
              </w:rPr>
              <w:t> par value;</w:t>
            </w:r>
            <w:r>
              <w:rPr>
                <w:sz w:val="20"/>
                <w:szCs w:val="20"/>
              </w:rPr>
              <w:t xml:space="preserve"> </w:t>
            </w:r>
            <w:r>
              <w:rPr>
                <w:sz w:val="20"/>
                <w:szCs w:val="20"/>
              </w:rPr>
              <w:t>300,00</w:t>
            </w:r>
            <w:r>
              <w:rPr>
                <w:sz w:val="20"/>
                <w:szCs w:val="20"/>
              </w:rPr>
              <w:t>0</w:t>
            </w:r>
            <w:r>
              <w:rPr>
                <w:sz w:val="20"/>
                <w:szCs w:val="20"/>
              </w:rPr>
              <w:t> shares authorized;</w:t>
            </w:r>
            <w:r>
              <w:rPr>
                <w:sz w:val="20"/>
                <w:szCs w:val="20"/>
              </w:rPr>
              <w:t xml:space="preserve"> </w:t>
            </w:r>
            <w:r>
              <w:rPr>
                <w:sz w:val="20"/>
                <w:szCs w:val="20"/>
              </w:rPr>
              <w:t>114,98</w:t>
            </w:r>
            <w:r>
              <w:rPr>
                <w:sz w:val="20"/>
                <w:szCs w:val="20"/>
              </w:rPr>
              <w:t>1</w:t>
            </w:r>
            <w:r>
              <w:rPr>
                <w:sz w:val="20"/>
                <w:szCs w:val="20"/>
              </w:rPr>
              <w:t> and</w:t>
            </w:r>
            <w:r>
              <w:rPr>
                <w:sz w:val="20"/>
                <w:szCs w:val="20"/>
              </w:rPr>
              <w:t xml:space="preserve"> </w:t>
            </w:r>
            <w:r>
              <w:rPr>
                <w:sz w:val="20"/>
                <w:szCs w:val="20"/>
              </w:rPr>
              <w:t>120,28</w:t>
            </w:r>
            <w:r>
              <w:rPr>
                <w:sz w:val="20"/>
                <w:szCs w:val="20"/>
              </w:rPr>
              <w:t>5</w:t>
            </w:r>
            <w:r>
              <w:rPr>
                <w:sz w:val="20"/>
                <w:szCs w:val="20"/>
              </w:rPr>
              <w:t> </w:t>
            </w:r>
            <w:r>
              <w:rPr>
                <w:sz w:val="20"/>
                <w:szCs w:val="20"/>
              </w:rPr>
              <w:br/>
              <w:t xml:space="preserve">   shares issued and outstanding at September 30, 2022 and December 31, 2021, </w:t>
            </w:r>
            <w:r>
              <w:rPr>
                <w:sz w:val="20"/>
                <w:szCs w:val="20"/>
              </w:rPr>
              <w:br/>
              <w:t>   respectivel</w:t>
            </w:r>
            <w:r>
              <w:rPr>
                <w:sz w:val="20"/>
                <w:szCs w:val="20"/>
              </w:rPr>
              <w:t>y</w:t>
            </w:r>
          </w:p>
        </w:tc>
        <w:tc>
          <w:tcPr>
            <w:tcW w:w="0" w:type="auto"/>
            <w:vAlign w:val="bottom"/>
            <w:hideMark/>
          </w:tcPr>
          <w:p w14:paraId="0487A25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26AE6D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A27027A" w14:textId="77777777" w:rsidR="00000000" w:rsidRDefault="003A1B5D">
            <w:pPr>
              <w:pStyle w:val="a3"/>
              <w:spacing w:before="0" w:beforeAutospacing="0" w:after="0" w:afterAutospacing="0"/>
              <w:jc w:val="right"/>
              <w:rPr>
                <w:sz w:val="20"/>
                <w:szCs w:val="20"/>
              </w:rPr>
            </w:pPr>
            <w:r>
              <w:rPr>
                <w:b/>
                <w:bCs/>
                <w:sz w:val="20"/>
                <w:szCs w:val="20"/>
              </w:rPr>
              <w:t>1,15</w:t>
            </w:r>
            <w:r>
              <w:rPr>
                <w:b/>
                <w:bCs/>
                <w:sz w:val="20"/>
                <w:szCs w:val="20"/>
              </w:rPr>
              <w:t>0</w:t>
            </w:r>
          </w:p>
        </w:tc>
        <w:tc>
          <w:tcPr>
            <w:tcW w:w="0" w:type="auto"/>
            <w:noWrap/>
            <w:vAlign w:val="bottom"/>
            <w:hideMark/>
          </w:tcPr>
          <w:p w14:paraId="0596CE8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57DBA1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35965F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7A98B7F" w14:textId="77777777" w:rsidR="00000000" w:rsidRDefault="003A1B5D">
            <w:pPr>
              <w:pStyle w:val="a3"/>
              <w:spacing w:before="0" w:beforeAutospacing="0" w:after="0" w:afterAutospacing="0"/>
              <w:jc w:val="right"/>
              <w:rPr>
                <w:sz w:val="20"/>
                <w:szCs w:val="20"/>
              </w:rPr>
            </w:pPr>
            <w:r>
              <w:rPr>
                <w:sz w:val="20"/>
                <w:szCs w:val="20"/>
              </w:rPr>
              <w:t>1,20</w:t>
            </w:r>
            <w:r>
              <w:rPr>
                <w:sz w:val="20"/>
                <w:szCs w:val="20"/>
              </w:rPr>
              <w:t>3</w:t>
            </w:r>
          </w:p>
        </w:tc>
        <w:tc>
          <w:tcPr>
            <w:tcW w:w="0" w:type="auto"/>
            <w:noWrap/>
            <w:vAlign w:val="bottom"/>
            <w:hideMark/>
          </w:tcPr>
          <w:p w14:paraId="1E596E04" w14:textId="77777777" w:rsidR="00000000" w:rsidRDefault="003A1B5D">
            <w:pPr>
              <w:pStyle w:val="a3"/>
              <w:spacing w:before="0" w:beforeAutospacing="0" w:after="0" w:afterAutospacing="0"/>
              <w:rPr>
                <w:sz w:val="20"/>
                <w:szCs w:val="20"/>
              </w:rPr>
            </w:pPr>
            <w:r>
              <w:rPr>
                <w:sz w:val="20"/>
                <w:szCs w:val="20"/>
              </w:rPr>
              <w:t> </w:t>
            </w:r>
          </w:p>
        </w:tc>
      </w:tr>
      <w:tr w:rsidR="00000000" w14:paraId="556966FE" w14:textId="77777777">
        <w:trPr>
          <w:trHeight w:val="200"/>
          <w:tblCellSpacing w:w="15" w:type="dxa"/>
        </w:trPr>
        <w:tc>
          <w:tcPr>
            <w:tcW w:w="0" w:type="auto"/>
            <w:hideMark/>
          </w:tcPr>
          <w:p w14:paraId="56FC3C23" w14:textId="77777777" w:rsidR="00000000" w:rsidRDefault="003A1B5D">
            <w:pPr>
              <w:pStyle w:val="a3"/>
              <w:spacing w:before="0" w:beforeAutospacing="0" w:after="0" w:afterAutospacing="0"/>
              <w:rPr>
                <w:sz w:val="20"/>
                <w:szCs w:val="20"/>
              </w:rPr>
            </w:pPr>
            <w:r>
              <w:rPr>
                <w:sz w:val="20"/>
                <w:szCs w:val="20"/>
              </w:rPr>
              <w:t>Additional paid-in capita</w:t>
            </w:r>
            <w:r>
              <w:rPr>
                <w:sz w:val="20"/>
                <w:szCs w:val="20"/>
              </w:rPr>
              <w:t>l</w:t>
            </w:r>
          </w:p>
        </w:tc>
        <w:tc>
          <w:tcPr>
            <w:tcW w:w="0" w:type="auto"/>
            <w:vAlign w:val="bottom"/>
            <w:hideMark/>
          </w:tcPr>
          <w:p w14:paraId="259BF3C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AE3730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2BFCE2C" w14:textId="77777777" w:rsidR="00000000" w:rsidRDefault="003A1B5D">
            <w:pPr>
              <w:pStyle w:val="a3"/>
              <w:spacing w:before="0" w:beforeAutospacing="0" w:after="0" w:afterAutospacing="0"/>
              <w:jc w:val="right"/>
              <w:rPr>
                <w:sz w:val="20"/>
                <w:szCs w:val="20"/>
              </w:rPr>
            </w:pPr>
            <w:r>
              <w:rPr>
                <w:b/>
                <w:bCs/>
                <w:sz w:val="20"/>
                <w:szCs w:val="20"/>
              </w:rPr>
              <w:t>1,801,86</w:t>
            </w:r>
            <w:r>
              <w:rPr>
                <w:b/>
                <w:bCs/>
                <w:sz w:val="20"/>
                <w:szCs w:val="20"/>
              </w:rPr>
              <w:t>7</w:t>
            </w:r>
          </w:p>
        </w:tc>
        <w:tc>
          <w:tcPr>
            <w:tcW w:w="0" w:type="auto"/>
            <w:noWrap/>
            <w:vAlign w:val="bottom"/>
            <w:hideMark/>
          </w:tcPr>
          <w:p w14:paraId="03553B8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7D9D08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A21E27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0FA307A" w14:textId="77777777" w:rsidR="00000000" w:rsidRDefault="003A1B5D">
            <w:pPr>
              <w:pStyle w:val="a3"/>
              <w:spacing w:before="0" w:beforeAutospacing="0" w:after="0" w:afterAutospacing="0"/>
              <w:jc w:val="right"/>
              <w:rPr>
                <w:sz w:val="20"/>
                <w:szCs w:val="20"/>
              </w:rPr>
            </w:pPr>
            <w:r>
              <w:rPr>
                <w:sz w:val="20"/>
                <w:szCs w:val="20"/>
              </w:rPr>
              <w:t>1,869,95</w:t>
            </w:r>
            <w:r>
              <w:rPr>
                <w:sz w:val="20"/>
                <w:szCs w:val="20"/>
              </w:rPr>
              <w:t>5</w:t>
            </w:r>
          </w:p>
        </w:tc>
        <w:tc>
          <w:tcPr>
            <w:tcW w:w="0" w:type="auto"/>
            <w:noWrap/>
            <w:vAlign w:val="bottom"/>
            <w:hideMark/>
          </w:tcPr>
          <w:p w14:paraId="192256D2" w14:textId="77777777" w:rsidR="00000000" w:rsidRDefault="003A1B5D">
            <w:pPr>
              <w:pStyle w:val="a3"/>
              <w:spacing w:before="0" w:beforeAutospacing="0" w:after="0" w:afterAutospacing="0"/>
              <w:rPr>
                <w:sz w:val="20"/>
                <w:szCs w:val="20"/>
              </w:rPr>
            </w:pPr>
            <w:r>
              <w:rPr>
                <w:sz w:val="20"/>
                <w:szCs w:val="20"/>
              </w:rPr>
              <w:t> </w:t>
            </w:r>
          </w:p>
        </w:tc>
      </w:tr>
      <w:tr w:rsidR="00000000" w14:paraId="6CF8D2C3" w14:textId="77777777">
        <w:trPr>
          <w:trHeight w:val="200"/>
          <w:tblCellSpacing w:w="15" w:type="dxa"/>
        </w:trPr>
        <w:tc>
          <w:tcPr>
            <w:tcW w:w="0" w:type="auto"/>
            <w:hideMark/>
          </w:tcPr>
          <w:p w14:paraId="47A10629" w14:textId="77777777" w:rsidR="00000000" w:rsidRDefault="003A1B5D">
            <w:pPr>
              <w:pStyle w:val="a3"/>
              <w:spacing w:before="0" w:beforeAutospacing="0" w:after="0" w:afterAutospacing="0"/>
              <w:rPr>
                <w:sz w:val="20"/>
                <w:szCs w:val="20"/>
              </w:rPr>
            </w:pPr>
            <w:r>
              <w:rPr>
                <w:sz w:val="20"/>
                <w:szCs w:val="20"/>
              </w:rPr>
              <w:t>Accumulated defici</w:t>
            </w:r>
            <w:r>
              <w:rPr>
                <w:sz w:val="20"/>
                <w:szCs w:val="20"/>
              </w:rPr>
              <w:t>t</w:t>
            </w:r>
          </w:p>
        </w:tc>
        <w:tc>
          <w:tcPr>
            <w:tcW w:w="0" w:type="auto"/>
            <w:vAlign w:val="bottom"/>
            <w:hideMark/>
          </w:tcPr>
          <w:p w14:paraId="07763A0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D9BC31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B97AF22"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400,84</w:t>
            </w:r>
            <w:r>
              <w:rPr>
                <w:b/>
                <w:bCs/>
                <w:sz w:val="20"/>
                <w:szCs w:val="20"/>
              </w:rPr>
              <w:t>2</w:t>
            </w:r>
          </w:p>
        </w:tc>
        <w:tc>
          <w:tcPr>
            <w:tcW w:w="0" w:type="auto"/>
            <w:noWrap/>
            <w:vAlign w:val="bottom"/>
            <w:hideMark/>
          </w:tcPr>
          <w:p w14:paraId="45266F29"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E83607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119B17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1BB0206" w14:textId="77777777" w:rsidR="00000000" w:rsidRDefault="003A1B5D">
            <w:pPr>
              <w:pStyle w:val="a3"/>
              <w:spacing w:before="0" w:beforeAutospacing="0" w:after="0" w:afterAutospacing="0"/>
              <w:jc w:val="right"/>
              <w:rPr>
                <w:sz w:val="20"/>
                <w:szCs w:val="20"/>
              </w:rPr>
            </w:pPr>
            <w:r>
              <w:rPr>
                <w:sz w:val="20"/>
                <w:szCs w:val="20"/>
              </w:rPr>
              <w:t>(</w:t>
            </w:r>
            <w:r>
              <w:rPr>
                <w:sz w:val="20"/>
                <w:szCs w:val="20"/>
              </w:rPr>
              <w:t>498,69</w:t>
            </w:r>
            <w:r>
              <w:rPr>
                <w:sz w:val="20"/>
                <w:szCs w:val="20"/>
              </w:rPr>
              <w:t>0</w:t>
            </w:r>
          </w:p>
        </w:tc>
        <w:tc>
          <w:tcPr>
            <w:tcW w:w="0" w:type="auto"/>
            <w:noWrap/>
            <w:vAlign w:val="bottom"/>
            <w:hideMark/>
          </w:tcPr>
          <w:p w14:paraId="4E494C16" w14:textId="77777777" w:rsidR="00000000" w:rsidRDefault="003A1B5D">
            <w:pPr>
              <w:pStyle w:val="a3"/>
              <w:spacing w:before="0" w:beforeAutospacing="0" w:after="0" w:afterAutospacing="0"/>
              <w:rPr>
                <w:sz w:val="20"/>
                <w:szCs w:val="20"/>
              </w:rPr>
            </w:pPr>
            <w:r>
              <w:rPr>
                <w:sz w:val="20"/>
                <w:szCs w:val="20"/>
              </w:rPr>
              <w:t>)</w:t>
            </w:r>
          </w:p>
        </w:tc>
      </w:tr>
      <w:tr w:rsidR="00000000" w14:paraId="6BDAD07E" w14:textId="77777777">
        <w:trPr>
          <w:trHeight w:val="200"/>
          <w:tblCellSpacing w:w="15" w:type="dxa"/>
        </w:trPr>
        <w:tc>
          <w:tcPr>
            <w:tcW w:w="0" w:type="auto"/>
            <w:hideMark/>
          </w:tcPr>
          <w:p w14:paraId="20BA7CD3" w14:textId="77777777" w:rsidR="00000000" w:rsidRDefault="003A1B5D">
            <w:pPr>
              <w:pStyle w:val="a3"/>
              <w:spacing w:before="0" w:beforeAutospacing="0" w:after="0" w:afterAutospacing="0"/>
              <w:ind w:left="200"/>
              <w:rPr>
                <w:sz w:val="20"/>
                <w:szCs w:val="20"/>
              </w:rPr>
            </w:pPr>
            <w:r>
              <w:rPr>
                <w:sz w:val="20"/>
                <w:szCs w:val="20"/>
              </w:rPr>
              <w:t>Total stockholders' equit</w:t>
            </w:r>
            <w:r>
              <w:rPr>
                <w:sz w:val="20"/>
                <w:szCs w:val="20"/>
              </w:rPr>
              <w:t>y</w:t>
            </w:r>
          </w:p>
        </w:tc>
        <w:tc>
          <w:tcPr>
            <w:tcW w:w="0" w:type="auto"/>
            <w:vAlign w:val="bottom"/>
            <w:hideMark/>
          </w:tcPr>
          <w:p w14:paraId="2D53796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6653A9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48561FD" w14:textId="77777777" w:rsidR="00000000" w:rsidRDefault="003A1B5D">
            <w:pPr>
              <w:pStyle w:val="a3"/>
              <w:spacing w:before="0" w:beforeAutospacing="0" w:after="0" w:afterAutospacing="0"/>
              <w:jc w:val="right"/>
              <w:rPr>
                <w:sz w:val="20"/>
                <w:szCs w:val="20"/>
              </w:rPr>
            </w:pPr>
            <w:r>
              <w:rPr>
                <w:b/>
                <w:bCs/>
                <w:sz w:val="20"/>
                <w:szCs w:val="20"/>
              </w:rPr>
              <w:t>1,402,17</w:t>
            </w:r>
            <w:r>
              <w:rPr>
                <w:b/>
                <w:bCs/>
                <w:sz w:val="20"/>
                <w:szCs w:val="20"/>
              </w:rPr>
              <w:t>5</w:t>
            </w:r>
          </w:p>
        </w:tc>
        <w:tc>
          <w:tcPr>
            <w:tcW w:w="0" w:type="auto"/>
            <w:noWrap/>
            <w:vAlign w:val="bottom"/>
            <w:hideMark/>
          </w:tcPr>
          <w:p w14:paraId="2C0CE42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59888D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7C5E16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D6491E6" w14:textId="77777777" w:rsidR="00000000" w:rsidRDefault="003A1B5D">
            <w:pPr>
              <w:pStyle w:val="a3"/>
              <w:spacing w:before="0" w:beforeAutospacing="0" w:after="0" w:afterAutospacing="0"/>
              <w:jc w:val="right"/>
              <w:rPr>
                <w:sz w:val="20"/>
                <w:szCs w:val="20"/>
              </w:rPr>
            </w:pPr>
            <w:r>
              <w:rPr>
                <w:sz w:val="20"/>
                <w:szCs w:val="20"/>
              </w:rPr>
              <w:t>1,372,46</w:t>
            </w:r>
            <w:r>
              <w:rPr>
                <w:sz w:val="20"/>
                <w:szCs w:val="20"/>
              </w:rPr>
              <w:t>8</w:t>
            </w:r>
          </w:p>
        </w:tc>
        <w:tc>
          <w:tcPr>
            <w:tcW w:w="0" w:type="auto"/>
            <w:noWrap/>
            <w:vAlign w:val="bottom"/>
            <w:hideMark/>
          </w:tcPr>
          <w:p w14:paraId="663DCC7D" w14:textId="77777777" w:rsidR="00000000" w:rsidRDefault="003A1B5D">
            <w:pPr>
              <w:pStyle w:val="a3"/>
              <w:spacing w:before="0" w:beforeAutospacing="0" w:after="0" w:afterAutospacing="0"/>
              <w:rPr>
                <w:sz w:val="20"/>
                <w:szCs w:val="20"/>
              </w:rPr>
            </w:pPr>
            <w:r>
              <w:rPr>
                <w:sz w:val="20"/>
                <w:szCs w:val="20"/>
              </w:rPr>
              <w:t> </w:t>
            </w:r>
          </w:p>
        </w:tc>
      </w:tr>
      <w:tr w:rsidR="00000000" w14:paraId="1229598B" w14:textId="77777777">
        <w:trPr>
          <w:trHeight w:val="200"/>
          <w:tblCellSpacing w:w="15" w:type="dxa"/>
        </w:trPr>
        <w:tc>
          <w:tcPr>
            <w:tcW w:w="0" w:type="auto"/>
            <w:hideMark/>
          </w:tcPr>
          <w:p w14:paraId="447D5FFE" w14:textId="77777777" w:rsidR="00000000" w:rsidRDefault="003A1B5D">
            <w:pPr>
              <w:pStyle w:val="a3"/>
              <w:spacing w:before="0" w:beforeAutospacing="0" w:after="0" w:afterAutospacing="0"/>
              <w:ind w:left="200"/>
              <w:rPr>
                <w:sz w:val="20"/>
                <w:szCs w:val="20"/>
              </w:rPr>
            </w:pPr>
            <w:r>
              <w:rPr>
                <w:sz w:val="20"/>
                <w:szCs w:val="20"/>
              </w:rPr>
              <w:t>Total liabilities and stockholders' equit</w:t>
            </w:r>
            <w:r>
              <w:rPr>
                <w:sz w:val="20"/>
                <w:szCs w:val="20"/>
              </w:rPr>
              <w:t>y</w:t>
            </w:r>
          </w:p>
        </w:tc>
        <w:tc>
          <w:tcPr>
            <w:tcW w:w="0" w:type="auto"/>
            <w:vAlign w:val="bottom"/>
            <w:hideMark/>
          </w:tcPr>
          <w:p w14:paraId="18D8749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2FE3646"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2D74FEB6" w14:textId="77777777" w:rsidR="00000000" w:rsidRDefault="003A1B5D">
            <w:pPr>
              <w:pStyle w:val="a3"/>
              <w:spacing w:before="0" w:beforeAutospacing="0" w:after="0" w:afterAutospacing="0"/>
              <w:jc w:val="right"/>
              <w:rPr>
                <w:sz w:val="20"/>
                <w:szCs w:val="20"/>
              </w:rPr>
            </w:pPr>
            <w:r>
              <w:rPr>
                <w:b/>
                <w:bCs/>
                <w:sz w:val="20"/>
                <w:szCs w:val="20"/>
              </w:rPr>
              <w:t>3,270,92</w:t>
            </w:r>
            <w:r>
              <w:rPr>
                <w:b/>
                <w:bCs/>
                <w:sz w:val="20"/>
                <w:szCs w:val="20"/>
              </w:rPr>
              <w:t>6</w:t>
            </w:r>
          </w:p>
        </w:tc>
        <w:tc>
          <w:tcPr>
            <w:tcW w:w="0" w:type="auto"/>
            <w:noWrap/>
            <w:vAlign w:val="bottom"/>
            <w:hideMark/>
          </w:tcPr>
          <w:p w14:paraId="7C5C597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DE02F4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C826793"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51CC2F78" w14:textId="77777777" w:rsidR="00000000" w:rsidRDefault="003A1B5D">
            <w:pPr>
              <w:pStyle w:val="a3"/>
              <w:spacing w:before="0" w:beforeAutospacing="0" w:after="0" w:afterAutospacing="0"/>
              <w:jc w:val="right"/>
              <w:rPr>
                <w:sz w:val="20"/>
                <w:szCs w:val="20"/>
              </w:rPr>
            </w:pPr>
            <w:r>
              <w:rPr>
                <w:sz w:val="20"/>
                <w:szCs w:val="20"/>
              </w:rPr>
              <w:t>3,498,93</w:t>
            </w:r>
            <w:r>
              <w:rPr>
                <w:sz w:val="20"/>
                <w:szCs w:val="20"/>
              </w:rPr>
              <w:t>8</w:t>
            </w:r>
          </w:p>
        </w:tc>
        <w:tc>
          <w:tcPr>
            <w:tcW w:w="0" w:type="auto"/>
            <w:noWrap/>
            <w:vAlign w:val="bottom"/>
            <w:hideMark/>
          </w:tcPr>
          <w:p w14:paraId="2145E9DC" w14:textId="77777777" w:rsidR="00000000" w:rsidRDefault="003A1B5D">
            <w:pPr>
              <w:pStyle w:val="a3"/>
              <w:spacing w:before="0" w:beforeAutospacing="0" w:after="0" w:afterAutospacing="0"/>
              <w:rPr>
                <w:sz w:val="20"/>
                <w:szCs w:val="20"/>
              </w:rPr>
            </w:pPr>
            <w:r>
              <w:rPr>
                <w:sz w:val="20"/>
                <w:szCs w:val="20"/>
              </w:rPr>
              <w:t> </w:t>
            </w:r>
          </w:p>
        </w:tc>
      </w:tr>
    </w:tbl>
    <w:p w14:paraId="575CDAF3" w14:textId="77777777" w:rsidR="00000000" w:rsidRDefault="003A1B5D">
      <w:pPr>
        <w:pStyle w:val="a3"/>
        <w:spacing w:before="0" w:beforeAutospacing="0" w:after="0" w:afterAutospacing="0"/>
        <w:rPr>
          <w:sz w:val="20"/>
          <w:szCs w:val="20"/>
        </w:rPr>
      </w:pPr>
      <w:r>
        <w:rPr>
          <w:sz w:val="20"/>
          <w:szCs w:val="20"/>
        </w:rPr>
        <w:t> </w:t>
      </w:r>
    </w:p>
    <w:p w14:paraId="2048719F" w14:textId="77777777" w:rsidR="00000000" w:rsidRDefault="003A1B5D">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14:paraId="163BB655" w14:textId="77777777" w:rsidR="00000000" w:rsidRDefault="003A1B5D">
      <w:pPr>
        <w:pStyle w:val="a3"/>
        <w:spacing w:before="240" w:beforeAutospacing="0" w:after="0" w:afterAutospacing="0"/>
        <w:jc w:val="center"/>
        <w:rPr>
          <w:sz w:val="20"/>
          <w:szCs w:val="20"/>
        </w:rPr>
      </w:pPr>
      <w:r>
        <w:rPr>
          <w:sz w:val="20"/>
          <w:szCs w:val="20"/>
        </w:rPr>
        <w:t>1</w:t>
      </w:r>
    </w:p>
    <w:p w14:paraId="0BCE9EFE" w14:textId="77777777" w:rsidR="00000000" w:rsidRDefault="003A1B5D">
      <w:pPr>
        <w:rPr>
          <w:rFonts w:eastAsia="Times New Roman"/>
        </w:rPr>
      </w:pPr>
      <w:r>
        <w:rPr>
          <w:rFonts w:eastAsia="Times New Roman"/>
        </w:rPr>
        <w:lastRenderedPageBreak/>
        <w:pict w14:anchorId="2FAC21AB">
          <v:rect id="_x0000_i1027" style="width:0;height:1.5pt" o:hralign="center" o:hrstd="t" o:hr="t" fillcolor="#a0a0a0" stroked="f"/>
        </w:pict>
      </w:r>
    </w:p>
    <w:p w14:paraId="10B62E06" w14:textId="77777777" w:rsidR="00000000" w:rsidRDefault="003A1B5D">
      <w:pPr>
        <w:pStyle w:val="a3"/>
        <w:spacing w:before="0" w:beforeAutospacing="0" w:after="0" w:afterAutospacing="0"/>
        <w:jc w:val="center"/>
        <w:rPr>
          <w:sz w:val="20"/>
          <w:szCs w:val="20"/>
        </w:rPr>
      </w:pPr>
      <w:r>
        <w:rPr>
          <w:b/>
          <w:bCs/>
          <w:sz w:val="20"/>
          <w:szCs w:val="20"/>
        </w:rPr>
        <w:t>CORECIVIC, INC. AND SUBSIDIARIE</w:t>
      </w:r>
      <w:r>
        <w:rPr>
          <w:b/>
          <w:bCs/>
          <w:sz w:val="20"/>
          <w:szCs w:val="20"/>
        </w:rPr>
        <w:t>S</w:t>
      </w:r>
      <w:r>
        <w:rPr>
          <w:b/>
          <w:bCs/>
          <w:sz w:val="20"/>
          <w:szCs w:val="20"/>
        </w:rPr>
        <w:t xml:space="preserve"> </w:t>
      </w:r>
    </w:p>
    <w:p w14:paraId="3810550D" w14:textId="77777777" w:rsidR="00000000" w:rsidRDefault="003A1B5D">
      <w:pPr>
        <w:pStyle w:val="a3"/>
        <w:spacing w:before="0" w:beforeAutospacing="0" w:after="0" w:afterAutospacing="0"/>
        <w:jc w:val="center"/>
        <w:rPr>
          <w:sz w:val="20"/>
          <w:szCs w:val="20"/>
        </w:rPr>
      </w:pPr>
      <w:r>
        <w:rPr>
          <w:b/>
          <w:bCs/>
          <w:sz w:val="20"/>
          <w:szCs w:val="20"/>
        </w:rPr>
        <w:t>CONSOLIDATED S</w:t>
      </w:r>
      <w:r>
        <w:rPr>
          <w:b/>
          <w:bCs/>
          <w:sz w:val="20"/>
          <w:szCs w:val="20"/>
        </w:rPr>
        <w:t>T</w:t>
      </w:r>
      <w:r>
        <w:rPr>
          <w:b/>
          <w:bCs/>
          <w:sz w:val="20"/>
          <w:szCs w:val="20"/>
        </w:rPr>
        <w:t>ATEMENTS OF OPERATION</w:t>
      </w:r>
      <w:r>
        <w:rPr>
          <w:b/>
          <w:bCs/>
          <w:sz w:val="20"/>
          <w:szCs w:val="20"/>
        </w:rPr>
        <w:t>S</w:t>
      </w:r>
    </w:p>
    <w:p w14:paraId="659BA864" w14:textId="77777777" w:rsidR="00000000" w:rsidRDefault="003A1B5D">
      <w:pPr>
        <w:pStyle w:val="a3"/>
        <w:spacing w:before="0" w:beforeAutospacing="0" w:after="0" w:afterAutospacing="0"/>
        <w:jc w:val="center"/>
        <w:rPr>
          <w:sz w:val="20"/>
          <w:szCs w:val="20"/>
        </w:rPr>
      </w:pPr>
      <w:r>
        <w:rPr>
          <w:sz w:val="20"/>
          <w:szCs w:val="20"/>
        </w:rPr>
        <w:t>(UNAUDITED AND AMOUNTS IN THOUSANDS, EXCEPT PER SHARE AMOU</w:t>
      </w:r>
      <w:r>
        <w:rPr>
          <w:sz w:val="20"/>
          <w:szCs w:val="20"/>
        </w:rPr>
        <w:t>NTS</w:t>
      </w:r>
      <w:r>
        <w:rPr>
          <w:sz w:val="20"/>
          <w:szCs w:val="20"/>
        </w:rPr>
        <w:t>)</w:t>
      </w:r>
    </w:p>
    <w:p w14:paraId="1F97E7E9" w14:textId="77777777" w:rsidR="00000000" w:rsidRDefault="003A1B5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3"/>
        <w:gridCol w:w="110"/>
        <w:gridCol w:w="160"/>
        <w:gridCol w:w="710"/>
        <w:gridCol w:w="127"/>
        <w:gridCol w:w="110"/>
        <w:gridCol w:w="160"/>
        <w:gridCol w:w="710"/>
        <w:gridCol w:w="127"/>
        <w:gridCol w:w="110"/>
        <w:gridCol w:w="160"/>
        <w:gridCol w:w="860"/>
        <w:gridCol w:w="127"/>
        <w:gridCol w:w="110"/>
        <w:gridCol w:w="160"/>
        <w:gridCol w:w="860"/>
        <w:gridCol w:w="142"/>
      </w:tblGrid>
      <w:tr w:rsidR="00000000" w14:paraId="53646BFB" w14:textId="77777777">
        <w:trPr>
          <w:tblCellSpacing w:w="15" w:type="dxa"/>
        </w:trPr>
        <w:tc>
          <w:tcPr>
            <w:tcW w:w="2518" w:type="pct"/>
            <w:vAlign w:val="center"/>
            <w:hideMark/>
          </w:tcPr>
          <w:p w14:paraId="21A8987C" w14:textId="77777777" w:rsidR="00000000" w:rsidRDefault="003A1B5D">
            <w:pPr>
              <w:rPr>
                <w:sz w:val="20"/>
                <w:szCs w:val="20"/>
              </w:rPr>
            </w:pPr>
          </w:p>
        </w:tc>
        <w:tc>
          <w:tcPr>
            <w:tcW w:w="61" w:type="pct"/>
            <w:vAlign w:val="center"/>
            <w:hideMark/>
          </w:tcPr>
          <w:p w14:paraId="5BEE816C" w14:textId="77777777" w:rsidR="00000000" w:rsidRDefault="003A1B5D">
            <w:pPr>
              <w:rPr>
                <w:rFonts w:eastAsia="Times New Roman"/>
                <w:sz w:val="20"/>
                <w:szCs w:val="20"/>
              </w:rPr>
            </w:pPr>
          </w:p>
        </w:tc>
        <w:tc>
          <w:tcPr>
            <w:tcW w:w="50" w:type="pct"/>
            <w:vAlign w:val="center"/>
            <w:hideMark/>
          </w:tcPr>
          <w:p w14:paraId="67E7E4CC" w14:textId="77777777" w:rsidR="00000000" w:rsidRDefault="003A1B5D">
            <w:pPr>
              <w:rPr>
                <w:rFonts w:eastAsia="Times New Roman"/>
                <w:sz w:val="20"/>
                <w:szCs w:val="20"/>
              </w:rPr>
            </w:pPr>
          </w:p>
        </w:tc>
        <w:tc>
          <w:tcPr>
            <w:tcW w:w="453" w:type="pct"/>
            <w:vAlign w:val="center"/>
            <w:hideMark/>
          </w:tcPr>
          <w:p w14:paraId="46415AC6" w14:textId="77777777" w:rsidR="00000000" w:rsidRDefault="003A1B5D">
            <w:pPr>
              <w:rPr>
                <w:rFonts w:eastAsia="Times New Roman"/>
                <w:sz w:val="20"/>
                <w:szCs w:val="20"/>
              </w:rPr>
            </w:pPr>
          </w:p>
        </w:tc>
        <w:tc>
          <w:tcPr>
            <w:tcW w:w="50" w:type="pct"/>
            <w:vAlign w:val="center"/>
            <w:hideMark/>
          </w:tcPr>
          <w:p w14:paraId="544430A6" w14:textId="77777777" w:rsidR="00000000" w:rsidRDefault="003A1B5D">
            <w:pPr>
              <w:rPr>
                <w:rFonts w:eastAsia="Times New Roman"/>
                <w:sz w:val="20"/>
                <w:szCs w:val="20"/>
              </w:rPr>
            </w:pPr>
          </w:p>
        </w:tc>
        <w:tc>
          <w:tcPr>
            <w:tcW w:w="61" w:type="pct"/>
            <w:vAlign w:val="center"/>
            <w:hideMark/>
          </w:tcPr>
          <w:p w14:paraId="570B3E86" w14:textId="77777777" w:rsidR="00000000" w:rsidRDefault="003A1B5D">
            <w:pPr>
              <w:rPr>
                <w:rFonts w:eastAsia="Times New Roman"/>
                <w:sz w:val="20"/>
                <w:szCs w:val="20"/>
              </w:rPr>
            </w:pPr>
          </w:p>
        </w:tc>
        <w:tc>
          <w:tcPr>
            <w:tcW w:w="50" w:type="pct"/>
            <w:vAlign w:val="center"/>
            <w:hideMark/>
          </w:tcPr>
          <w:p w14:paraId="656A7BEF" w14:textId="77777777" w:rsidR="00000000" w:rsidRDefault="003A1B5D">
            <w:pPr>
              <w:rPr>
                <w:rFonts w:eastAsia="Times New Roman"/>
                <w:sz w:val="20"/>
                <w:szCs w:val="20"/>
              </w:rPr>
            </w:pPr>
          </w:p>
        </w:tc>
        <w:tc>
          <w:tcPr>
            <w:tcW w:w="464" w:type="pct"/>
            <w:vAlign w:val="center"/>
            <w:hideMark/>
          </w:tcPr>
          <w:p w14:paraId="4121772F" w14:textId="77777777" w:rsidR="00000000" w:rsidRDefault="003A1B5D">
            <w:pPr>
              <w:rPr>
                <w:rFonts w:eastAsia="Times New Roman"/>
                <w:sz w:val="20"/>
                <w:szCs w:val="20"/>
              </w:rPr>
            </w:pPr>
          </w:p>
        </w:tc>
        <w:tc>
          <w:tcPr>
            <w:tcW w:w="50" w:type="pct"/>
            <w:vAlign w:val="center"/>
            <w:hideMark/>
          </w:tcPr>
          <w:p w14:paraId="3BE62D7A" w14:textId="77777777" w:rsidR="00000000" w:rsidRDefault="003A1B5D">
            <w:pPr>
              <w:rPr>
                <w:rFonts w:eastAsia="Times New Roman"/>
                <w:sz w:val="20"/>
                <w:szCs w:val="20"/>
              </w:rPr>
            </w:pPr>
          </w:p>
        </w:tc>
        <w:tc>
          <w:tcPr>
            <w:tcW w:w="61" w:type="pct"/>
            <w:vAlign w:val="center"/>
            <w:hideMark/>
          </w:tcPr>
          <w:p w14:paraId="086B6E46" w14:textId="77777777" w:rsidR="00000000" w:rsidRDefault="003A1B5D">
            <w:pPr>
              <w:rPr>
                <w:rFonts w:eastAsia="Times New Roman"/>
                <w:sz w:val="20"/>
                <w:szCs w:val="20"/>
              </w:rPr>
            </w:pPr>
          </w:p>
        </w:tc>
        <w:tc>
          <w:tcPr>
            <w:tcW w:w="50" w:type="pct"/>
            <w:vAlign w:val="center"/>
            <w:hideMark/>
          </w:tcPr>
          <w:p w14:paraId="1C723BD0" w14:textId="77777777" w:rsidR="00000000" w:rsidRDefault="003A1B5D">
            <w:pPr>
              <w:rPr>
                <w:rFonts w:eastAsia="Times New Roman"/>
                <w:sz w:val="20"/>
                <w:szCs w:val="20"/>
              </w:rPr>
            </w:pPr>
          </w:p>
        </w:tc>
        <w:tc>
          <w:tcPr>
            <w:tcW w:w="453" w:type="pct"/>
            <w:vAlign w:val="center"/>
            <w:hideMark/>
          </w:tcPr>
          <w:p w14:paraId="656D5FDF" w14:textId="77777777" w:rsidR="00000000" w:rsidRDefault="003A1B5D">
            <w:pPr>
              <w:rPr>
                <w:rFonts w:eastAsia="Times New Roman"/>
                <w:sz w:val="20"/>
                <w:szCs w:val="20"/>
              </w:rPr>
            </w:pPr>
          </w:p>
        </w:tc>
        <w:tc>
          <w:tcPr>
            <w:tcW w:w="50" w:type="pct"/>
            <w:vAlign w:val="center"/>
            <w:hideMark/>
          </w:tcPr>
          <w:p w14:paraId="3003C887" w14:textId="77777777" w:rsidR="00000000" w:rsidRDefault="003A1B5D">
            <w:pPr>
              <w:rPr>
                <w:rFonts w:eastAsia="Times New Roman"/>
                <w:sz w:val="20"/>
                <w:szCs w:val="20"/>
              </w:rPr>
            </w:pPr>
          </w:p>
        </w:tc>
        <w:tc>
          <w:tcPr>
            <w:tcW w:w="61" w:type="pct"/>
            <w:vAlign w:val="center"/>
            <w:hideMark/>
          </w:tcPr>
          <w:p w14:paraId="1C30A6B5" w14:textId="77777777" w:rsidR="00000000" w:rsidRDefault="003A1B5D">
            <w:pPr>
              <w:rPr>
                <w:rFonts w:eastAsia="Times New Roman"/>
                <w:sz w:val="20"/>
                <w:szCs w:val="20"/>
              </w:rPr>
            </w:pPr>
          </w:p>
        </w:tc>
        <w:tc>
          <w:tcPr>
            <w:tcW w:w="50" w:type="pct"/>
            <w:vAlign w:val="center"/>
            <w:hideMark/>
          </w:tcPr>
          <w:p w14:paraId="1178220F" w14:textId="77777777" w:rsidR="00000000" w:rsidRDefault="003A1B5D">
            <w:pPr>
              <w:rPr>
                <w:rFonts w:eastAsia="Times New Roman"/>
                <w:sz w:val="20"/>
                <w:szCs w:val="20"/>
              </w:rPr>
            </w:pPr>
          </w:p>
        </w:tc>
        <w:tc>
          <w:tcPr>
            <w:tcW w:w="464" w:type="pct"/>
            <w:vAlign w:val="center"/>
            <w:hideMark/>
          </w:tcPr>
          <w:p w14:paraId="48BF44AF" w14:textId="77777777" w:rsidR="00000000" w:rsidRDefault="003A1B5D">
            <w:pPr>
              <w:rPr>
                <w:rFonts w:eastAsia="Times New Roman"/>
                <w:sz w:val="20"/>
                <w:szCs w:val="20"/>
              </w:rPr>
            </w:pPr>
          </w:p>
        </w:tc>
        <w:tc>
          <w:tcPr>
            <w:tcW w:w="50" w:type="pct"/>
            <w:vAlign w:val="center"/>
            <w:hideMark/>
          </w:tcPr>
          <w:p w14:paraId="6CBABFFE" w14:textId="77777777" w:rsidR="00000000" w:rsidRDefault="003A1B5D">
            <w:pPr>
              <w:rPr>
                <w:rFonts w:eastAsia="Times New Roman"/>
                <w:sz w:val="20"/>
                <w:szCs w:val="20"/>
              </w:rPr>
            </w:pPr>
          </w:p>
        </w:tc>
      </w:tr>
      <w:tr w:rsidR="00000000" w14:paraId="5DC364DD" w14:textId="77777777">
        <w:trPr>
          <w:trHeight w:val="160"/>
          <w:tblCellSpacing w:w="15" w:type="dxa"/>
        </w:trPr>
        <w:tc>
          <w:tcPr>
            <w:tcW w:w="0" w:type="auto"/>
            <w:hideMark/>
          </w:tcPr>
          <w:p w14:paraId="4E8F6E00"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6F7BCC77" w14:textId="77777777" w:rsidR="00000000" w:rsidRDefault="003A1B5D">
            <w:pPr>
              <w:pStyle w:val="a3"/>
              <w:spacing w:before="0" w:beforeAutospacing="0" w:after="0" w:afterAutospacing="0"/>
              <w:rPr>
                <w:sz w:val="16"/>
                <w:szCs w:val="16"/>
              </w:rPr>
            </w:pPr>
            <w:r>
              <w:rPr>
                <w:sz w:val="16"/>
                <w:szCs w:val="16"/>
              </w:rPr>
              <w:t> </w:t>
            </w:r>
          </w:p>
        </w:tc>
        <w:tc>
          <w:tcPr>
            <w:tcW w:w="0" w:type="auto"/>
            <w:gridSpan w:val="6"/>
            <w:vAlign w:val="bottom"/>
            <w:hideMark/>
          </w:tcPr>
          <w:p w14:paraId="7B5FE298" w14:textId="77777777" w:rsidR="00000000" w:rsidRDefault="003A1B5D">
            <w:pPr>
              <w:pStyle w:val="a3"/>
              <w:spacing w:before="0" w:beforeAutospacing="0" w:after="0" w:afterAutospacing="0"/>
              <w:jc w:val="center"/>
              <w:rPr>
                <w:sz w:val="16"/>
                <w:szCs w:val="16"/>
              </w:rPr>
            </w:pPr>
            <w:r>
              <w:rPr>
                <w:b/>
                <w:bCs/>
                <w:sz w:val="16"/>
                <w:szCs w:val="16"/>
              </w:rPr>
              <w:t xml:space="preserve">For the Three Months Ended </w:t>
            </w:r>
            <w:r>
              <w:rPr>
                <w:b/>
                <w:bCs/>
                <w:sz w:val="16"/>
                <w:szCs w:val="16"/>
              </w:rPr>
              <w:br/>
              <w:t>September 30</w:t>
            </w:r>
            <w:r>
              <w:rPr>
                <w:b/>
                <w:bCs/>
                <w:sz w:val="16"/>
                <w:szCs w:val="16"/>
              </w:rPr>
              <w:t>,</w:t>
            </w:r>
          </w:p>
        </w:tc>
        <w:tc>
          <w:tcPr>
            <w:tcW w:w="0" w:type="auto"/>
            <w:vAlign w:val="bottom"/>
            <w:hideMark/>
          </w:tcPr>
          <w:p w14:paraId="2884DAAE"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0BC609A0" w14:textId="77777777" w:rsidR="00000000" w:rsidRDefault="003A1B5D">
            <w:pPr>
              <w:pStyle w:val="a3"/>
              <w:spacing w:before="0" w:beforeAutospacing="0" w:after="0" w:afterAutospacing="0"/>
              <w:rPr>
                <w:sz w:val="16"/>
                <w:szCs w:val="16"/>
              </w:rPr>
            </w:pPr>
            <w:r>
              <w:rPr>
                <w:sz w:val="16"/>
                <w:szCs w:val="16"/>
              </w:rPr>
              <w:t> </w:t>
            </w:r>
          </w:p>
        </w:tc>
        <w:tc>
          <w:tcPr>
            <w:tcW w:w="0" w:type="auto"/>
            <w:gridSpan w:val="6"/>
            <w:vAlign w:val="bottom"/>
            <w:hideMark/>
          </w:tcPr>
          <w:p w14:paraId="476BEC62" w14:textId="77777777" w:rsidR="00000000" w:rsidRDefault="003A1B5D">
            <w:pPr>
              <w:pStyle w:val="a3"/>
              <w:spacing w:before="0" w:beforeAutospacing="0" w:after="0" w:afterAutospacing="0"/>
              <w:jc w:val="center"/>
              <w:rPr>
                <w:sz w:val="16"/>
                <w:szCs w:val="16"/>
              </w:rPr>
            </w:pPr>
            <w:r>
              <w:rPr>
                <w:b/>
                <w:bCs/>
                <w:sz w:val="16"/>
                <w:szCs w:val="16"/>
              </w:rPr>
              <w:t xml:space="preserve">For the Nine Months Ended </w:t>
            </w:r>
            <w:r>
              <w:rPr>
                <w:b/>
                <w:bCs/>
                <w:sz w:val="16"/>
                <w:szCs w:val="16"/>
              </w:rPr>
              <w:br/>
              <w:t>September 30</w:t>
            </w:r>
            <w:r>
              <w:rPr>
                <w:b/>
                <w:bCs/>
                <w:sz w:val="16"/>
                <w:szCs w:val="16"/>
              </w:rPr>
              <w:t>,</w:t>
            </w:r>
          </w:p>
        </w:tc>
        <w:tc>
          <w:tcPr>
            <w:tcW w:w="0" w:type="auto"/>
            <w:vAlign w:val="bottom"/>
            <w:hideMark/>
          </w:tcPr>
          <w:p w14:paraId="12583A5B"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531E5A01" w14:textId="77777777">
        <w:trPr>
          <w:trHeight w:val="160"/>
          <w:tblCellSpacing w:w="15" w:type="dxa"/>
        </w:trPr>
        <w:tc>
          <w:tcPr>
            <w:tcW w:w="0" w:type="auto"/>
            <w:hideMark/>
          </w:tcPr>
          <w:p w14:paraId="2C0147C8"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482B80CC"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47F8F457"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4C28C77"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2693896C"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050BC60F"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2FB9EE6A"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0AFC1E7F"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052A9447"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4D872CBA"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55CBB99B"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039C4794"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1D72AB32"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46AC61E7" w14:textId="77777777">
        <w:trPr>
          <w:trHeight w:val="200"/>
          <w:tblCellSpacing w:w="15" w:type="dxa"/>
        </w:trPr>
        <w:tc>
          <w:tcPr>
            <w:tcW w:w="0" w:type="auto"/>
            <w:hideMark/>
          </w:tcPr>
          <w:p w14:paraId="4E6FC515" w14:textId="77777777" w:rsidR="00000000" w:rsidRDefault="003A1B5D">
            <w:pPr>
              <w:pStyle w:val="a3"/>
              <w:spacing w:before="0" w:beforeAutospacing="0" w:after="0" w:afterAutospacing="0"/>
              <w:rPr>
                <w:sz w:val="20"/>
                <w:szCs w:val="20"/>
              </w:rPr>
            </w:pPr>
            <w:r>
              <w:rPr>
                <w:b/>
                <w:bCs/>
                <w:sz w:val="20"/>
                <w:szCs w:val="20"/>
              </w:rPr>
              <w:t>REVENU</w:t>
            </w:r>
            <w:r>
              <w:rPr>
                <w:b/>
                <w:bCs/>
                <w:sz w:val="20"/>
                <w:szCs w:val="20"/>
              </w:rPr>
              <w:t>E</w:t>
            </w:r>
          </w:p>
        </w:tc>
        <w:tc>
          <w:tcPr>
            <w:tcW w:w="0" w:type="auto"/>
            <w:vAlign w:val="bottom"/>
            <w:hideMark/>
          </w:tcPr>
          <w:p w14:paraId="30E8A5F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8341826"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318F49B7" w14:textId="77777777" w:rsidR="00000000" w:rsidRDefault="003A1B5D">
            <w:pPr>
              <w:pStyle w:val="a3"/>
              <w:spacing w:before="0" w:beforeAutospacing="0" w:after="0" w:afterAutospacing="0"/>
              <w:jc w:val="right"/>
              <w:rPr>
                <w:sz w:val="20"/>
                <w:szCs w:val="20"/>
              </w:rPr>
            </w:pPr>
            <w:r>
              <w:rPr>
                <w:b/>
                <w:bCs/>
                <w:sz w:val="20"/>
                <w:szCs w:val="20"/>
              </w:rPr>
              <w:t>464,21</w:t>
            </w:r>
            <w:r>
              <w:rPr>
                <w:b/>
                <w:bCs/>
                <w:sz w:val="20"/>
                <w:szCs w:val="20"/>
              </w:rPr>
              <w:t>1</w:t>
            </w:r>
          </w:p>
        </w:tc>
        <w:tc>
          <w:tcPr>
            <w:tcW w:w="0" w:type="auto"/>
            <w:noWrap/>
            <w:vAlign w:val="bottom"/>
            <w:hideMark/>
          </w:tcPr>
          <w:p w14:paraId="610BB82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9A3FB9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2F6D63F"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1286104C" w14:textId="77777777" w:rsidR="00000000" w:rsidRDefault="003A1B5D">
            <w:pPr>
              <w:pStyle w:val="a3"/>
              <w:spacing w:before="0" w:beforeAutospacing="0" w:after="0" w:afterAutospacing="0"/>
              <w:jc w:val="right"/>
              <w:rPr>
                <w:sz w:val="20"/>
                <w:szCs w:val="20"/>
              </w:rPr>
            </w:pPr>
            <w:r>
              <w:rPr>
                <w:sz w:val="20"/>
                <w:szCs w:val="20"/>
              </w:rPr>
              <w:t>471,19</w:t>
            </w:r>
            <w:r>
              <w:rPr>
                <w:sz w:val="20"/>
                <w:szCs w:val="20"/>
              </w:rPr>
              <w:t>4</w:t>
            </w:r>
          </w:p>
        </w:tc>
        <w:tc>
          <w:tcPr>
            <w:tcW w:w="0" w:type="auto"/>
            <w:noWrap/>
            <w:vAlign w:val="bottom"/>
            <w:hideMark/>
          </w:tcPr>
          <w:p w14:paraId="3C2BEC2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C107FD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0065BB7"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2EF93CE5" w14:textId="77777777" w:rsidR="00000000" w:rsidRDefault="003A1B5D">
            <w:pPr>
              <w:pStyle w:val="a3"/>
              <w:spacing w:before="0" w:beforeAutospacing="0" w:after="0" w:afterAutospacing="0"/>
              <w:jc w:val="right"/>
              <w:rPr>
                <w:sz w:val="20"/>
                <w:szCs w:val="20"/>
              </w:rPr>
            </w:pPr>
            <w:r>
              <w:rPr>
                <w:b/>
                <w:bCs/>
                <w:sz w:val="20"/>
                <w:szCs w:val="20"/>
              </w:rPr>
              <w:t>1,373,89</w:t>
            </w:r>
            <w:r>
              <w:rPr>
                <w:b/>
                <w:bCs/>
                <w:sz w:val="20"/>
                <w:szCs w:val="20"/>
              </w:rPr>
              <w:t>6</w:t>
            </w:r>
          </w:p>
        </w:tc>
        <w:tc>
          <w:tcPr>
            <w:tcW w:w="0" w:type="auto"/>
            <w:noWrap/>
            <w:vAlign w:val="bottom"/>
            <w:hideMark/>
          </w:tcPr>
          <w:p w14:paraId="2AA1E69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0193BE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31BD41B"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5DA4B259" w14:textId="77777777" w:rsidR="00000000" w:rsidRDefault="003A1B5D">
            <w:pPr>
              <w:pStyle w:val="a3"/>
              <w:spacing w:before="0" w:beforeAutospacing="0" w:after="0" w:afterAutospacing="0"/>
              <w:jc w:val="right"/>
              <w:rPr>
                <w:sz w:val="20"/>
                <w:szCs w:val="20"/>
              </w:rPr>
            </w:pPr>
            <w:r>
              <w:rPr>
                <w:sz w:val="20"/>
                <w:szCs w:val="20"/>
              </w:rPr>
              <w:t>1,390,48</w:t>
            </w:r>
            <w:r>
              <w:rPr>
                <w:sz w:val="20"/>
                <w:szCs w:val="20"/>
              </w:rPr>
              <w:t>3</w:t>
            </w:r>
          </w:p>
        </w:tc>
        <w:tc>
          <w:tcPr>
            <w:tcW w:w="0" w:type="auto"/>
            <w:noWrap/>
            <w:vAlign w:val="bottom"/>
            <w:hideMark/>
          </w:tcPr>
          <w:p w14:paraId="125AF66D" w14:textId="77777777" w:rsidR="00000000" w:rsidRDefault="003A1B5D">
            <w:pPr>
              <w:pStyle w:val="a3"/>
              <w:spacing w:before="0" w:beforeAutospacing="0" w:after="0" w:afterAutospacing="0"/>
              <w:rPr>
                <w:sz w:val="20"/>
                <w:szCs w:val="20"/>
              </w:rPr>
            </w:pPr>
            <w:r>
              <w:rPr>
                <w:sz w:val="20"/>
                <w:szCs w:val="20"/>
              </w:rPr>
              <w:t> </w:t>
            </w:r>
          </w:p>
        </w:tc>
      </w:tr>
      <w:tr w:rsidR="00000000" w14:paraId="29E3FCF0" w14:textId="77777777">
        <w:trPr>
          <w:trHeight w:val="200"/>
          <w:tblCellSpacing w:w="15" w:type="dxa"/>
        </w:trPr>
        <w:tc>
          <w:tcPr>
            <w:tcW w:w="0" w:type="auto"/>
            <w:hideMark/>
          </w:tcPr>
          <w:p w14:paraId="5E34BE7F" w14:textId="77777777" w:rsidR="00000000" w:rsidRDefault="003A1B5D">
            <w:pPr>
              <w:pStyle w:val="a3"/>
              <w:spacing w:before="0" w:beforeAutospacing="0" w:after="0" w:afterAutospacing="0"/>
              <w:rPr>
                <w:sz w:val="20"/>
                <w:szCs w:val="20"/>
              </w:rPr>
            </w:pPr>
            <w:r>
              <w:rPr>
                <w:b/>
                <w:bCs/>
                <w:sz w:val="20"/>
                <w:szCs w:val="20"/>
              </w:rPr>
              <w:t>EXPENSES</w:t>
            </w:r>
            <w:r>
              <w:rPr>
                <w:b/>
                <w:bCs/>
                <w:sz w:val="20"/>
                <w:szCs w:val="20"/>
              </w:rPr>
              <w:t>:</w:t>
            </w:r>
          </w:p>
        </w:tc>
        <w:tc>
          <w:tcPr>
            <w:tcW w:w="0" w:type="auto"/>
            <w:vAlign w:val="bottom"/>
            <w:hideMark/>
          </w:tcPr>
          <w:p w14:paraId="287CF756"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5D2978FB"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1B130DC0"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45034D0D"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2AAFBE72"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3329E345"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6900AF52"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5A52D426"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36A19D35"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7118C734"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5E9F04A2"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1581A6AD" w14:textId="77777777" w:rsidR="00000000" w:rsidRDefault="003A1B5D">
            <w:pPr>
              <w:pStyle w:val="a3"/>
              <w:spacing w:before="0" w:beforeAutospacing="0" w:after="0" w:afterAutospacing="0"/>
              <w:jc w:val="right"/>
              <w:rPr>
                <w:sz w:val="20"/>
                <w:szCs w:val="20"/>
              </w:rPr>
            </w:pPr>
            <w:r>
              <w:rPr>
                <w:sz w:val="20"/>
                <w:szCs w:val="20"/>
              </w:rPr>
              <w:t> </w:t>
            </w:r>
          </w:p>
        </w:tc>
      </w:tr>
      <w:tr w:rsidR="00000000" w14:paraId="799BA3FF" w14:textId="77777777">
        <w:trPr>
          <w:trHeight w:val="200"/>
          <w:tblCellSpacing w:w="15" w:type="dxa"/>
        </w:trPr>
        <w:tc>
          <w:tcPr>
            <w:tcW w:w="0" w:type="auto"/>
            <w:hideMark/>
          </w:tcPr>
          <w:p w14:paraId="2A6B3E9B" w14:textId="77777777" w:rsidR="00000000" w:rsidRDefault="003A1B5D">
            <w:pPr>
              <w:pStyle w:val="a3"/>
              <w:spacing w:before="0" w:beforeAutospacing="0" w:after="0" w:afterAutospacing="0"/>
              <w:ind w:left="200"/>
              <w:rPr>
                <w:sz w:val="20"/>
                <w:szCs w:val="20"/>
              </w:rPr>
            </w:pPr>
            <w:r>
              <w:rPr>
                <w:sz w:val="20"/>
                <w:szCs w:val="20"/>
              </w:rPr>
              <w:t>Operatin</w:t>
            </w:r>
            <w:r>
              <w:rPr>
                <w:sz w:val="20"/>
                <w:szCs w:val="20"/>
              </w:rPr>
              <w:t>g</w:t>
            </w:r>
          </w:p>
        </w:tc>
        <w:tc>
          <w:tcPr>
            <w:tcW w:w="0" w:type="auto"/>
            <w:vAlign w:val="bottom"/>
            <w:hideMark/>
          </w:tcPr>
          <w:p w14:paraId="6F4D9BB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F5BD2C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0B1527D" w14:textId="77777777" w:rsidR="00000000" w:rsidRDefault="003A1B5D">
            <w:pPr>
              <w:pStyle w:val="a3"/>
              <w:spacing w:before="0" w:beforeAutospacing="0" w:after="0" w:afterAutospacing="0"/>
              <w:jc w:val="right"/>
              <w:rPr>
                <w:sz w:val="20"/>
                <w:szCs w:val="20"/>
              </w:rPr>
            </w:pPr>
            <w:r>
              <w:rPr>
                <w:b/>
                <w:bCs/>
                <w:sz w:val="20"/>
                <w:szCs w:val="20"/>
              </w:rPr>
              <w:t>368,19</w:t>
            </w:r>
            <w:r>
              <w:rPr>
                <w:b/>
                <w:bCs/>
                <w:sz w:val="20"/>
                <w:szCs w:val="20"/>
              </w:rPr>
              <w:t>4</w:t>
            </w:r>
          </w:p>
        </w:tc>
        <w:tc>
          <w:tcPr>
            <w:tcW w:w="0" w:type="auto"/>
            <w:noWrap/>
            <w:vAlign w:val="bottom"/>
            <w:hideMark/>
          </w:tcPr>
          <w:p w14:paraId="3DB6627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8EC865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4EB5F6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4B89092" w14:textId="77777777" w:rsidR="00000000" w:rsidRDefault="003A1B5D">
            <w:pPr>
              <w:pStyle w:val="a3"/>
              <w:spacing w:before="0" w:beforeAutospacing="0" w:after="0" w:afterAutospacing="0"/>
              <w:jc w:val="right"/>
              <w:rPr>
                <w:sz w:val="20"/>
                <w:szCs w:val="20"/>
              </w:rPr>
            </w:pPr>
            <w:r>
              <w:rPr>
                <w:sz w:val="20"/>
                <w:szCs w:val="20"/>
              </w:rPr>
              <w:t>338,19</w:t>
            </w:r>
            <w:r>
              <w:rPr>
                <w:sz w:val="20"/>
                <w:szCs w:val="20"/>
              </w:rPr>
              <w:t>2</w:t>
            </w:r>
          </w:p>
        </w:tc>
        <w:tc>
          <w:tcPr>
            <w:tcW w:w="0" w:type="auto"/>
            <w:noWrap/>
            <w:vAlign w:val="bottom"/>
            <w:hideMark/>
          </w:tcPr>
          <w:p w14:paraId="078EFED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3D2603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8C29C2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CECC95A" w14:textId="77777777" w:rsidR="00000000" w:rsidRDefault="003A1B5D">
            <w:pPr>
              <w:pStyle w:val="a3"/>
              <w:spacing w:before="0" w:beforeAutospacing="0" w:after="0" w:afterAutospacing="0"/>
              <w:jc w:val="right"/>
              <w:rPr>
                <w:sz w:val="20"/>
                <w:szCs w:val="20"/>
              </w:rPr>
            </w:pPr>
            <w:r>
              <w:rPr>
                <w:b/>
                <w:bCs/>
                <w:sz w:val="20"/>
                <w:szCs w:val="20"/>
              </w:rPr>
              <w:t>1,061,82</w:t>
            </w:r>
            <w:r>
              <w:rPr>
                <w:b/>
                <w:bCs/>
                <w:sz w:val="20"/>
                <w:szCs w:val="20"/>
              </w:rPr>
              <w:t>3</w:t>
            </w:r>
          </w:p>
        </w:tc>
        <w:tc>
          <w:tcPr>
            <w:tcW w:w="0" w:type="auto"/>
            <w:noWrap/>
            <w:vAlign w:val="bottom"/>
            <w:hideMark/>
          </w:tcPr>
          <w:p w14:paraId="12F544F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6642F5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C7A0F5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1ABC03E" w14:textId="77777777" w:rsidR="00000000" w:rsidRDefault="003A1B5D">
            <w:pPr>
              <w:pStyle w:val="a3"/>
              <w:spacing w:before="0" w:beforeAutospacing="0" w:after="0" w:afterAutospacing="0"/>
              <w:jc w:val="right"/>
              <w:rPr>
                <w:sz w:val="20"/>
                <w:szCs w:val="20"/>
              </w:rPr>
            </w:pPr>
            <w:r>
              <w:rPr>
                <w:sz w:val="20"/>
                <w:szCs w:val="20"/>
              </w:rPr>
              <w:t>1,004,14</w:t>
            </w:r>
            <w:r>
              <w:rPr>
                <w:sz w:val="20"/>
                <w:szCs w:val="20"/>
              </w:rPr>
              <w:t>6</w:t>
            </w:r>
          </w:p>
        </w:tc>
        <w:tc>
          <w:tcPr>
            <w:tcW w:w="0" w:type="auto"/>
            <w:noWrap/>
            <w:vAlign w:val="bottom"/>
            <w:hideMark/>
          </w:tcPr>
          <w:p w14:paraId="14FAEE7B" w14:textId="77777777" w:rsidR="00000000" w:rsidRDefault="003A1B5D">
            <w:pPr>
              <w:pStyle w:val="a3"/>
              <w:spacing w:before="0" w:beforeAutospacing="0" w:after="0" w:afterAutospacing="0"/>
              <w:rPr>
                <w:sz w:val="20"/>
                <w:szCs w:val="20"/>
              </w:rPr>
            </w:pPr>
            <w:r>
              <w:rPr>
                <w:sz w:val="20"/>
                <w:szCs w:val="20"/>
              </w:rPr>
              <w:t> </w:t>
            </w:r>
          </w:p>
        </w:tc>
      </w:tr>
      <w:tr w:rsidR="00000000" w14:paraId="07132EAA" w14:textId="77777777">
        <w:trPr>
          <w:trHeight w:val="200"/>
          <w:tblCellSpacing w:w="15" w:type="dxa"/>
        </w:trPr>
        <w:tc>
          <w:tcPr>
            <w:tcW w:w="0" w:type="auto"/>
            <w:hideMark/>
          </w:tcPr>
          <w:p w14:paraId="62EF5A22" w14:textId="77777777" w:rsidR="00000000" w:rsidRDefault="003A1B5D">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14:paraId="1361A4C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3FBBC7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B78F37A" w14:textId="77777777" w:rsidR="00000000" w:rsidRDefault="003A1B5D">
            <w:pPr>
              <w:pStyle w:val="a3"/>
              <w:spacing w:before="0" w:beforeAutospacing="0" w:after="0" w:afterAutospacing="0"/>
              <w:jc w:val="right"/>
              <w:rPr>
                <w:sz w:val="20"/>
                <w:szCs w:val="20"/>
              </w:rPr>
            </w:pPr>
            <w:r>
              <w:rPr>
                <w:b/>
                <w:bCs/>
                <w:sz w:val="20"/>
                <w:szCs w:val="20"/>
              </w:rPr>
              <w:t>30,19</w:t>
            </w:r>
            <w:r>
              <w:rPr>
                <w:b/>
                <w:bCs/>
                <w:sz w:val="20"/>
                <w:szCs w:val="20"/>
              </w:rPr>
              <w:t>4</w:t>
            </w:r>
          </w:p>
        </w:tc>
        <w:tc>
          <w:tcPr>
            <w:tcW w:w="0" w:type="auto"/>
            <w:noWrap/>
            <w:vAlign w:val="bottom"/>
            <w:hideMark/>
          </w:tcPr>
          <w:p w14:paraId="3A213A2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7C1CCA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0D5099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7DEE245" w14:textId="77777777" w:rsidR="00000000" w:rsidRDefault="003A1B5D">
            <w:pPr>
              <w:pStyle w:val="a3"/>
              <w:spacing w:before="0" w:beforeAutospacing="0" w:after="0" w:afterAutospacing="0"/>
              <w:jc w:val="right"/>
              <w:rPr>
                <w:sz w:val="20"/>
                <w:szCs w:val="20"/>
              </w:rPr>
            </w:pPr>
            <w:r>
              <w:rPr>
                <w:sz w:val="20"/>
                <w:szCs w:val="20"/>
              </w:rPr>
              <w:t>34,60</w:t>
            </w:r>
            <w:r>
              <w:rPr>
                <w:sz w:val="20"/>
                <w:szCs w:val="20"/>
              </w:rPr>
              <w:t>0</w:t>
            </w:r>
          </w:p>
        </w:tc>
        <w:tc>
          <w:tcPr>
            <w:tcW w:w="0" w:type="auto"/>
            <w:noWrap/>
            <w:vAlign w:val="bottom"/>
            <w:hideMark/>
          </w:tcPr>
          <w:p w14:paraId="5C9B2BC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7EC8DA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901FC6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C3CEDFC" w14:textId="77777777" w:rsidR="00000000" w:rsidRDefault="003A1B5D">
            <w:pPr>
              <w:pStyle w:val="a3"/>
              <w:spacing w:before="0" w:beforeAutospacing="0" w:after="0" w:afterAutospacing="0"/>
              <w:jc w:val="right"/>
              <w:rPr>
                <w:sz w:val="20"/>
                <w:szCs w:val="20"/>
              </w:rPr>
            </w:pPr>
            <w:r>
              <w:rPr>
                <w:b/>
                <w:bCs/>
                <w:sz w:val="20"/>
                <w:szCs w:val="20"/>
              </w:rPr>
              <w:t>92,80</w:t>
            </w:r>
            <w:r>
              <w:rPr>
                <w:b/>
                <w:bCs/>
                <w:sz w:val="20"/>
                <w:szCs w:val="20"/>
              </w:rPr>
              <w:t>8</w:t>
            </w:r>
          </w:p>
        </w:tc>
        <w:tc>
          <w:tcPr>
            <w:tcW w:w="0" w:type="auto"/>
            <w:noWrap/>
            <w:vAlign w:val="bottom"/>
            <w:hideMark/>
          </w:tcPr>
          <w:p w14:paraId="0882ABF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80C379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7BE58C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C619759" w14:textId="77777777" w:rsidR="00000000" w:rsidRDefault="003A1B5D">
            <w:pPr>
              <w:pStyle w:val="a3"/>
              <w:spacing w:before="0" w:beforeAutospacing="0" w:after="0" w:afterAutospacing="0"/>
              <w:jc w:val="right"/>
              <w:rPr>
                <w:sz w:val="20"/>
                <w:szCs w:val="20"/>
              </w:rPr>
            </w:pPr>
            <w:r>
              <w:rPr>
                <w:sz w:val="20"/>
                <w:szCs w:val="20"/>
              </w:rPr>
              <w:t>97,35</w:t>
            </w:r>
            <w:r>
              <w:rPr>
                <w:sz w:val="20"/>
                <w:szCs w:val="20"/>
              </w:rPr>
              <w:t>8</w:t>
            </w:r>
          </w:p>
        </w:tc>
        <w:tc>
          <w:tcPr>
            <w:tcW w:w="0" w:type="auto"/>
            <w:noWrap/>
            <w:vAlign w:val="bottom"/>
            <w:hideMark/>
          </w:tcPr>
          <w:p w14:paraId="56F81A3B" w14:textId="77777777" w:rsidR="00000000" w:rsidRDefault="003A1B5D">
            <w:pPr>
              <w:pStyle w:val="a3"/>
              <w:spacing w:before="0" w:beforeAutospacing="0" w:after="0" w:afterAutospacing="0"/>
              <w:rPr>
                <w:sz w:val="20"/>
                <w:szCs w:val="20"/>
              </w:rPr>
            </w:pPr>
            <w:r>
              <w:rPr>
                <w:sz w:val="20"/>
                <w:szCs w:val="20"/>
              </w:rPr>
              <w:t> </w:t>
            </w:r>
          </w:p>
        </w:tc>
      </w:tr>
      <w:tr w:rsidR="00000000" w14:paraId="2A414318" w14:textId="77777777">
        <w:trPr>
          <w:trHeight w:val="200"/>
          <w:tblCellSpacing w:w="15" w:type="dxa"/>
        </w:trPr>
        <w:tc>
          <w:tcPr>
            <w:tcW w:w="0" w:type="auto"/>
            <w:hideMark/>
          </w:tcPr>
          <w:p w14:paraId="05F1F273" w14:textId="77777777" w:rsidR="00000000" w:rsidRDefault="003A1B5D">
            <w:pPr>
              <w:pStyle w:val="a3"/>
              <w:spacing w:before="0" w:beforeAutospacing="0" w:after="0" w:afterAutospacing="0"/>
              <w:ind w:left="200"/>
              <w:rPr>
                <w:sz w:val="20"/>
                <w:szCs w:val="20"/>
              </w:rPr>
            </w:pPr>
            <w:r>
              <w:rPr>
                <w:sz w:val="20"/>
                <w:szCs w:val="20"/>
              </w:rPr>
              <w:t>Depreciation and amortizatio</w:t>
            </w:r>
            <w:r>
              <w:rPr>
                <w:sz w:val="20"/>
                <w:szCs w:val="20"/>
              </w:rPr>
              <w:t>n</w:t>
            </w:r>
          </w:p>
        </w:tc>
        <w:tc>
          <w:tcPr>
            <w:tcW w:w="0" w:type="auto"/>
            <w:vAlign w:val="bottom"/>
            <w:hideMark/>
          </w:tcPr>
          <w:p w14:paraId="2DEECC3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D1D3AC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56524EF" w14:textId="77777777" w:rsidR="00000000" w:rsidRDefault="003A1B5D">
            <w:pPr>
              <w:pStyle w:val="a3"/>
              <w:spacing w:before="0" w:beforeAutospacing="0" w:after="0" w:afterAutospacing="0"/>
              <w:jc w:val="right"/>
              <w:rPr>
                <w:sz w:val="20"/>
                <w:szCs w:val="20"/>
              </w:rPr>
            </w:pPr>
            <w:r>
              <w:rPr>
                <w:b/>
                <w:bCs/>
                <w:sz w:val="20"/>
                <w:szCs w:val="20"/>
              </w:rPr>
              <w:t>31,93</w:t>
            </w:r>
            <w:r>
              <w:rPr>
                <w:b/>
                <w:bCs/>
                <w:sz w:val="20"/>
                <w:szCs w:val="20"/>
              </w:rPr>
              <w:t>1</w:t>
            </w:r>
          </w:p>
        </w:tc>
        <w:tc>
          <w:tcPr>
            <w:tcW w:w="0" w:type="auto"/>
            <w:noWrap/>
            <w:vAlign w:val="bottom"/>
            <w:hideMark/>
          </w:tcPr>
          <w:p w14:paraId="3446BE9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90A719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0B3587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B5574B8" w14:textId="77777777" w:rsidR="00000000" w:rsidRDefault="003A1B5D">
            <w:pPr>
              <w:pStyle w:val="a3"/>
              <w:spacing w:before="0" w:beforeAutospacing="0" w:after="0" w:afterAutospacing="0"/>
              <w:jc w:val="right"/>
              <w:rPr>
                <w:sz w:val="20"/>
                <w:szCs w:val="20"/>
              </w:rPr>
            </w:pPr>
            <w:r>
              <w:rPr>
                <w:sz w:val="20"/>
                <w:szCs w:val="20"/>
              </w:rPr>
              <w:t>33,99</w:t>
            </w:r>
            <w:r>
              <w:rPr>
                <w:sz w:val="20"/>
                <w:szCs w:val="20"/>
              </w:rPr>
              <w:t>1</w:t>
            </w:r>
          </w:p>
        </w:tc>
        <w:tc>
          <w:tcPr>
            <w:tcW w:w="0" w:type="auto"/>
            <w:noWrap/>
            <w:vAlign w:val="bottom"/>
            <w:hideMark/>
          </w:tcPr>
          <w:p w14:paraId="586B861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0050D7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CE306B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C849A6E" w14:textId="77777777" w:rsidR="00000000" w:rsidRDefault="003A1B5D">
            <w:pPr>
              <w:pStyle w:val="a3"/>
              <w:spacing w:before="0" w:beforeAutospacing="0" w:after="0" w:afterAutospacing="0"/>
              <w:jc w:val="right"/>
              <w:rPr>
                <w:sz w:val="20"/>
                <w:szCs w:val="20"/>
              </w:rPr>
            </w:pPr>
            <w:r>
              <w:rPr>
                <w:b/>
                <w:bCs/>
                <w:sz w:val="20"/>
                <w:szCs w:val="20"/>
              </w:rPr>
              <w:t>96,21</w:t>
            </w:r>
            <w:r>
              <w:rPr>
                <w:b/>
                <w:bCs/>
                <w:sz w:val="20"/>
                <w:szCs w:val="20"/>
              </w:rPr>
              <w:t>8</w:t>
            </w:r>
          </w:p>
        </w:tc>
        <w:tc>
          <w:tcPr>
            <w:tcW w:w="0" w:type="auto"/>
            <w:noWrap/>
            <w:vAlign w:val="bottom"/>
            <w:hideMark/>
          </w:tcPr>
          <w:p w14:paraId="4625378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CD0913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85F839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346CE9A" w14:textId="77777777" w:rsidR="00000000" w:rsidRDefault="003A1B5D">
            <w:pPr>
              <w:pStyle w:val="a3"/>
              <w:spacing w:before="0" w:beforeAutospacing="0" w:after="0" w:afterAutospacing="0"/>
              <w:jc w:val="right"/>
              <w:rPr>
                <w:sz w:val="20"/>
                <w:szCs w:val="20"/>
              </w:rPr>
            </w:pPr>
            <w:r>
              <w:rPr>
                <w:sz w:val="20"/>
                <w:szCs w:val="20"/>
              </w:rPr>
              <w:t>100,78</w:t>
            </w:r>
            <w:r>
              <w:rPr>
                <w:sz w:val="20"/>
                <w:szCs w:val="20"/>
              </w:rPr>
              <w:t>7</w:t>
            </w:r>
          </w:p>
        </w:tc>
        <w:tc>
          <w:tcPr>
            <w:tcW w:w="0" w:type="auto"/>
            <w:noWrap/>
            <w:vAlign w:val="bottom"/>
            <w:hideMark/>
          </w:tcPr>
          <w:p w14:paraId="5E70D8FD" w14:textId="77777777" w:rsidR="00000000" w:rsidRDefault="003A1B5D">
            <w:pPr>
              <w:pStyle w:val="a3"/>
              <w:spacing w:before="0" w:beforeAutospacing="0" w:after="0" w:afterAutospacing="0"/>
              <w:rPr>
                <w:sz w:val="20"/>
                <w:szCs w:val="20"/>
              </w:rPr>
            </w:pPr>
            <w:r>
              <w:rPr>
                <w:sz w:val="20"/>
                <w:szCs w:val="20"/>
              </w:rPr>
              <w:t> </w:t>
            </w:r>
          </w:p>
        </w:tc>
      </w:tr>
      <w:tr w:rsidR="00000000" w14:paraId="378A85DC" w14:textId="77777777">
        <w:trPr>
          <w:trHeight w:val="200"/>
          <w:tblCellSpacing w:w="15" w:type="dxa"/>
        </w:trPr>
        <w:tc>
          <w:tcPr>
            <w:tcW w:w="0" w:type="auto"/>
            <w:hideMark/>
          </w:tcPr>
          <w:p w14:paraId="24B7B9C0" w14:textId="77777777" w:rsidR="00000000" w:rsidRDefault="003A1B5D">
            <w:pPr>
              <w:pStyle w:val="a3"/>
              <w:spacing w:before="0" w:beforeAutospacing="0" w:after="0" w:afterAutospacing="0"/>
              <w:ind w:left="200"/>
              <w:rPr>
                <w:sz w:val="20"/>
                <w:szCs w:val="20"/>
              </w:rPr>
            </w:pPr>
            <w:r>
              <w:rPr>
                <w:sz w:val="20"/>
                <w:szCs w:val="20"/>
              </w:rPr>
              <w:t>Shareholder litigation expens</w:t>
            </w:r>
            <w:r>
              <w:rPr>
                <w:sz w:val="20"/>
                <w:szCs w:val="20"/>
              </w:rPr>
              <w:t>e</w:t>
            </w:r>
          </w:p>
        </w:tc>
        <w:tc>
          <w:tcPr>
            <w:tcW w:w="0" w:type="auto"/>
            <w:vAlign w:val="bottom"/>
            <w:hideMark/>
          </w:tcPr>
          <w:p w14:paraId="375DBFE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2981A3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032C89C" w14:textId="77777777" w:rsidR="00000000" w:rsidRDefault="003A1B5D">
            <w:pPr>
              <w:pStyle w:val="a3"/>
              <w:spacing w:before="0" w:beforeAutospacing="0" w:after="0" w:afterAutospacing="0"/>
              <w:jc w:val="right"/>
              <w:rPr>
                <w:sz w:val="20"/>
                <w:szCs w:val="20"/>
              </w:rPr>
            </w:pPr>
            <w:r>
              <w:rPr>
                <w:b/>
                <w:bCs/>
                <w:sz w:val="20"/>
                <w:szCs w:val="20"/>
              </w:rPr>
              <w:t>—</w:t>
            </w:r>
          </w:p>
        </w:tc>
        <w:tc>
          <w:tcPr>
            <w:tcW w:w="0" w:type="auto"/>
            <w:noWrap/>
            <w:vAlign w:val="bottom"/>
            <w:hideMark/>
          </w:tcPr>
          <w:p w14:paraId="7746E29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56F6D2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EBA86B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4CE304E"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552011C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A56D94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0DA7EC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93DF659" w14:textId="77777777" w:rsidR="00000000" w:rsidRDefault="003A1B5D">
            <w:pPr>
              <w:pStyle w:val="a3"/>
              <w:spacing w:before="0" w:beforeAutospacing="0" w:after="0" w:afterAutospacing="0"/>
              <w:jc w:val="right"/>
              <w:rPr>
                <w:sz w:val="20"/>
                <w:szCs w:val="20"/>
              </w:rPr>
            </w:pPr>
            <w:r>
              <w:rPr>
                <w:b/>
                <w:bCs/>
                <w:sz w:val="20"/>
                <w:szCs w:val="20"/>
              </w:rPr>
              <w:t>1,90</w:t>
            </w:r>
            <w:r>
              <w:rPr>
                <w:b/>
                <w:bCs/>
                <w:sz w:val="20"/>
                <w:szCs w:val="20"/>
              </w:rPr>
              <w:t>0</w:t>
            </w:r>
          </w:p>
        </w:tc>
        <w:tc>
          <w:tcPr>
            <w:tcW w:w="0" w:type="auto"/>
            <w:noWrap/>
            <w:vAlign w:val="bottom"/>
            <w:hideMark/>
          </w:tcPr>
          <w:p w14:paraId="3920A9A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519FBA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0D8438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3A2A625" w14:textId="77777777" w:rsidR="00000000" w:rsidRDefault="003A1B5D">
            <w:pPr>
              <w:pStyle w:val="a3"/>
              <w:spacing w:before="0" w:beforeAutospacing="0" w:after="0" w:afterAutospacing="0"/>
              <w:jc w:val="right"/>
              <w:rPr>
                <w:sz w:val="20"/>
                <w:szCs w:val="20"/>
              </w:rPr>
            </w:pPr>
            <w:r>
              <w:rPr>
                <w:sz w:val="20"/>
                <w:szCs w:val="20"/>
              </w:rPr>
              <w:t>54,29</w:t>
            </w:r>
            <w:r>
              <w:rPr>
                <w:sz w:val="20"/>
                <w:szCs w:val="20"/>
              </w:rPr>
              <w:t>5</w:t>
            </w:r>
          </w:p>
        </w:tc>
        <w:tc>
          <w:tcPr>
            <w:tcW w:w="0" w:type="auto"/>
            <w:noWrap/>
            <w:vAlign w:val="bottom"/>
            <w:hideMark/>
          </w:tcPr>
          <w:p w14:paraId="51CCC410" w14:textId="77777777" w:rsidR="00000000" w:rsidRDefault="003A1B5D">
            <w:pPr>
              <w:pStyle w:val="a3"/>
              <w:spacing w:before="0" w:beforeAutospacing="0" w:after="0" w:afterAutospacing="0"/>
              <w:rPr>
                <w:sz w:val="20"/>
                <w:szCs w:val="20"/>
              </w:rPr>
            </w:pPr>
            <w:r>
              <w:rPr>
                <w:sz w:val="20"/>
                <w:szCs w:val="20"/>
              </w:rPr>
              <w:t> </w:t>
            </w:r>
          </w:p>
        </w:tc>
      </w:tr>
      <w:tr w:rsidR="00000000" w14:paraId="1E2F733D" w14:textId="77777777">
        <w:trPr>
          <w:trHeight w:val="200"/>
          <w:tblCellSpacing w:w="15" w:type="dxa"/>
        </w:trPr>
        <w:tc>
          <w:tcPr>
            <w:tcW w:w="0" w:type="auto"/>
            <w:hideMark/>
          </w:tcPr>
          <w:p w14:paraId="583E1FEA" w14:textId="77777777" w:rsidR="00000000" w:rsidRDefault="003A1B5D">
            <w:pPr>
              <w:pStyle w:val="a3"/>
              <w:spacing w:before="0" w:beforeAutospacing="0" w:after="0" w:afterAutospacing="0"/>
              <w:ind w:left="200"/>
              <w:rPr>
                <w:sz w:val="20"/>
                <w:szCs w:val="20"/>
              </w:rPr>
            </w:pPr>
            <w:r>
              <w:rPr>
                <w:sz w:val="20"/>
                <w:szCs w:val="20"/>
              </w:rPr>
              <w:t>Asset impairment</w:t>
            </w:r>
            <w:r>
              <w:rPr>
                <w:sz w:val="20"/>
                <w:szCs w:val="20"/>
              </w:rPr>
              <w:t>s</w:t>
            </w:r>
          </w:p>
        </w:tc>
        <w:tc>
          <w:tcPr>
            <w:tcW w:w="0" w:type="auto"/>
            <w:vAlign w:val="bottom"/>
            <w:hideMark/>
          </w:tcPr>
          <w:p w14:paraId="625B296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E51172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7F159B4" w14:textId="77777777" w:rsidR="00000000" w:rsidRDefault="003A1B5D">
            <w:pPr>
              <w:pStyle w:val="a3"/>
              <w:spacing w:before="0" w:beforeAutospacing="0" w:after="0" w:afterAutospacing="0"/>
              <w:jc w:val="right"/>
              <w:rPr>
                <w:sz w:val="20"/>
                <w:szCs w:val="20"/>
              </w:rPr>
            </w:pPr>
            <w:r>
              <w:rPr>
                <w:b/>
                <w:bCs/>
                <w:sz w:val="20"/>
                <w:szCs w:val="20"/>
              </w:rPr>
              <w:t>3,51</w:t>
            </w:r>
            <w:r>
              <w:rPr>
                <w:b/>
                <w:bCs/>
                <w:sz w:val="20"/>
                <w:szCs w:val="20"/>
              </w:rPr>
              <w:t>3</w:t>
            </w:r>
          </w:p>
        </w:tc>
        <w:tc>
          <w:tcPr>
            <w:tcW w:w="0" w:type="auto"/>
            <w:noWrap/>
            <w:vAlign w:val="bottom"/>
            <w:hideMark/>
          </w:tcPr>
          <w:p w14:paraId="310B2CE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4C5691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45D576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BEF8953" w14:textId="77777777" w:rsidR="00000000" w:rsidRDefault="003A1B5D">
            <w:pPr>
              <w:pStyle w:val="a3"/>
              <w:spacing w:before="0" w:beforeAutospacing="0" w:after="0" w:afterAutospacing="0"/>
              <w:jc w:val="right"/>
              <w:rPr>
                <w:sz w:val="20"/>
                <w:szCs w:val="20"/>
              </w:rPr>
            </w:pPr>
            <w:r>
              <w:rPr>
                <w:sz w:val="20"/>
                <w:szCs w:val="20"/>
              </w:rPr>
              <w:t>5,17</w:t>
            </w:r>
            <w:r>
              <w:rPr>
                <w:sz w:val="20"/>
                <w:szCs w:val="20"/>
              </w:rPr>
              <w:t>7</w:t>
            </w:r>
          </w:p>
        </w:tc>
        <w:tc>
          <w:tcPr>
            <w:tcW w:w="0" w:type="auto"/>
            <w:noWrap/>
            <w:vAlign w:val="bottom"/>
            <w:hideMark/>
          </w:tcPr>
          <w:p w14:paraId="6F740CE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21F7B9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CD4438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62EF0A1" w14:textId="77777777" w:rsidR="00000000" w:rsidRDefault="003A1B5D">
            <w:pPr>
              <w:pStyle w:val="a3"/>
              <w:spacing w:before="0" w:beforeAutospacing="0" w:after="0" w:afterAutospacing="0"/>
              <w:jc w:val="right"/>
              <w:rPr>
                <w:sz w:val="20"/>
                <w:szCs w:val="20"/>
              </w:rPr>
            </w:pPr>
            <w:r>
              <w:rPr>
                <w:b/>
                <w:bCs/>
                <w:sz w:val="20"/>
                <w:szCs w:val="20"/>
              </w:rPr>
              <w:t>3,51</w:t>
            </w:r>
            <w:r>
              <w:rPr>
                <w:b/>
                <w:bCs/>
                <w:sz w:val="20"/>
                <w:szCs w:val="20"/>
              </w:rPr>
              <w:t>3</w:t>
            </w:r>
          </w:p>
        </w:tc>
        <w:tc>
          <w:tcPr>
            <w:tcW w:w="0" w:type="auto"/>
            <w:noWrap/>
            <w:vAlign w:val="bottom"/>
            <w:hideMark/>
          </w:tcPr>
          <w:p w14:paraId="21D2038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0DDAD2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349897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72B6635" w14:textId="77777777" w:rsidR="00000000" w:rsidRDefault="003A1B5D">
            <w:pPr>
              <w:pStyle w:val="a3"/>
              <w:spacing w:before="0" w:beforeAutospacing="0" w:after="0" w:afterAutospacing="0"/>
              <w:jc w:val="right"/>
              <w:rPr>
                <w:sz w:val="20"/>
                <w:szCs w:val="20"/>
              </w:rPr>
            </w:pPr>
            <w:r>
              <w:rPr>
                <w:sz w:val="20"/>
                <w:szCs w:val="20"/>
              </w:rPr>
              <w:t>9,35</w:t>
            </w:r>
            <w:r>
              <w:rPr>
                <w:sz w:val="20"/>
                <w:szCs w:val="20"/>
              </w:rPr>
              <w:t>1</w:t>
            </w:r>
          </w:p>
        </w:tc>
        <w:tc>
          <w:tcPr>
            <w:tcW w:w="0" w:type="auto"/>
            <w:noWrap/>
            <w:vAlign w:val="bottom"/>
            <w:hideMark/>
          </w:tcPr>
          <w:p w14:paraId="36FCE023" w14:textId="77777777" w:rsidR="00000000" w:rsidRDefault="003A1B5D">
            <w:pPr>
              <w:pStyle w:val="a3"/>
              <w:spacing w:before="0" w:beforeAutospacing="0" w:after="0" w:afterAutospacing="0"/>
              <w:rPr>
                <w:sz w:val="20"/>
                <w:szCs w:val="20"/>
              </w:rPr>
            </w:pPr>
            <w:r>
              <w:rPr>
                <w:sz w:val="20"/>
                <w:szCs w:val="20"/>
              </w:rPr>
              <w:t> </w:t>
            </w:r>
          </w:p>
        </w:tc>
      </w:tr>
      <w:tr w:rsidR="00000000" w14:paraId="677A1B06" w14:textId="77777777">
        <w:trPr>
          <w:trHeight w:val="200"/>
          <w:tblCellSpacing w:w="15" w:type="dxa"/>
        </w:trPr>
        <w:tc>
          <w:tcPr>
            <w:tcW w:w="0" w:type="auto"/>
            <w:hideMark/>
          </w:tcPr>
          <w:p w14:paraId="1D649A7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785AC2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E2947F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0BB216E" w14:textId="77777777" w:rsidR="00000000" w:rsidRDefault="003A1B5D">
            <w:pPr>
              <w:pStyle w:val="a3"/>
              <w:spacing w:before="0" w:beforeAutospacing="0" w:after="0" w:afterAutospacing="0"/>
              <w:jc w:val="right"/>
              <w:rPr>
                <w:sz w:val="20"/>
                <w:szCs w:val="20"/>
              </w:rPr>
            </w:pPr>
            <w:r>
              <w:rPr>
                <w:b/>
                <w:bCs/>
                <w:sz w:val="20"/>
                <w:szCs w:val="20"/>
              </w:rPr>
              <w:t>433,83</w:t>
            </w:r>
            <w:r>
              <w:rPr>
                <w:b/>
                <w:bCs/>
                <w:sz w:val="20"/>
                <w:szCs w:val="20"/>
              </w:rPr>
              <w:t>2</w:t>
            </w:r>
          </w:p>
        </w:tc>
        <w:tc>
          <w:tcPr>
            <w:tcW w:w="0" w:type="auto"/>
            <w:noWrap/>
            <w:vAlign w:val="bottom"/>
            <w:hideMark/>
          </w:tcPr>
          <w:p w14:paraId="15FE4A1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76DE32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DAFED8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137AA15" w14:textId="77777777" w:rsidR="00000000" w:rsidRDefault="003A1B5D">
            <w:pPr>
              <w:pStyle w:val="a3"/>
              <w:spacing w:before="0" w:beforeAutospacing="0" w:after="0" w:afterAutospacing="0"/>
              <w:jc w:val="right"/>
              <w:rPr>
                <w:sz w:val="20"/>
                <w:szCs w:val="20"/>
              </w:rPr>
            </w:pPr>
            <w:r>
              <w:rPr>
                <w:sz w:val="20"/>
                <w:szCs w:val="20"/>
              </w:rPr>
              <w:t>411,96</w:t>
            </w:r>
            <w:r>
              <w:rPr>
                <w:sz w:val="20"/>
                <w:szCs w:val="20"/>
              </w:rPr>
              <w:t>0</w:t>
            </w:r>
          </w:p>
        </w:tc>
        <w:tc>
          <w:tcPr>
            <w:tcW w:w="0" w:type="auto"/>
            <w:noWrap/>
            <w:vAlign w:val="bottom"/>
            <w:hideMark/>
          </w:tcPr>
          <w:p w14:paraId="5F84CC4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49CD7A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0099C5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BBFE024" w14:textId="77777777" w:rsidR="00000000" w:rsidRDefault="003A1B5D">
            <w:pPr>
              <w:pStyle w:val="a3"/>
              <w:spacing w:before="0" w:beforeAutospacing="0" w:after="0" w:afterAutospacing="0"/>
              <w:jc w:val="right"/>
              <w:rPr>
                <w:sz w:val="20"/>
                <w:szCs w:val="20"/>
              </w:rPr>
            </w:pPr>
            <w:r>
              <w:rPr>
                <w:b/>
                <w:bCs/>
                <w:sz w:val="20"/>
                <w:szCs w:val="20"/>
              </w:rPr>
              <w:t>1,256,26</w:t>
            </w:r>
            <w:r>
              <w:rPr>
                <w:b/>
                <w:bCs/>
                <w:sz w:val="20"/>
                <w:szCs w:val="20"/>
              </w:rPr>
              <w:t>2</w:t>
            </w:r>
          </w:p>
        </w:tc>
        <w:tc>
          <w:tcPr>
            <w:tcW w:w="0" w:type="auto"/>
            <w:noWrap/>
            <w:vAlign w:val="bottom"/>
            <w:hideMark/>
          </w:tcPr>
          <w:p w14:paraId="6B06AEC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A6CD39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BFF835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45F18FE" w14:textId="77777777" w:rsidR="00000000" w:rsidRDefault="003A1B5D">
            <w:pPr>
              <w:pStyle w:val="a3"/>
              <w:spacing w:before="0" w:beforeAutospacing="0" w:after="0" w:afterAutospacing="0"/>
              <w:jc w:val="right"/>
              <w:rPr>
                <w:sz w:val="20"/>
                <w:szCs w:val="20"/>
              </w:rPr>
            </w:pPr>
            <w:r>
              <w:rPr>
                <w:sz w:val="20"/>
                <w:szCs w:val="20"/>
              </w:rPr>
              <w:t>1,265,93</w:t>
            </w:r>
            <w:r>
              <w:rPr>
                <w:sz w:val="20"/>
                <w:szCs w:val="20"/>
              </w:rPr>
              <w:t>7</w:t>
            </w:r>
          </w:p>
        </w:tc>
        <w:tc>
          <w:tcPr>
            <w:tcW w:w="0" w:type="auto"/>
            <w:noWrap/>
            <w:vAlign w:val="bottom"/>
            <w:hideMark/>
          </w:tcPr>
          <w:p w14:paraId="5F4EA76E" w14:textId="77777777" w:rsidR="00000000" w:rsidRDefault="003A1B5D">
            <w:pPr>
              <w:pStyle w:val="a3"/>
              <w:spacing w:before="0" w:beforeAutospacing="0" w:after="0" w:afterAutospacing="0"/>
              <w:rPr>
                <w:sz w:val="20"/>
                <w:szCs w:val="20"/>
              </w:rPr>
            </w:pPr>
            <w:r>
              <w:rPr>
                <w:sz w:val="20"/>
                <w:szCs w:val="20"/>
              </w:rPr>
              <w:t> </w:t>
            </w:r>
          </w:p>
        </w:tc>
      </w:tr>
      <w:tr w:rsidR="00000000" w14:paraId="643A4041" w14:textId="77777777">
        <w:trPr>
          <w:trHeight w:val="200"/>
          <w:tblCellSpacing w:w="15" w:type="dxa"/>
        </w:trPr>
        <w:tc>
          <w:tcPr>
            <w:tcW w:w="0" w:type="auto"/>
            <w:hideMark/>
          </w:tcPr>
          <w:p w14:paraId="526B9CE1" w14:textId="77777777" w:rsidR="00000000" w:rsidRDefault="003A1B5D">
            <w:pPr>
              <w:pStyle w:val="a3"/>
              <w:spacing w:before="0" w:beforeAutospacing="0" w:after="0" w:afterAutospacing="0"/>
              <w:rPr>
                <w:sz w:val="20"/>
                <w:szCs w:val="20"/>
              </w:rPr>
            </w:pPr>
            <w:r>
              <w:rPr>
                <w:b/>
                <w:bCs/>
                <w:sz w:val="20"/>
                <w:szCs w:val="20"/>
              </w:rPr>
              <w:t>OTHER INCOME (EXPENSE)</w:t>
            </w:r>
            <w:r>
              <w:rPr>
                <w:b/>
                <w:bCs/>
                <w:sz w:val="20"/>
                <w:szCs w:val="20"/>
              </w:rPr>
              <w:t>:</w:t>
            </w:r>
          </w:p>
        </w:tc>
        <w:tc>
          <w:tcPr>
            <w:tcW w:w="0" w:type="auto"/>
            <w:vAlign w:val="bottom"/>
            <w:hideMark/>
          </w:tcPr>
          <w:p w14:paraId="056E4C91"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737C0E92"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7947E435"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60AB81E"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74464245"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46693612"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4D4C24AF"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7D2826BC"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08630059"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9110828"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7D72DEB6"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3AD6F9CF" w14:textId="77777777" w:rsidR="00000000" w:rsidRDefault="003A1B5D">
            <w:pPr>
              <w:pStyle w:val="a3"/>
              <w:spacing w:before="0" w:beforeAutospacing="0" w:after="0" w:afterAutospacing="0"/>
              <w:jc w:val="right"/>
              <w:rPr>
                <w:sz w:val="20"/>
                <w:szCs w:val="20"/>
              </w:rPr>
            </w:pPr>
            <w:r>
              <w:rPr>
                <w:sz w:val="20"/>
                <w:szCs w:val="20"/>
              </w:rPr>
              <w:t> </w:t>
            </w:r>
          </w:p>
        </w:tc>
      </w:tr>
      <w:tr w:rsidR="00000000" w14:paraId="7770BC8F" w14:textId="77777777">
        <w:trPr>
          <w:trHeight w:val="200"/>
          <w:tblCellSpacing w:w="15" w:type="dxa"/>
        </w:trPr>
        <w:tc>
          <w:tcPr>
            <w:tcW w:w="0" w:type="auto"/>
            <w:hideMark/>
          </w:tcPr>
          <w:p w14:paraId="29BFF773" w14:textId="77777777" w:rsidR="00000000" w:rsidRDefault="003A1B5D">
            <w:pPr>
              <w:pStyle w:val="a3"/>
              <w:spacing w:before="0" w:beforeAutospacing="0" w:after="0" w:afterAutospacing="0"/>
              <w:ind w:left="200"/>
              <w:rPr>
                <w:sz w:val="20"/>
                <w:szCs w:val="20"/>
              </w:rPr>
            </w:pPr>
            <w:r>
              <w:rPr>
                <w:sz w:val="20"/>
                <w:szCs w:val="20"/>
              </w:rPr>
              <w:t>Interest expense, ne</w:t>
            </w:r>
            <w:r>
              <w:rPr>
                <w:sz w:val="20"/>
                <w:szCs w:val="20"/>
              </w:rPr>
              <w:t>t</w:t>
            </w:r>
          </w:p>
        </w:tc>
        <w:tc>
          <w:tcPr>
            <w:tcW w:w="0" w:type="auto"/>
            <w:vAlign w:val="bottom"/>
            <w:hideMark/>
          </w:tcPr>
          <w:p w14:paraId="4484B79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283FA4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C24D773"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20,79</w:t>
            </w:r>
            <w:r>
              <w:rPr>
                <w:b/>
                <w:bCs/>
                <w:sz w:val="20"/>
                <w:szCs w:val="20"/>
              </w:rPr>
              <w:t>3</w:t>
            </w:r>
          </w:p>
        </w:tc>
        <w:tc>
          <w:tcPr>
            <w:tcW w:w="0" w:type="auto"/>
            <w:noWrap/>
            <w:vAlign w:val="bottom"/>
            <w:hideMark/>
          </w:tcPr>
          <w:p w14:paraId="7C6A1AF5"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0D99347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97DD49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B51F3F4" w14:textId="77777777" w:rsidR="00000000" w:rsidRDefault="003A1B5D">
            <w:pPr>
              <w:pStyle w:val="a3"/>
              <w:spacing w:before="0" w:beforeAutospacing="0" w:after="0" w:afterAutospacing="0"/>
              <w:jc w:val="right"/>
              <w:rPr>
                <w:sz w:val="20"/>
                <w:szCs w:val="20"/>
              </w:rPr>
            </w:pPr>
            <w:r>
              <w:rPr>
                <w:sz w:val="20"/>
                <w:szCs w:val="20"/>
              </w:rPr>
              <w:t>(</w:t>
            </w:r>
            <w:r>
              <w:rPr>
                <w:sz w:val="20"/>
                <w:szCs w:val="20"/>
              </w:rPr>
              <w:t>20,65</w:t>
            </w:r>
            <w:r>
              <w:rPr>
                <w:sz w:val="20"/>
                <w:szCs w:val="20"/>
              </w:rPr>
              <w:t>3</w:t>
            </w:r>
          </w:p>
        </w:tc>
        <w:tc>
          <w:tcPr>
            <w:tcW w:w="0" w:type="auto"/>
            <w:noWrap/>
            <w:vAlign w:val="bottom"/>
            <w:hideMark/>
          </w:tcPr>
          <w:p w14:paraId="1208D9F2"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789DC79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7FEF24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AA16289"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65,38</w:t>
            </w:r>
            <w:r>
              <w:rPr>
                <w:b/>
                <w:bCs/>
                <w:sz w:val="20"/>
                <w:szCs w:val="20"/>
              </w:rPr>
              <w:t>1</w:t>
            </w:r>
          </w:p>
        </w:tc>
        <w:tc>
          <w:tcPr>
            <w:tcW w:w="0" w:type="auto"/>
            <w:noWrap/>
            <w:vAlign w:val="bottom"/>
            <w:hideMark/>
          </w:tcPr>
          <w:p w14:paraId="4C4E0C51"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93B648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68B83F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152E2DD" w14:textId="77777777" w:rsidR="00000000" w:rsidRDefault="003A1B5D">
            <w:pPr>
              <w:pStyle w:val="a3"/>
              <w:spacing w:before="0" w:beforeAutospacing="0" w:after="0" w:afterAutospacing="0"/>
              <w:jc w:val="right"/>
              <w:rPr>
                <w:sz w:val="20"/>
                <w:szCs w:val="20"/>
              </w:rPr>
            </w:pPr>
            <w:r>
              <w:rPr>
                <w:sz w:val="20"/>
                <w:szCs w:val="20"/>
              </w:rPr>
              <w:t>(</w:t>
            </w:r>
            <w:r>
              <w:rPr>
                <w:sz w:val="20"/>
                <w:szCs w:val="20"/>
              </w:rPr>
              <w:t>62,30</w:t>
            </w:r>
            <w:r>
              <w:rPr>
                <w:sz w:val="20"/>
                <w:szCs w:val="20"/>
              </w:rPr>
              <w:t>3</w:t>
            </w:r>
          </w:p>
        </w:tc>
        <w:tc>
          <w:tcPr>
            <w:tcW w:w="0" w:type="auto"/>
            <w:noWrap/>
            <w:vAlign w:val="bottom"/>
            <w:hideMark/>
          </w:tcPr>
          <w:p w14:paraId="73D61857" w14:textId="77777777" w:rsidR="00000000" w:rsidRDefault="003A1B5D">
            <w:pPr>
              <w:pStyle w:val="a3"/>
              <w:spacing w:before="0" w:beforeAutospacing="0" w:after="0" w:afterAutospacing="0"/>
              <w:rPr>
                <w:sz w:val="20"/>
                <w:szCs w:val="20"/>
              </w:rPr>
            </w:pPr>
            <w:r>
              <w:rPr>
                <w:sz w:val="20"/>
                <w:szCs w:val="20"/>
              </w:rPr>
              <w:t>)</w:t>
            </w:r>
          </w:p>
        </w:tc>
      </w:tr>
      <w:tr w:rsidR="00000000" w14:paraId="01BA99E0" w14:textId="77777777">
        <w:trPr>
          <w:trHeight w:val="200"/>
          <w:tblCellSpacing w:w="15" w:type="dxa"/>
        </w:trPr>
        <w:tc>
          <w:tcPr>
            <w:tcW w:w="0" w:type="auto"/>
            <w:hideMark/>
          </w:tcPr>
          <w:p w14:paraId="3AFEBD00" w14:textId="77777777" w:rsidR="00000000" w:rsidRDefault="003A1B5D">
            <w:pPr>
              <w:pStyle w:val="a3"/>
              <w:spacing w:before="0" w:beforeAutospacing="0" w:after="0" w:afterAutospacing="0"/>
              <w:ind w:left="200"/>
              <w:rPr>
                <w:sz w:val="20"/>
                <w:szCs w:val="20"/>
              </w:rPr>
            </w:pPr>
            <w:r>
              <w:rPr>
                <w:sz w:val="20"/>
                <w:szCs w:val="20"/>
              </w:rPr>
              <w:t>Expenses associated with debt repayments</w:t>
            </w:r>
            <w:r>
              <w:rPr>
                <w:sz w:val="20"/>
                <w:szCs w:val="20"/>
              </w:rPr>
              <w:br/>
              <w:t>    and refinancing transaction</w:t>
            </w:r>
            <w:r>
              <w:rPr>
                <w:sz w:val="20"/>
                <w:szCs w:val="20"/>
              </w:rPr>
              <w:t>s</w:t>
            </w:r>
          </w:p>
        </w:tc>
        <w:tc>
          <w:tcPr>
            <w:tcW w:w="0" w:type="auto"/>
            <w:vAlign w:val="bottom"/>
            <w:hideMark/>
          </w:tcPr>
          <w:p w14:paraId="59A5770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BD3183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C54A7F6"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78</w:t>
            </w:r>
            <w:r>
              <w:rPr>
                <w:b/>
                <w:bCs/>
                <w:sz w:val="20"/>
                <w:szCs w:val="20"/>
              </w:rPr>
              <w:t>3</w:t>
            </w:r>
          </w:p>
        </w:tc>
        <w:tc>
          <w:tcPr>
            <w:tcW w:w="0" w:type="auto"/>
            <w:noWrap/>
            <w:vAlign w:val="bottom"/>
            <w:hideMark/>
          </w:tcPr>
          <w:p w14:paraId="46BC41C3"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3F33B4E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DB0AED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E2FE6D6"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4EB7883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1F0A19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773AC8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BAF1B0C"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7,58</w:t>
            </w:r>
            <w:r>
              <w:rPr>
                <w:b/>
                <w:bCs/>
                <w:sz w:val="20"/>
                <w:szCs w:val="20"/>
              </w:rPr>
              <w:t>8</w:t>
            </w:r>
          </w:p>
        </w:tc>
        <w:tc>
          <w:tcPr>
            <w:tcW w:w="0" w:type="auto"/>
            <w:noWrap/>
            <w:vAlign w:val="bottom"/>
            <w:hideMark/>
          </w:tcPr>
          <w:p w14:paraId="37AD914C"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18ABE6D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5C415A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E7FAD6B" w14:textId="77777777" w:rsidR="00000000" w:rsidRDefault="003A1B5D">
            <w:pPr>
              <w:pStyle w:val="a3"/>
              <w:spacing w:before="0" w:beforeAutospacing="0" w:after="0" w:afterAutospacing="0"/>
              <w:jc w:val="right"/>
              <w:rPr>
                <w:sz w:val="20"/>
                <w:szCs w:val="20"/>
              </w:rPr>
            </w:pPr>
            <w:r>
              <w:rPr>
                <w:sz w:val="20"/>
                <w:szCs w:val="20"/>
              </w:rPr>
              <w:t>(</w:t>
            </w:r>
            <w:r>
              <w:rPr>
                <w:sz w:val="20"/>
                <w:szCs w:val="20"/>
              </w:rPr>
              <w:t>52,16</w:t>
            </w:r>
            <w:r>
              <w:rPr>
                <w:sz w:val="20"/>
                <w:szCs w:val="20"/>
              </w:rPr>
              <w:t>7</w:t>
            </w:r>
          </w:p>
        </w:tc>
        <w:tc>
          <w:tcPr>
            <w:tcW w:w="0" w:type="auto"/>
            <w:noWrap/>
            <w:vAlign w:val="bottom"/>
            <w:hideMark/>
          </w:tcPr>
          <w:p w14:paraId="232C9E1E" w14:textId="77777777" w:rsidR="00000000" w:rsidRDefault="003A1B5D">
            <w:pPr>
              <w:pStyle w:val="a3"/>
              <w:spacing w:before="0" w:beforeAutospacing="0" w:after="0" w:afterAutospacing="0"/>
              <w:rPr>
                <w:sz w:val="20"/>
                <w:szCs w:val="20"/>
              </w:rPr>
            </w:pPr>
            <w:r>
              <w:rPr>
                <w:sz w:val="20"/>
                <w:szCs w:val="20"/>
              </w:rPr>
              <w:t>)</w:t>
            </w:r>
          </w:p>
        </w:tc>
      </w:tr>
      <w:tr w:rsidR="00000000" w14:paraId="52824C7F" w14:textId="77777777">
        <w:trPr>
          <w:trHeight w:val="200"/>
          <w:tblCellSpacing w:w="15" w:type="dxa"/>
        </w:trPr>
        <w:tc>
          <w:tcPr>
            <w:tcW w:w="0" w:type="auto"/>
            <w:hideMark/>
          </w:tcPr>
          <w:p w14:paraId="6EADE9F5" w14:textId="77777777" w:rsidR="00000000" w:rsidRDefault="003A1B5D">
            <w:pPr>
              <w:pStyle w:val="a3"/>
              <w:spacing w:before="0" w:beforeAutospacing="0" w:after="0" w:afterAutospacing="0"/>
              <w:ind w:left="200"/>
              <w:rPr>
                <w:sz w:val="20"/>
                <w:szCs w:val="20"/>
              </w:rPr>
            </w:pPr>
            <w:r>
              <w:rPr>
                <w:sz w:val="20"/>
                <w:szCs w:val="20"/>
              </w:rPr>
              <w:t>Gain on sale of real estate assets, ne</w:t>
            </w:r>
            <w:r>
              <w:rPr>
                <w:sz w:val="20"/>
                <w:szCs w:val="20"/>
              </w:rPr>
              <w:t>t</w:t>
            </w:r>
          </w:p>
        </w:tc>
        <w:tc>
          <w:tcPr>
            <w:tcW w:w="0" w:type="auto"/>
            <w:vAlign w:val="bottom"/>
            <w:hideMark/>
          </w:tcPr>
          <w:p w14:paraId="20F5561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EF3908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0FCA0BF" w14:textId="77777777" w:rsidR="00000000" w:rsidRDefault="003A1B5D">
            <w:pPr>
              <w:pStyle w:val="a3"/>
              <w:spacing w:before="0" w:beforeAutospacing="0" w:after="0" w:afterAutospacing="0"/>
              <w:jc w:val="right"/>
              <w:rPr>
                <w:sz w:val="20"/>
                <w:szCs w:val="20"/>
              </w:rPr>
            </w:pPr>
            <w:r>
              <w:rPr>
                <w:b/>
                <w:bCs/>
                <w:sz w:val="20"/>
                <w:szCs w:val="20"/>
              </w:rPr>
              <w:t>83,82</w:t>
            </w:r>
            <w:r>
              <w:rPr>
                <w:b/>
                <w:bCs/>
                <w:sz w:val="20"/>
                <w:szCs w:val="20"/>
              </w:rPr>
              <w:t>8</w:t>
            </w:r>
          </w:p>
        </w:tc>
        <w:tc>
          <w:tcPr>
            <w:tcW w:w="0" w:type="auto"/>
            <w:noWrap/>
            <w:vAlign w:val="bottom"/>
            <w:hideMark/>
          </w:tcPr>
          <w:p w14:paraId="56AFBC9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EE2DAB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FECE9C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ED26970"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7923D33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E6AC38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0DC67F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28D38AF" w14:textId="77777777" w:rsidR="00000000" w:rsidRDefault="003A1B5D">
            <w:pPr>
              <w:pStyle w:val="a3"/>
              <w:spacing w:before="0" w:beforeAutospacing="0" w:after="0" w:afterAutospacing="0"/>
              <w:jc w:val="right"/>
              <w:rPr>
                <w:sz w:val="20"/>
                <w:szCs w:val="20"/>
              </w:rPr>
            </w:pPr>
            <w:r>
              <w:rPr>
                <w:b/>
                <w:bCs/>
                <w:sz w:val="20"/>
                <w:szCs w:val="20"/>
              </w:rPr>
              <w:t>87,14</w:t>
            </w:r>
            <w:r>
              <w:rPr>
                <w:b/>
                <w:bCs/>
                <w:sz w:val="20"/>
                <w:szCs w:val="20"/>
              </w:rPr>
              <w:t>9</w:t>
            </w:r>
          </w:p>
        </w:tc>
        <w:tc>
          <w:tcPr>
            <w:tcW w:w="0" w:type="auto"/>
            <w:noWrap/>
            <w:vAlign w:val="bottom"/>
            <w:hideMark/>
          </w:tcPr>
          <w:p w14:paraId="2EC4762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1F4A0D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0CB0B3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879C572" w14:textId="77777777" w:rsidR="00000000" w:rsidRDefault="003A1B5D">
            <w:pPr>
              <w:pStyle w:val="a3"/>
              <w:spacing w:before="0" w:beforeAutospacing="0" w:after="0" w:afterAutospacing="0"/>
              <w:jc w:val="right"/>
              <w:rPr>
                <w:sz w:val="20"/>
                <w:szCs w:val="20"/>
              </w:rPr>
            </w:pPr>
            <w:r>
              <w:rPr>
                <w:sz w:val="20"/>
                <w:szCs w:val="20"/>
              </w:rPr>
              <w:t>38,76</w:t>
            </w:r>
            <w:r>
              <w:rPr>
                <w:sz w:val="20"/>
                <w:szCs w:val="20"/>
              </w:rPr>
              <w:t>6</w:t>
            </w:r>
          </w:p>
        </w:tc>
        <w:tc>
          <w:tcPr>
            <w:tcW w:w="0" w:type="auto"/>
            <w:noWrap/>
            <w:vAlign w:val="bottom"/>
            <w:hideMark/>
          </w:tcPr>
          <w:p w14:paraId="22989469" w14:textId="77777777" w:rsidR="00000000" w:rsidRDefault="003A1B5D">
            <w:pPr>
              <w:pStyle w:val="a3"/>
              <w:spacing w:before="0" w:beforeAutospacing="0" w:after="0" w:afterAutospacing="0"/>
              <w:rPr>
                <w:sz w:val="20"/>
                <w:szCs w:val="20"/>
              </w:rPr>
            </w:pPr>
            <w:r>
              <w:rPr>
                <w:sz w:val="20"/>
                <w:szCs w:val="20"/>
              </w:rPr>
              <w:t> </w:t>
            </w:r>
          </w:p>
        </w:tc>
      </w:tr>
      <w:tr w:rsidR="00000000" w14:paraId="04F2691F" w14:textId="77777777">
        <w:trPr>
          <w:trHeight w:val="200"/>
          <w:tblCellSpacing w:w="15" w:type="dxa"/>
        </w:trPr>
        <w:tc>
          <w:tcPr>
            <w:tcW w:w="0" w:type="auto"/>
            <w:hideMark/>
          </w:tcPr>
          <w:p w14:paraId="6BBD817F" w14:textId="77777777" w:rsidR="00000000" w:rsidRDefault="003A1B5D">
            <w:pPr>
              <w:pStyle w:val="a3"/>
              <w:spacing w:before="0" w:beforeAutospacing="0" w:after="0" w:afterAutospacing="0"/>
              <w:ind w:left="200"/>
              <w:rPr>
                <w:sz w:val="20"/>
                <w:szCs w:val="20"/>
              </w:rPr>
            </w:pPr>
            <w:r>
              <w:rPr>
                <w:sz w:val="20"/>
                <w:szCs w:val="20"/>
              </w:rPr>
              <w:t>Other income (expense</w:t>
            </w:r>
            <w:r>
              <w:rPr>
                <w:sz w:val="20"/>
                <w:szCs w:val="20"/>
              </w:rPr>
              <w:t>)</w:t>
            </w:r>
          </w:p>
        </w:tc>
        <w:tc>
          <w:tcPr>
            <w:tcW w:w="0" w:type="auto"/>
            <w:vAlign w:val="bottom"/>
            <w:hideMark/>
          </w:tcPr>
          <w:p w14:paraId="601DCB6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211791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35F9AE3"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7</w:t>
            </w:r>
            <w:r>
              <w:rPr>
                <w:b/>
                <w:bCs/>
                <w:sz w:val="20"/>
                <w:szCs w:val="20"/>
              </w:rPr>
              <w:t>1</w:t>
            </w:r>
          </w:p>
        </w:tc>
        <w:tc>
          <w:tcPr>
            <w:tcW w:w="0" w:type="auto"/>
            <w:noWrap/>
            <w:vAlign w:val="bottom"/>
            <w:hideMark/>
          </w:tcPr>
          <w:p w14:paraId="25C5B209"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2C4BC64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201944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1A2AB35" w14:textId="77777777" w:rsidR="00000000" w:rsidRDefault="003A1B5D">
            <w:pPr>
              <w:pStyle w:val="a3"/>
              <w:spacing w:before="0" w:beforeAutospacing="0" w:after="0" w:afterAutospacing="0"/>
              <w:jc w:val="right"/>
              <w:rPr>
                <w:sz w:val="20"/>
                <w:szCs w:val="20"/>
              </w:rPr>
            </w:pPr>
            <w:r>
              <w:rPr>
                <w:sz w:val="20"/>
                <w:szCs w:val="20"/>
              </w:rPr>
              <w:t>4</w:t>
            </w:r>
            <w:r>
              <w:rPr>
                <w:sz w:val="20"/>
                <w:szCs w:val="20"/>
              </w:rPr>
              <w:t>9</w:t>
            </w:r>
          </w:p>
        </w:tc>
        <w:tc>
          <w:tcPr>
            <w:tcW w:w="0" w:type="auto"/>
            <w:noWrap/>
            <w:vAlign w:val="bottom"/>
            <w:hideMark/>
          </w:tcPr>
          <w:p w14:paraId="188EDF4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C197F0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92A817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EB570DF" w14:textId="77777777" w:rsidR="00000000" w:rsidRDefault="003A1B5D">
            <w:pPr>
              <w:pStyle w:val="a3"/>
              <w:spacing w:before="0" w:beforeAutospacing="0" w:after="0" w:afterAutospacing="0"/>
              <w:jc w:val="right"/>
              <w:rPr>
                <w:sz w:val="20"/>
                <w:szCs w:val="20"/>
              </w:rPr>
            </w:pPr>
            <w:r>
              <w:rPr>
                <w:b/>
                <w:bCs/>
                <w:sz w:val="20"/>
                <w:szCs w:val="20"/>
              </w:rPr>
              <w:t>93</w:t>
            </w:r>
            <w:r>
              <w:rPr>
                <w:b/>
                <w:bCs/>
                <w:sz w:val="20"/>
                <w:szCs w:val="20"/>
              </w:rPr>
              <w:t>4</w:t>
            </w:r>
          </w:p>
        </w:tc>
        <w:tc>
          <w:tcPr>
            <w:tcW w:w="0" w:type="auto"/>
            <w:noWrap/>
            <w:vAlign w:val="bottom"/>
            <w:hideMark/>
          </w:tcPr>
          <w:p w14:paraId="01B7EF2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85EAAB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2C74E5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3159B72" w14:textId="77777777" w:rsidR="00000000" w:rsidRDefault="003A1B5D">
            <w:pPr>
              <w:pStyle w:val="a3"/>
              <w:spacing w:before="0" w:beforeAutospacing="0" w:after="0" w:afterAutospacing="0"/>
              <w:jc w:val="right"/>
              <w:rPr>
                <w:sz w:val="20"/>
                <w:szCs w:val="20"/>
              </w:rPr>
            </w:pPr>
            <w:r>
              <w:rPr>
                <w:sz w:val="20"/>
                <w:szCs w:val="20"/>
              </w:rPr>
              <w:t>(</w:t>
            </w:r>
            <w:r>
              <w:rPr>
                <w:sz w:val="20"/>
                <w:szCs w:val="20"/>
              </w:rPr>
              <w:t>10</w:t>
            </w:r>
            <w:r>
              <w:rPr>
                <w:sz w:val="20"/>
                <w:szCs w:val="20"/>
              </w:rPr>
              <w:t>7</w:t>
            </w:r>
          </w:p>
        </w:tc>
        <w:tc>
          <w:tcPr>
            <w:tcW w:w="0" w:type="auto"/>
            <w:noWrap/>
            <w:vAlign w:val="bottom"/>
            <w:hideMark/>
          </w:tcPr>
          <w:p w14:paraId="0EF916F5" w14:textId="77777777" w:rsidR="00000000" w:rsidRDefault="003A1B5D">
            <w:pPr>
              <w:pStyle w:val="a3"/>
              <w:spacing w:before="0" w:beforeAutospacing="0" w:after="0" w:afterAutospacing="0"/>
              <w:rPr>
                <w:sz w:val="20"/>
                <w:szCs w:val="20"/>
              </w:rPr>
            </w:pPr>
            <w:r>
              <w:rPr>
                <w:sz w:val="20"/>
                <w:szCs w:val="20"/>
              </w:rPr>
              <w:t>)</w:t>
            </w:r>
          </w:p>
        </w:tc>
      </w:tr>
      <w:tr w:rsidR="00000000" w14:paraId="06BD7529" w14:textId="77777777">
        <w:trPr>
          <w:trHeight w:val="200"/>
          <w:tblCellSpacing w:w="15" w:type="dxa"/>
        </w:trPr>
        <w:tc>
          <w:tcPr>
            <w:tcW w:w="0" w:type="auto"/>
            <w:hideMark/>
          </w:tcPr>
          <w:p w14:paraId="62B77741" w14:textId="77777777" w:rsidR="00000000" w:rsidRDefault="003A1B5D">
            <w:pPr>
              <w:pStyle w:val="a3"/>
              <w:spacing w:before="0" w:beforeAutospacing="0" w:after="0" w:afterAutospacing="0"/>
              <w:rPr>
                <w:sz w:val="20"/>
                <w:szCs w:val="20"/>
              </w:rPr>
            </w:pPr>
            <w:r>
              <w:rPr>
                <w:b/>
                <w:bCs/>
                <w:sz w:val="20"/>
                <w:szCs w:val="20"/>
              </w:rPr>
              <w:t>INCOME BEFORE INCOME TAXE</w:t>
            </w:r>
            <w:r>
              <w:rPr>
                <w:b/>
                <w:bCs/>
                <w:sz w:val="20"/>
                <w:szCs w:val="20"/>
              </w:rPr>
              <w:t>S</w:t>
            </w:r>
          </w:p>
        </w:tc>
        <w:tc>
          <w:tcPr>
            <w:tcW w:w="0" w:type="auto"/>
            <w:vAlign w:val="bottom"/>
            <w:hideMark/>
          </w:tcPr>
          <w:p w14:paraId="3366E88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DF307B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F7ACED1" w14:textId="77777777" w:rsidR="00000000" w:rsidRDefault="003A1B5D">
            <w:pPr>
              <w:pStyle w:val="a3"/>
              <w:spacing w:before="0" w:beforeAutospacing="0" w:after="0" w:afterAutospacing="0"/>
              <w:jc w:val="right"/>
              <w:rPr>
                <w:sz w:val="20"/>
                <w:szCs w:val="20"/>
              </w:rPr>
            </w:pPr>
            <w:r>
              <w:rPr>
                <w:b/>
                <w:bCs/>
                <w:sz w:val="20"/>
                <w:szCs w:val="20"/>
              </w:rPr>
              <w:t>92,56</w:t>
            </w:r>
            <w:r>
              <w:rPr>
                <w:b/>
                <w:bCs/>
                <w:sz w:val="20"/>
                <w:szCs w:val="20"/>
              </w:rPr>
              <w:t>0</w:t>
            </w:r>
          </w:p>
        </w:tc>
        <w:tc>
          <w:tcPr>
            <w:tcW w:w="0" w:type="auto"/>
            <w:noWrap/>
            <w:vAlign w:val="bottom"/>
            <w:hideMark/>
          </w:tcPr>
          <w:p w14:paraId="655D06A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CD4657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B4586A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54BC19B" w14:textId="77777777" w:rsidR="00000000" w:rsidRDefault="003A1B5D">
            <w:pPr>
              <w:pStyle w:val="a3"/>
              <w:spacing w:before="0" w:beforeAutospacing="0" w:after="0" w:afterAutospacing="0"/>
              <w:jc w:val="right"/>
              <w:rPr>
                <w:sz w:val="20"/>
                <w:szCs w:val="20"/>
              </w:rPr>
            </w:pPr>
            <w:r>
              <w:rPr>
                <w:sz w:val="20"/>
                <w:szCs w:val="20"/>
              </w:rPr>
              <w:t>38,63</w:t>
            </w:r>
            <w:r>
              <w:rPr>
                <w:sz w:val="20"/>
                <w:szCs w:val="20"/>
              </w:rPr>
              <w:t>0</w:t>
            </w:r>
          </w:p>
        </w:tc>
        <w:tc>
          <w:tcPr>
            <w:tcW w:w="0" w:type="auto"/>
            <w:noWrap/>
            <w:vAlign w:val="bottom"/>
            <w:hideMark/>
          </w:tcPr>
          <w:p w14:paraId="764F4AB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AF1846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E703E7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31A965C" w14:textId="77777777" w:rsidR="00000000" w:rsidRDefault="003A1B5D">
            <w:pPr>
              <w:pStyle w:val="a3"/>
              <w:spacing w:before="0" w:beforeAutospacing="0" w:after="0" w:afterAutospacing="0"/>
              <w:jc w:val="right"/>
              <w:rPr>
                <w:sz w:val="20"/>
                <w:szCs w:val="20"/>
              </w:rPr>
            </w:pPr>
            <w:r>
              <w:rPr>
                <w:b/>
                <w:bCs/>
                <w:sz w:val="20"/>
                <w:szCs w:val="20"/>
              </w:rPr>
              <w:t>132,74</w:t>
            </w:r>
            <w:r>
              <w:rPr>
                <w:b/>
                <w:bCs/>
                <w:sz w:val="20"/>
                <w:szCs w:val="20"/>
              </w:rPr>
              <w:t>8</w:t>
            </w:r>
          </w:p>
        </w:tc>
        <w:tc>
          <w:tcPr>
            <w:tcW w:w="0" w:type="auto"/>
            <w:noWrap/>
            <w:vAlign w:val="bottom"/>
            <w:hideMark/>
          </w:tcPr>
          <w:p w14:paraId="1E07039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E218C3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80D54C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27A299C" w14:textId="77777777" w:rsidR="00000000" w:rsidRDefault="003A1B5D">
            <w:pPr>
              <w:pStyle w:val="a3"/>
              <w:spacing w:before="0" w:beforeAutospacing="0" w:after="0" w:afterAutospacing="0"/>
              <w:jc w:val="right"/>
              <w:rPr>
                <w:sz w:val="20"/>
                <w:szCs w:val="20"/>
              </w:rPr>
            </w:pPr>
            <w:r>
              <w:rPr>
                <w:sz w:val="20"/>
                <w:szCs w:val="20"/>
              </w:rPr>
              <w:t>48,73</w:t>
            </w:r>
            <w:r>
              <w:rPr>
                <w:sz w:val="20"/>
                <w:szCs w:val="20"/>
              </w:rPr>
              <w:t>5</w:t>
            </w:r>
          </w:p>
        </w:tc>
        <w:tc>
          <w:tcPr>
            <w:tcW w:w="0" w:type="auto"/>
            <w:noWrap/>
            <w:vAlign w:val="bottom"/>
            <w:hideMark/>
          </w:tcPr>
          <w:p w14:paraId="539B4546" w14:textId="77777777" w:rsidR="00000000" w:rsidRDefault="003A1B5D">
            <w:pPr>
              <w:pStyle w:val="a3"/>
              <w:spacing w:before="0" w:beforeAutospacing="0" w:after="0" w:afterAutospacing="0"/>
              <w:rPr>
                <w:sz w:val="20"/>
                <w:szCs w:val="20"/>
              </w:rPr>
            </w:pPr>
            <w:r>
              <w:rPr>
                <w:sz w:val="20"/>
                <w:szCs w:val="20"/>
              </w:rPr>
              <w:t> </w:t>
            </w:r>
          </w:p>
        </w:tc>
      </w:tr>
      <w:tr w:rsidR="00000000" w14:paraId="245A3349" w14:textId="77777777">
        <w:trPr>
          <w:trHeight w:val="200"/>
          <w:tblCellSpacing w:w="15" w:type="dxa"/>
        </w:trPr>
        <w:tc>
          <w:tcPr>
            <w:tcW w:w="0" w:type="auto"/>
            <w:hideMark/>
          </w:tcPr>
          <w:p w14:paraId="2D445A7F" w14:textId="77777777" w:rsidR="00000000" w:rsidRDefault="003A1B5D">
            <w:pPr>
              <w:pStyle w:val="a3"/>
              <w:spacing w:before="0" w:beforeAutospacing="0" w:after="0" w:afterAutospacing="0"/>
              <w:ind w:left="200"/>
              <w:rPr>
                <w:sz w:val="20"/>
                <w:szCs w:val="20"/>
              </w:rPr>
            </w:pPr>
            <w:r>
              <w:rPr>
                <w:sz w:val="20"/>
                <w:szCs w:val="20"/>
              </w:rPr>
              <w:t>Income tax expens</w:t>
            </w:r>
            <w:r>
              <w:rPr>
                <w:sz w:val="20"/>
                <w:szCs w:val="20"/>
              </w:rPr>
              <w:t>e</w:t>
            </w:r>
          </w:p>
        </w:tc>
        <w:tc>
          <w:tcPr>
            <w:tcW w:w="0" w:type="auto"/>
            <w:vAlign w:val="bottom"/>
            <w:hideMark/>
          </w:tcPr>
          <w:p w14:paraId="3250813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57B0FD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D1AE57F"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24,24</w:t>
            </w:r>
            <w:r>
              <w:rPr>
                <w:b/>
                <w:bCs/>
                <w:sz w:val="20"/>
                <w:szCs w:val="20"/>
              </w:rPr>
              <w:t>2</w:t>
            </w:r>
          </w:p>
        </w:tc>
        <w:tc>
          <w:tcPr>
            <w:tcW w:w="0" w:type="auto"/>
            <w:noWrap/>
            <w:vAlign w:val="bottom"/>
            <w:hideMark/>
          </w:tcPr>
          <w:p w14:paraId="3BE31CCB"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12D461B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8B4F49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117C8D3" w14:textId="77777777" w:rsidR="00000000" w:rsidRDefault="003A1B5D">
            <w:pPr>
              <w:pStyle w:val="a3"/>
              <w:spacing w:before="0" w:beforeAutospacing="0" w:after="0" w:afterAutospacing="0"/>
              <w:jc w:val="right"/>
              <w:rPr>
                <w:sz w:val="20"/>
                <w:szCs w:val="20"/>
              </w:rPr>
            </w:pPr>
            <w:r>
              <w:rPr>
                <w:sz w:val="20"/>
                <w:szCs w:val="20"/>
              </w:rPr>
              <w:t>(</w:t>
            </w:r>
            <w:r>
              <w:rPr>
                <w:sz w:val="20"/>
                <w:szCs w:val="20"/>
              </w:rPr>
              <w:t>8,61</w:t>
            </w:r>
            <w:r>
              <w:rPr>
                <w:sz w:val="20"/>
                <w:szCs w:val="20"/>
              </w:rPr>
              <w:t>8</w:t>
            </w:r>
          </w:p>
        </w:tc>
        <w:tc>
          <w:tcPr>
            <w:tcW w:w="0" w:type="auto"/>
            <w:noWrap/>
            <w:vAlign w:val="bottom"/>
            <w:hideMark/>
          </w:tcPr>
          <w:p w14:paraId="1880389F"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0A08E9C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2FE469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FE72F5A"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34,86</w:t>
            </w:r>
            <w:r>
              <w:rPr>
                <w:b/>
                <w:bCs/>
                <w:sz w:val="20"/>
                <w:szCs w:val="20"/>
              </w:rPr>
              <w:t>5</w:t>
            </w:r>
          </w:p>
        </w:tc>
        <w:tc>
          <w:tcPr>
            <w:tcW w:w="0" w:type="auto"/>
            <w:noWrap/>
            <w:vAlign w:val="bottom"/>
            <w:hideMark/>
          </w:tcPr>
          <w:p w14:paraId="23106C62"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481AB98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44C464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D313AFB" w14:textId="77777777" w:rsidR="00000000" w:rsidRDefault="003A1B5D">
            <w:pPr>
              <w:pStyle w:val="a3"/>
              <w:spacing w:before="0" w:beforeAutospacing="0" w:after="0" w:afterAutospacing="0"/>
              <w:jc w:val="right"/>
              <w:rPr>
                <w:sz w:val="20"/>
                <w:szCs w:val="20"/>
              </w:rPr>
            </w:pPr>
            <w:r>
              <w:rPr>
                <w:sz w:val="20"/>
                <w:szCs w:val="20"/>
              </w:rPr>
              <w:t>(</w:t>
            </w:r>
            <w:r>
              <w:rPr>
                <w:sz w:val="20"/>
                <w:szCs w:val="20"/>
              </w:rPr>
              <w:t>128,66</w:t>
            </w:r>
            <w:r>
              <w:rPr>
                <w:sz w:val="20"/>
                <w:szCs w:val="20"/>
              </w:rPr>
              <w:t>8</w:t>
            </w:r>
          </w:p>
        </w:tc>
        <w:tc>
          <w:tcPr>
            <w:tcW w:w="0" w:type="auto"/>
            <w:noWrap/>
            <w:vAlign w:val="bottom"/>
            <w:hideMark/>
          </w:tcPr>
          <w:p w14:paraId="24B08E92" w14:textId="77777777" w:rsidR="00000000" w:rsidRDefault="003A1B5D">
            <w:pPr>
              <w:pStyle w:val="a3"/>
              <w:spacing w:before="0" w:beforeAutospacing="0" w:after="0" w:afterAutospacing="0"/>
              <w:rPr>
                <w:sz w:val="20"/>
                <w:szCs w:val="20"/>
              </w:rPr>
            </w:pPr>
            <w:r>
              <w:rPr>
                <w:sz w:val="20"/>
                <w:szCs w:val="20"/>
              </w:rPr>
              <w:t>)</w:t>
            </w:r>
          </w:p>
        </w:tc>
      </w:tr>
      <w:tr w:rsidR="00000000" w14:paraId="42D3BD48" w14:textId="77777777">
        <w:trPr>
          <w:trHeight w:val="200"/>
          <w:tblCellSpacing w:w="15" w:type="dxa"/>
        </w:trPr>
        <w:tc>
          <w:tcPr>
            <w:tcW w:w="0" w:type="auto"/>
            <w:hideMark/>
          </w:tcPr>
          <w:p w14:paraId="336E2C7F" w14:textId="77777777" w:rsidR="00000000" w:rsidRDefault="003A1B5D">
            <w:pPr>
              <w:pStyle w:val="a3"/>
              <w:spacing w:before="0" w:beforeAutospacing="0" w:after="0" w:afterAutospacing="0"/>
              <w:rPr>
                <w:sz w:val="20"/>
                <w:szCs w:val="20"/>
              </w:rPr>
            </w:pPr>
            <w:r>
              <w:rPr>
                <w:b/>
                <w:bCs/>
                <w:sz w:val="20"/>
                <w:szCs w:val="20"/>
              </w:rPr>
              <w:t>NET INCOME (LOSS</w:t>
            </w:r>
            <w:r>
              <w:rPr>
                <w:b/>
                <w:bCs/>
                <w:sz w:val="20"/>
                <w:szCs w:val="20"/>
              </w:rPr>
              <w:t>)</w:t>
            </w:r>
          </w:p>
        </w:tc>
        <w:tc>
          <w:tcPr>
            <w:tcW w:w="0" w:type="auto"/>
            <w:vAlign w:val="bottom"/>
            <w:hideMark/>
          </w:tcPr>
          <w:p w14:paraId="24ADC7B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9D3D7E7"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0F0E8EA4" w14:textId="77777777" w:rsidR="00000000" w:rsidRDefault="003A1B5D">
            <w:pPr>
              <w:pStyle w:val="a3"/>
              <w:spacing w:before="0" w:beforeAutospacing="0" w:after="0" w:afterAutospacing="0"/>
              <w:jc w:val="right"/>
              <w:rPr>
                <w:sz w:val="20"/>
                <w:szCs w:val="20"/>
              </w:rPr>
            </w:pPr>
            <w:r>
              <w:rPr>
                <w:b/>
                <w:bCs/>
                <w:sz w:val="20"/>
                <w:szCs w:val="20"/>
              </w:rPr>
              <w:t>68,31</w:t>
            </w:r>
            <w:r>
              <w:rPr>
                <w:b/>
                <w:bCs/>
                <w:sz w:val="20"/>
                <w:szCs w:val="20"/>
              </w:rPr>
              <w:t>8</w:t>
            </w:r>
          </w:p>
        </w:tc>
        <w:tc>
          <w:tcPr>
            <w:tcW w:w="0" w:type="auto"/>
            <w:noWrap/>
            <w:vAlign w:val="bottom"/>
            <w:hideMark/>
          </w:tcPr>
          <w:p w14:paraId="3C82D54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23C413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C9E6E3C"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44F7E7CA" w14:textId="77777777" w:rsidR="00000000" w:rsidRDefault="003A1B5D">
            <w:pPr>
              <w:pStyle w:val="a3"/>
              <w:spacing w:before="0" w:beforeAutospacing="0" w:after="0" w:afterAutospacing="0"/>
              <w:jc w:val="right"/>
              <w:rPr>
                <w:sz w:val="20"/>
                <w:szCs w:val="20"/>
              </w:rPr>
            </w:pPr>
            <w:r>
              <w:rPr>
                <w:sz w:val="20"/>
                <w:szCs w:val="20"/>
              </w:rPr>
              <w:t>30,01</w:t>
            </w:r>
            <w:r>
              <w:rPr>
                <w:sz w:val="20"/>
                <w:szCs w:val="20"/>
              </w:rPr>
              <w:t>2</w:t>
            </w:r>
          </w:p>
        </w:tc>
        <w:tc>
          <w:tcPr>
            <w:tcW w:w="0" w:type="auto"/>
            <w:noWrap/>
            <w:vAlign w:val="bottom"/>
            <w:hideMark/>
          </w:tcPr>
          <w:p w14:paraId="758401C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4442CF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67EEB0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E0C6FAB" w14:textId="77777777" w:rsidR="00000000" w:rsidRDefault="003A1B5D">
            <w:pPr>
              <w:pStyle w:val="a3"/>
              <w:spacing w:before="0" w:beforeAutospacing="0" w:after="0" w:afterAutospacing="0"/>
              <w:jc w:val="right"/>
              <w:rPr>
                <w:sz w:val="20"/>
                <w:szCs w:val="20"/>
              </w:rPr>
            </w:pPr>
            <w:r>
              <w:rPr>
                <w:b/>
                <w:bCs/>
                <w:sz w:val="20"/>
                <w:szCs w:val="20"/>
              </w:rPr>
              <w:t>97,88</w:t>
            </w:r>
            <w:r>
              <w:rPr>
                <w:b/>
                <w:bCs/>
                <w:sz w:val="20"/>
                <w:szCs w:val="20"/>
              </w:rPr>
              <w:t>3</w:t>
            </w:r>
          </w:p>
        </w:tc>
        <w:tc>
          <w:tcPr>
            <w:tcW w:w="0" w:type="auto"/>
            <w:noWrap/>
            <w:vAlign w:val="bottom"/>
            <w:hideMark/>
          </w:tcPr>
          <w:p w14:paraId="6E24EF6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A020FA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C1E3DA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F30D371" w14:textId="77777777" w:rsidR="00000000" w:rsidRDefault="003A1B5D">
            <w:pPr>
              <w:pStyle w:val="a3"/>
              <w:spacing w:before="0" w:beforeAutospacing="0" w:after="0" w:afterAutospacing="0"/>
              <w:jc w:val="right"/>
              <w:rPr>
                <w:sz w:val="20"/>
                <w:szCs w:val="20"/>
              </w:rPr>
            </w:pPr>
            <w:r>
              <w:rPr>
                <w:sz w:val="20"/>
                <w:szCs w:val="20"/>
              </w:rPr>
              <w:t>(</w:t>
            </w:r>
            <w:r>
              <w:rPr>
                <w:sz w:val="20"/>
                <w:szCs w:val="20"/>
              </w:rPr>
              <w:t>79,93</w:t>
            </w:r>
            <w:r>
              <w:rPr>
                <w:sz w:val="20"/>
                <w:szCs w:val="20"/>
              </w:rPr>
              <w:t>3</w:t>
            </w:r>
          </w:p>
        </w:tc>
        <w:tc>
          <w:tcPr>
            <w:tcW w:w="0" w:type="auto"/>
            <w:noWrap/>
            <w:vAlign w:val="bottom"/>
            <w:hideMark/>
          </w:tcPr>
          <w:p w14:paraId="5F2C555D" w14:textId="77777777" w:rsidR="00000000" w:rsidRDefault="003A1B5D">
            <w:pPr>
              <w:pStyle w:val="a3"/>
              <w:spacing w:before="0" w:beforeAutospacing="0" w:after="0" w:afterAutospacing="0"/>
              <w:rPr>
                <w:sz w:val="20"/>
                <w:szCs w:val="20"/>
              </w:rPr>
            </w:pPr>
            <w:r>
              <w:rPr>
                <w:sz w:val="20"/>
                <w:szCs w:val="20"/>
              </w:rPr>
              <w:t>)</w:t>
            </w:r>
          </w:p>
        </w:tc>
      </w:tr>
      <w:tr w:rsidR="00000000" w14:paraId="56B5F5AC" w14:textId="77777777">
        <w:trPr>
          <w:trHeight w:val="200"/>
          <w:tblCellSpacing w:w="15" w:type="dxa"/>
        </w:trPr>
        <w:tc>
          <w:tcPr>
            <w:tcW w:w="0" w:type="auto"/>
            <w:hideMark/>
          </w:tcPr>
          <w:p w14:paraId="50114D98" w14:textId="77777777" w:rsidR="00000000" w:rsidRDefault="003A1B5D">
            <w:pPr>
              <w:pStyle w:val="a3"/>
              <w:spacing w:before="0" w:beforeAutospacing="0" w:after="0" w:afterAutospacing="0"/>
              <w:rPr>
                <w:sz w:val="20"/>
                <w:szCs w:val="20"/>
              </w:rPr>
            </w:pPr>
            <w:r>
              <w:rPr>
                <w:b/>
                <w:bCs/>
                <w:sz w:val="20"/>
                <w:szCs w:val="20"/>
              </w:rPr>
              <w:t>BASIC EARNINGS (LOSS) PER SHAR</w:t>
            </w:r>
            <w:r>
              <w:rPr>
                <w:b/>
                <w:bCs/>
                <w:sz w:val="20"/>
                <w:szCs w:val="20"/>
              </w:rPr>
              <w:t>E</w:t>
            </w:r>
          </w:p>
        </w:tc>
        <w:tc>
          <w:tcPr>
            <w:tcW w:w="0" w:type="auto"/>
            <w:vAlign w:val="bottom"/>
            <w:hideMark/>
          </w:tcPr>
          <w:p w14:paraId="42DAA34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8B69336"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F3A7633" w14:textId="77777777" w:rsidR="00000000" w:rsidRDefault="003A1B5D">
            <w:pPr>
              <w:pStyle w:val="a3"/>
              <w:spacing w:before="0" w:beforeAutospacing="0" w:after="0" w:afterAutospacing="0"/>
              <w:jc w:val="right"/>
              <w:rPr>
                <w:sz w:val="20"/>
                <w:szCs w:val="20"/>
              </w:rPr>
            </w:pPr>
            <w:r>
              <w:rPr>
                <w:b/>
                <w:bCs/>
                <w:sz w:val="20"/>
                <w:szCs w:val="20"/>
              </w:rPr>
              <w:t>0.5</w:t>
            </w:r>
            <w:r>
              <w:rPr>
                <w:b/>
                <w:bCs/>
                <w:sz w:val="20"/>
                <w:szCs w:val="20"/>
              </w:rPr>
              <w:t>9</w:t>
            </w:r>
          </w:p>
        </w:tc>
        <w:tc>
          <w:tcPr>
            <w:tcW w:w="0" w:type="auto"/>
            <w:noWrap/>
            <w:vAlign w:val="bottom"/>
            <w:hideMark/>
          </w:tcPr>
          <w:p w14:paraId="30D57ED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96F986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9369E42"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5F620099" w14:textId="77777777" w:rsidR="00000000" w:rsidRDefault="003A1B5D">
            <w:pPr>
              <w:pStyle w:val="a3"/>
              <w:spacing w:before="0" w:beforeAutospacing="0" w:after="0" w:afterAutospacing="0"/>
              <w:jc w:val="right"/>
              <w:rPr>
                <w:sz w:val="20"/>
                <w:szCs w:val="20"/>
              </w:rPr>
            </w:pPr>
            <w:r>
              <w:rPr>
                <w:sz w:val="20"/>
                <w:szCs w:val="20"/>
              </w:rPr>
              <w:t>0.2</w:t>
            </w:r>
            <w:r>
              <w:rPr>
                <w:sz w:val="20"/>
                <w:szCs w:val="20"/>
              </w:rPr>
              <w:t>5</w:t>
            </w:r>
          </w:p>
        </w:tc>
        <w:tc>
          <w:tcPr>
            <w:tcW w:w="0" w:type="auto"/>
            <w:noWrap/>
            <w:vAlign w:val="bottom"/>
            <w:hideMark/>
          </w:tcPr>
          <w:p w14:paraId="4DBDD76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6FC905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23AF762"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4B313BE6" w14:textId="77777777" w:rsidR="00000000" w:rsidRDefault="003A1B5D">
            <w:pPr>
              <w:pStyle w:val="a3"/>
              <w:spacing w:before="0" w:beforeAutospacing="0" w:after="0" w:afterAutospacing="0"/>
              <w:jc w:val="right"/>
              <w:rPr>
                <w:sz w:val="20"/>
                <w:szCs w:val="20"/>
              </w:rPr>
            </w:pPr>
            <w:r>
              <w:rPr>
                <w:b/>
                <w:bCs/>
                <w:sz w:val="20"/>
                <w:szCs w:val="20"/>
              </w:rPr>
              <w:t>0.8</w:t>
            </w:r>
            <w:r>
              <w:rPr>
                <w:b/>
                <w:bCs/>
                <w:sz w:val="20"/>
                <w:szCs w:val="20"/>
              </w:rPr>
              <w:t>2</w:t>
            </w:r>
          </w:p>
        </w:tc>
        <w:tc>
          <w:tcPr>
            <w:tcW w:w="0" w:type="auto"/>
            <w:noWrap/>
            <w:vAlign w:val="bottom"/>
            <w:hideMark/>
          </w:tcPr>
          <w:p w14:paraId="3AD3C37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8FE8F0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8C322B2"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4116BDE3" w14:textId="77777777" w:rsidR="00000000" w:rsidRDefault="003A1B5D">
            <w:pPr>
              <w:pStyle w:val="a3"/>
              <w:spacing w:before="0" w:beforeAutospacing="0" w:after="0" w:afterAutospacing="0"/>
              <w:jc w:val="right"/>
              <w:rPr>
                <w:sz w:val="20"/>
                <w:szCs w:val="20"/>
              </w:rPr>
            </w:pPr>
            <w:r>
              <w:rPr>
                <w:sz w:val="20"/>
                <w:szCs w:val="20"/>
              </w:rPr>
              <w:t>(</w:t>
            </w:r>
            <w:r>
              <w:rPr>
                <w:sz w:val="20"/>
                <w:szCs w:val="20"/>
              </w:rPr>
              <w:t>0.6</w:t>
            </w:r>
            <w:r>
              <w:rPr>
                <w:sz w:val="20"/>
                <w:szCs w:val="20"/>
              </w:rPr>
              <w:t>7</w:t>
            </w:r>
          </w:p>
        </w:tc>
        <w:tc>
          <w:tcPr>
            <w:tcW w:w="0" w:type="auto"/>
            <w:noWrap/>
            <w:vAlign w:val="bottom"/>
            <w:hideMark/>
          </w:tcPr>
          <w:p w14:paraId="207F8249" w14:textId="77777777" w:rsidR="00000000" w:rsidRDefault="003A1B5D">
            <w:pPr>
              <w:pStyle w:val="a3"/>
              <w:spacing w:before="0" w:beforeAutospacing="0" w:after="0" w:afterAutospacing="0"/>
              <w:rPr>
                <w:sz w:val="20"/>
                <w:szCs w:val="20"/>
              </w:rPr>
            </w:pPr>
            <w:r>
              <w:rPr>
                <w:sz w:val="20"/>
                <w:szCs w:val="20"/>
              </w:rPr>
              <w:t>)</w:t>
            </w:r>
          </w:p>
        </w:tc>
      </w:tr>
      <w:tr w:rsidR="00000000" w14:paraId="2E970A7C" w14:textId="77777777">
        <w:trPr>
          <w:trHeight w:val="200"/>
          <w:tblCellSpacing w:w="15" w:type="dxa"/>
        </w:trPr>
        <w:tc>
          <w:tcPr>
            <w:tcW w:w="0" w:type="auto"/>
            <w:hideMark/>
          </w:tcPr>
          <w:p w14:paraId="1D9EA872" w14:textId="77777777" w:rsidR="00000000" w:rsidRDefault="003A1B5D">
            <w:pPr>
              <w:pStyle w:val="a3"/>
              <w:spacing w:before="0" w:beforeAutospacing="0" w:after="0" w:afterAutospacing="0"/>
              <w:rPr>
                <w:sz w:val="20"/>
                <w:szCs w:val="20"/>
              </w:rPr>
            </w:pPr>
            <w:r>
              <w:rPr>
                <w:b/>
                <w:bCs/>
                <w:sz w:val="20"/>
                <w:szCs w:val="20"/>
              </w:rPr>
              <w:t>DILUTED EARNINGS (LOSS) PER SHAR</w:t>
            </w:r>
            <w:r>
              <w:rPr>
                <w:b/>
                <w:bCs/>
                <w:sz w:val="20"/>
                <w:szCs w:val="20"/>
              </w:rPr>
              <w:t>E</w:t>
            </w:r>
          </w:p>
        </w:tc>
        <w:tc>
          <w:tcPr>
            <w:tcW w:w="0" w:type="auto"/>
            <w:vAlign w:val="bottom"/>
            <w:hideMark/>
          </w:tcPr>
          <w:p w14:paraId="6AB0D28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C89C9A8"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D09FD7B" w14:textId="77777777" w:rsidR="00000000" w:rsidRDefault="003A1B5D">
            <w:pPr>
              <w:pStyle w:val="a3"/>
              <w:spacing w:before="0" w:beforeAutospacing="0" w:after="0" w:afterAutospacing="0"/>
              <w:jc w:val="right"/>
              <w:rPr>
                <w:sz w:val="20"/>
                <w:szCs w:val="20"/>
              </w:rPr>
            </w:pPr>
            <w:r>
              <w:rPr>
                <w:b/>
                <w:bCs/>
                <w:sz w:val="20"/>
                <w:szCs w:val="20"/>
              </w:rPr>
              <w:t>0.5</w:t>
            </w:r>
            <w:r>
              <w:rPr>
                <w:b/>
                <w:bCs/>
                <w:sz w:val="20"/>
                <w:szCs w:val="20"/>
              </w:rPr>
              <w:t>8</w:t>
            </w:r>
          </w:p>
        </w:tc>
        <w:tc>
          <w:tcPr>
            <w:tcW w:w="0" w:type="auto"/>
            <w:noWrap/>
            <w:vAlign w:val="bottom"/>
            <w:hideMark/>
          </w:tcPr>
          <w:p w14:paraId="334E548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F0D171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43C47C5"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679A05B0" w14:textId="77777777" w:rsidR="00000000" w:rsidRDefault="003A1B5D">
            <w:pPr>
              <w:pStyle w:val="a3"/>
              <w:spacing w:before="0" w:beforeAutospacing="0" w:after="0" w:afterAutospacing="0"/>
              <w:jc w:val="right"/>
              <w:rPr>
                <w:sz w:val="20"/>
                <w:szCs w:val="20"/>
              </w:rPr>
            </w:pPr>
            <w:r>
              <w:rPr>
                <w:sz w:val="20"/>
                <w:szCs w:val="20"/>
              </w:rPr>
              <w:t>0.2</w:t>
            </w:r>
            <w:r>
              <w:rPr>
                <w:sz w:val="20"/>
                <w:szCs w:val="20"/>
              </w:rPr>
              <w:t>5</w:t>
            </w:r>
          </w:p>
        </w:tc>
        <w:tc>
          <w:tcPr>
            <w:tcW w:w="0" w:type="auto"/>
            <w:noWrap/>
            <w:vAlign w:val="bottom"/>
            <w:hideMark/>
          </w:tcPr>
          <w:p w14:paraId="1AD928D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7FFF21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0F7CC46"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4D648ACC" w14:textId="77777777" w:rsidR="00000000" w:rsidRDefault="003A1B5D">
            <w:pPr>
              <w:pStyle w:val="a3"/>
              <w:spacing w:before="0" w:beforeAutospacing="0" w:after="0" w:afterAutospacing="0"/>
              <w:jc w:val="right"/>
              <w:rPr>
                <w:sz w:val="20"/>
                <w:szCs w:val="20"/>
              </w:rPr>
            </w:pPr>
            <w:r>
              <w:rPr>
                <w:b/>
                <w:bCs/>
                <w:sz w:val="20"/>
                <w:szCs w:val="20"/>
              </w:rPr>
              <w:t>0.8</w:t>
            </w:r>
            <w:r>
              <w:rPr>
                <w:b/>
                <w:bCs/>
                <w:sz w:val="20"/>
                <w:szCs w:val="20"/>
              </w:rPr>
              <w:t>2</w:t>
            </w:r>
          </w:p>
        </w:tc>
        <w:tc>
          <w:tcPr>
            <w:tcW w:w="0" w:type="auto"/>
            <w:noWrap/>
            <w:vAlign w:val="bottom"/>
            <w:hideMark/>
          </w:tcPr>
          <w:p w14:paraId="252D872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EA5E0B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CAAC39E"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5E1F56E5" w14:textId="77777777" w:rsidR="00000000" w:rsidRDefault="003A1B5D">
            <w:pPr>
              <w:pStyle w:val="a3"/>
              <w:spacing w:before="0" w:beforeAutospacing="0" w:after="0" w:afterAutospacing="0"/>
              <w:jc w:val="right"/>
              <w:rPr>
                <w:sz w:val="20"/>
                <w:szCs w:val="20"/>
              </w:rPr>
            </w:pPr>
            <w:r>
              <w:rPr>
                <w:sz w:val="20"/>
                <w:szCs w:val="20"/>
              </w:rPr>
              <w:t>(</w:t>
            </w:r>
            <w:r>
              <w:rPr>
                <w:sz w:val="20"/>
                <w:szCs w:val="20"/>
              </w:rPr>
              <w:t>0.6</w:t>
            </w:r>
            <w:r>
              <w:rPr>
                <w:sz w:val="20"/>
                <w:szCs w:val="20"/>
              </w:rPr>
              <w:t>7</w:t>
            </w:r>
          </w:p>
        </w:tc>
        <w:tc>
          <w:tcPr>
            <w:tcW w:w="0" w:type="auto"/>
            <w:noWrap/>
            <w:vAlign w:val="bottom"/>
            <w:hideMark/>
          </w:tcPr>
          <w:p w14:paraId="73556881" w14:textId="77777777" w:rsidR="00000000" w:rsidRDefault="003A1B5D">
            <w:pPr>
              <w:pStyle w:val="a3"/>
              <w:spacing w:before="0" w:beforeAutospacing="0" w:after="0" w:afterAutospacing="0"/>
              <w:rPr>
                <w:sz w:val="20"/>
                <w:szCs w:val="20"/>
              </w:rPr>
            </w:pPr>
            <w:r>
              <w:rPr>
                <w:sz w:val="20"/>
                <w:szCs w:val="20"/>
              </w:rPr>
              <w:t>)</w:t>
            </w:r>
          </w:p>
        </w:tc>
      </w:tr>
    </w:tbl>
    <w:p w14:paraId="737A06FE" w14:textId="77777777" w:rsidR="00000000" w:rsidRDefault="003A1B5D">
      <w:pPr>
        <w:pStyle w:val="a3"/>
        <w:spacing w:before="0" w:beforeAutospacing="0" w:after="0" w:afterAutospacing="0"/>
        <w:rPr>
          <w:sz w:val="20"/>
          <w:szCs w:val="20"/>
        </w:rPr>
      </w:pPr>
      <w:r>
        <w:rPr>
          <w:sz w:val="20"/>
          <w:szCs w:val="20"/>
        </w:rPr>
        <w:t> </w:t>
      </w:r>
    </w:p>
    <w:p w14:paraId="2B6B3736" w14:textId="77777777" w:rsidR="00000000" w:rsidRDefault="003A1B5D">
      <w:pPr>
        <w:pStyle w:val="a3"/>
        <w:spacing w:before="0" w:beforeAutospacing="0" w:after="0" w:afterAutospacing="0"/>
        <w:jc w:val="center"/>
        <w:rPr>
          <w:sz w:val="20"/>
          <w:szCs w:val="20"/>
        </w:rPr>
      </w:pPr>
      <w:r>
        <w:rPr>
          <w:sz w:val="20"/>
          <w:szCs w:val="20"/>
        </w:rPr>
        <w:t> </w:t>
      </w:r>
    </w:p>
    <w:p w14:paraId="4B31CCB0" w14:textId="77777777" w:rsidR="00000000" w:rsidRDefault="003A1B5D">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14:paraId="50864D02" w14:textId="77777777" w:rsidR="00000000" w:rsidRDefault="003A1B5D">
      <w:pPr>
        <w:pStyle w:val="a3"/>
        <w:spacing w:before="240" w:beforeAutospacing="0" w:after="0" w:afterAutospacing="0"/>
        <w:jc w:val="center"/>
        <w:rPr>
          <w:sz w:val="20"/>
          <w:szCs w:val="20"/>
        </w:rPr>
      </w:pPr>
      <w:r>
        <w:rPr>
          <w:sz w:val="20"/>
          <w:szCs w:val="20"/>
        </w:rPr>
        <w:t>2</w:t>
      </w:r>
    </w:p>
    <w:p w14:paraId="4B453418" w14:textId="77777777" w:rsidR="00000000" w:rsidRDefault="003A1B5D">
      <w:pPr>
        <w:rPr>
          <w:rFonts w:eastAsia="Times New Roman"/>
        </w:rPr>
      </w:pPr>
      <w:r>
        <w:rPr>
          <w:rFonts w:eastAsia="Times New Roman"/>
        </w:rPr>
        <w:pict w14:anchorId="799477DB">
          <v:rect id="_x0000_i1028" style="width:0;height:1.5pt" o:hralign="center" o:hrstd="t" o:hr="t" fillcolor="#a0a0a0" stroked="f"/>
        </w:pict>
      </w:r>
    </w:p>
    <w:p w14:paraId="38EC6BEA" w14:textId="77777777" w:rsidR="00000000" w:rsidRDefault="003A1B5D">
      <w:pPr>
        <w:pStyle w:val="a3"/>
        <w:spacing w:before="0" w:beforeAutospacing="0" w:after="0" w:afterAutospacing="0"/>
        <w:jc w:val="center"/>
        <w:rPr>
          <w:sz w:val="20"/>
          <w:szCs w:val="20"/>
        </w:rPr>
      </w:pPr>
      <w:r>
        <w:rPr>
          <w:b/>
          <w:bCs/>
          <w:sz w:val="20"/>
          <w:szCs w:val="20"/>
        </w:rPr>
        <w:t>CORECIVIC, INC. AND SUBSIDIARIE</w:t>
      </w:r>
      <w:r>
        <w:rPr>
          <w:b/>
          <w:bCs/>
          <w:sz w:val="20"/>
          <w:szCs w:val="20"/>
        </w:rPr>
        <w:t>S</w:t>
      </w:r>
      <w:r>
        <w:rPr>
          <w:b/>
          <w:bCs/>
          <w:sz w:val="20"/>
          <w:szCs w:val="20"/>
        </w:rPr>
        <w:t xml:space="preserve"> </w:t>
      </w:r>
    </w:p>
    <w:p w14:paraId="60F4B8C3" w14:textId="77777777" w:rsidR="00000000" w:rsidRDefault="003A1B5D">
      <w:pPr>
        <w:pStyle w:val="a3"/>
        <w:spacing w:before="0" w:beforeAutospacing="0" w:after="0" w:afterAutospacing="0"/>
        <w:jc w:val="center"/>
        <w:rPr>
          <w:sz w:val="20"/>
          <w:szCs w:val="20"/>
        </w:rPr>
      </w:pPr>
      <w:r>
        <w:rPr>
          <w:b/>
          <w:bCs/>
          <w:sz w:val="20"/>
          <w:szCs w:val="20"/>
        </w:rPr>
        <w:t>CONSOLIDATED STATE</w:t>
      </w:r>
      <w:r>
        <w:rPr>
          <w:b/>
          <w:bCs/>
          <w:sz w:val="20"/>
          <w:szCs w:val="20"/>
        </w:rPr>
        <w:t>M</w:t>
      </w:r>
      <w:r>
        <w:rPr>
          <w:b/>
          <w:bCs/>
          <w:sz w:val="20"/>
          <w:szCs w:val="20"/>
        </w:rPr>
        <w:t>ENTS OF CASH FLOW</w:t>
      </w:r>
      <w:r>
        <w:rPr>
          <w:b/>
          <w:bCs/>
          <w:sz w:val="20"/>
          <w:szCs w:val="20"/>
        </w:rPr>
        <w:t>S</w:t>
      </w:r>
    </w:p>
    <w:p w14:paraId="2760F8FE" w14:textId="77777777" w:rsidR="00000000" w:rsidRDefault="003A1B5D">
      <w:pPr>
        <w:pStyle w:val="a3"/>
        <w:spacing w:before="0" w:beforeAutospacing="0" w:after="0" w:afterAutospacing="0"/>
        <w:jc w:val="center"/>
        <w:rPr>
          <w:sz w:val="20"/>
          <w:szCs w:val="20"/>
        </w:rPr>
      </w:pPr>
      <w:r>
        <w:rPr>
          <w:sz w:val="20"/>
          <w:szCs w:val="20"/>
        </w:rPr>
        <w:t>(UNAUDITED AND AMOUNTS IN THOUSANDS</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2"/>
        <w:gridCol w:w="133"/>
        <w:gridCol w:w="160"/>
        <w:gridCol w:w="1025"/>
        <w:gridCol w:w="127"/>
        <w:gridCol w:w="134"/>
        <w:gridCol w:w="160"/>
        <w:gridCol w:w="1043"/>
        <w:gridCol w:w="142"/>
      </w:tblGrid>
      <w:tr w:rsidR="00000000" w14:paraId="7AC61E60" w14:textId="77777777">
        <w:trPr>
          <w:tblCellSpacing w:w="15" w:type="dxa"/>
        </w:trPr>
        <w:tc>
          <w:tcPr>
            <w:tcW w:w="3349" w:type="pct"/>
            <w:vAlign w:val="center"/>
            <w:hideMark/>
          </w:tcPr>
          <w:p w14:paraId="4E3CEE2E" w14:textId="77777777" w:rsidR="00000000" w:rsidRDefault="003A1B5D">
            <w:pPr>
              <w:rPr>
                <w:sz w:val="20"/>
                <w:szCs w:val="20"/>
              </w:rPr>
            </w:pPr>
          </w:p>
        </w:tc>
        <w:tc>
          <w:tcPr>
            <w:tcW w:w="81" w:type="pct"/>
            <w:vAlign w:val="center"/>
            <w:hideMark/>
          </w:tcPr>
          <w:p w14:paraId="128A469C" w14:textId="77777777" w:rsidR="00000000" w:rsidRDefault="003A1B5D">
            <w:pPr>
              <w:rPr>
                <w:rFonts w:eastAsia="Times New Roman"/>
                <w:sz w:val="20"/>
                <w:szCs w:val="20"/>
              </w:rPr>
            </w:pPr>
          </w:p>
        </w:tc>
        <w:tc>
          <w:tcPr>
            <w:tcW w:w="50" w:type="pct"/>
            <w:vAlign w:val="center"/>
            <w:hideMark/>
          </w:tcPr>
          <w:p w14:paraId="5DC397BA" w14:textId="77777777" w:rsidR="00000000" w:rsidRDefault="003A1B5D">
            <w:pPr>
              <w:rPr>
                <w:rFonts w:eastAsia="Times New Roman"/>
                <w:sz w:val="20"/>
                <w:szCs w:val="20"/>
              </w:rPr>
            </w:pPr>
          </w:p>
        </w:tc>
        <w:tc>
          <w:tcPr>
            <w:tcW w:w="638" w:type="pct"/>
            <w:vAlign w:val="center"/>
            <w:hideMark/>
          </w:tcPr>
          <w:p w14:paraId="33A0983B" w14:textId="77777777" w:rsidR="00000000" w:rsidRDefault="003A1B5D">
            <w:pPr>
              <w:rPr>
                <w:rFonts w:eastAsia="Times New Roman"/>
                <w:sz w:val="20"/>
                <w:szCs w:val="20"/>
              </w:rPr>
            </w:pPr>
          </w:p>
        </w:tc>
        <w:tc>
          <w:tcPr>
            <w:tcW w:w="50" w:type="pct"/>
            <w:vAlign w:val="center"/>
            <w:hideMark/>
          </w:tcPr>
          <w:p w14:paraId="32FCEB39" w14:textId="77777777" w:rsidR="00000000" w:rsidRDefault="003A1B5D">
            <w:pPr>
              <w:rPr>
                <w:rFonts w:eastAsia="Times New Roman"/>
                <w:sz w:val="20"/>
                <w:szCs w:val="20"/>
              </w:rPr>
            </w:pPr>
          </w:p>
        </w:tc>
        <w:tc>
          <w:tcPr>
            <w:tcW w:w="81" w:type="pct"/>
            <w:vAlign w:val="center"/>
            <w:hideMark/>
          </w:tcPr>
          <w:p w14:paraId="2BD8B0BE" w14:textId="77777777" w:rsidR="00000000" w:rsidRDefault="003A1B5D">
            <w:pPr>
              <w:rPr>
                <w:rFonts w:eastAsia="Times New Roman"/>
                <w:sz w:val="20"/>
                <w:szCs w:val="20"/>
              </w:rPr>
            </w:pPr>
          </w:p>
        </w:tc>
        <w:tc>
          <w:tcPr>
            <w:tcW w:w="50" w:type="pct"/>
            <w:vAlign w:val="center"/>
            <w:hideMark/>
          </w:tcPr>
          <w:p w14:paraId="330123FE" w14:textId="77777777" w:rsidR="00000000" w:rsidRDefault="003A1B5D">
            <w:pPr>
              <w:rPr>
                <w:rFonts w:eastAsia="Times New Roman"/>
                <w:sz w:val="20"/>
                <w:szCs w:val="20"/>
              </w:rPr>
            </w:pPr>
          </w:p>
        </w:tc>
        <w:tc>
          <w:tcPr>
            <w:tcW w:w="649" w:type="pct"/>
            <w:vAlign w:val="center"/>
            <w:hideMark/>
          </w:tcPr>
          <w:p w14:paraId="4DCE9F3D" w14:textId="77777777" w:rsidR="00000000" w:rsidRDefault="003A1B5D">
            <w:pPr>
              <w:rPr>
                <w:rFonts w:eastAsia="Times New Roman"/>
                <w:sz w:val="20"/>
                <w:szCs w:val="20"/>
              </w:rPr>
            </w:pPr>
          </w:p>
        </w:tc>
        <w:tc>
          <w:tcPr>
            <w:tcW w:w="50" w:type="pct"/>
            <w:vAlign w:val="center"/>
            <w:hideMark/>
          </w:tcPr>
          <w:p w14:paraId="0ABFCA72" w14:textId="77777777" w:rsidR="00000000" w:rsidRDefault="003A1B5D">
            <w:pPr>
              <w:rPr>
                <w:rFonts w:eastAsia="Times New Roman"/>
                <w:sz w:val="20"/>
                <w:szCs w:val="20"/>
              </w:rPr>
            </w:pPr>
          </w:p>
        </w:tc>
      </w:tr>
      <w:tr w:rsidR="00000000" w14:paraId="61DFC4FC" w14:textId="77777777">
        <w:trPr>
          <w:trHeight w:val="160"/>
          <w:tblCellSpacing w:w="15" w:type="dxa"/>
        </w:trPr>
        <w:tc>
          <w:tcPr>
            <w:tcW w:w="0" w:type="auto"/>
            <w:hideMark/>
          </w:tcPr>
          <w:p w14:paraId="1D88341A"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0D437A3A" w14:textId="77777777" w:rsidR="00000000" w:rsidRDefault="003A1B5D">
            <w:pPr>
              <w:pStyle w:val="a3"/>
              <w:spacing w:before="0" w:beforeAutospacing="0" w:after="0" w:afterAutospacing="0"/>
              <w:rPr>
                <w:sz w:val="16"/>
                <w:szCs w:val="16"/>
              </w:rPr>
            </w:pPr>
            <w:r>
              <w:rPr>
                <w:sz w:val="16"/>
                <w:szCs w:val="16"/>
              </w:rPr>
              <w:t> </w:t>
            </w:r>
          </w:p>
        </w:tc>
        <w:tc>
          <w:tcPr>
            <w:tcW w:w="0" w:type="auto"/>
            <w:gridSpan w:val="6"/>
            <w:vAlign w:val="bottom"/>
            <w:hideMark/>
          </w:tcPr>
          <w:p w14:paraId="70B4C00F" w14:textId="77777777" w:rsidR="00000000" w:rsidRDefault="003A1B5D">
            <w:pPr>
              <w:pStyle w:val="a3"/>
              <w:spacing w:before="0" w:beforeAutospacing="0" w:after="0" w:afterAutospacing="0"/>
              <w:jc w:val="center"/>
              <w:rPr>
                <w:sz w:val="16"/>
                <w:szCs w:val="16"/>
              </w:rPr>
            </w:pPr>
            <w:r>
              <w:rPr>
                <w:b/>
                <w:bCs/>
                <w:sz w:val="16"/>
                <w:szCs w:val="16"/>
              </w:rPr>
              <w:t>For the</w:t>
            </w:r>
            <w:r>
              <w:rPr>
                <w:b/>
                <w:bCs/>
                <w:sz w:val="16"/>
                <w:szCs w:val="16"/>
              </w:rPr>
              <w:t xml:space="preserve"> Nine Months Ended </w:t>
            </w:r>
            <w:r>
              <w:rPr>
                <w:b/>
                <w:bCs/>
                <w:sz w:val="16"/>
                <w:szCs w:val="16"/>
              </w:rPr>
              <w:br/>
              <w:t>September 30</w:t>
            </w:r>
            <w:r>
              <w:rPr>
                <w:b/>
                <w:bCs/>
                <w:sz w:val="16"/>
                <w:szCs w:val="16"/>
              </w:rPr>
              <w:t>,</w:t>
            </w:r>
          </w:p>
        </w:tc>
        <w:tc>
          <w:tcPr>
            <w:tcW w:w="0" w:type="auto"/>
            <w:vAlign w:val="bottom"/>
            <w:hideMark/>
          </w:tcPr>
          <w:p w14:paraId="6138FA1B"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1391D5EF" w14:textId="77777777">
        <w:trPr>
          <w:trHeight w:val="160"/>
          <w:tblCellSpacing w:w="15" w:type="dxa"/>
        </w:trPr>
        <w:tc>
          <w:tcPr>
            <w:tcW w:w="0" w:type="auto"/>
            <w:hideMark/>
          </w:tcPr>
          <w:p w14:paraId="6094D5F4"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48E0ECBF"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77E745EF"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7E72C6E6"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1445671C"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459152E5"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7325FE18"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446F0C08" w14:textId="77777777">
        <w:trPr>
          <w:trHeight w:val="200"/>
          <w:tblCellSpacing w:w="15" w:type="dxa"/>
        </w:trPr>
        <w:tc>
          <w:tcPr>
            <w:tcW w:w="0" w:type="auto"/>
            <w:hideMark/>
          </w:tcPr>
          <w:p w14:paraId="5CC8E500" w14:textId="77777777" w:rsidR="00000000" w:rsidRDefault="003A1B5D">
            <w:pPr>
              <w:pStyle w:val="a3"/>
              <w:spacing w:before="0" w:beforeAutospacing="0" w:after="0" w:afterAutospacing="0"/>
              <w:rPr>
                <w:sz w:val="20"/>
                <w:szCs w:val="20"/>
              </w:rPr>
            </w:pPr>
            <w:r>
              <w:rPr>
                <w:b/>
                <w:bCs/>
                <w:sz w:val="20"/>
                <w:szCs w:val="20"/>
              </w:rPr>
              <w:t>CASH FLOWS FROM OPERATING ACTIVITIES</w:t>
            </w:r>
            <w:r>
              <w:rPr>
                <w:b/>
                <w:bCs/>
                <w:sz w:val="20"/>
                <w:szCs w:val="20"/>
              </w:rPr>
              <w:t>:</w:t>
            </w:r>
          </w:p>
        </w:tc>
        <w:tc>
          <w:tcPr>
            <w:tcW w:w="0" w:type="auto"/>
            <w:vAlign w:val="bottom"/>
            <w:hideMark/>
          </w:tcPr>
          <w:p w14:paraId="22060D2A"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5D33C7C4"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6839D4B"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2362016"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1179BDAB"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066DFC27" w14:textId="77777777" w:rsidR="00000000" w:rsidRDefault="003A1B5D">
            <w:pPr>
              <w:pStyle w:val="a3"/>
              <w:spacing w:before="0" w:beforeAutospacing="0" w:after="0" w:afterAutospacing="0"/>
              <w:jc w:val="right"/>
              <w:rPr>
                <w:sz w:val="20"/>
                <w:szCs w:val="20"/>
              </w:rPr>
            </w:pPr>
            <w:r>
              <w:rPr>
                <w:sz w:val="20"/>
                <w:szCs w:val="20"/>
              </w:rPr>
              <w:t> </w:t>
            </w:r>
          </w:p>
        </w:tc>
      </w:tr>
      <w:tr w:rsidR="00000000" w14:paraId="3F46E9C7" w14:textId="77777777">
        <w:trPr>
          <w:trHeight w:val="200"/>
          <w:tblCellSpacing w:w="15" w:type="dxa"/>
        </w:trPr>
        <w:tc>
          <w:tcPr>
            <w:tcW w:w="0" w:type="auto"/>
            <w:hideMark/>
          </w:tcPr>
          <w:p w14:paraId="732D5AA8" w14:textId="77777777" w:rsidR="00000000" w:rsidRDefault="003A1B5D">
            <w:pPr>
              <w:pStyle w:val="a3"/>
              <w:spacing w:before="0" w:beforeAutospacing="0" w:after="0" w:afterAutospacing="0"/>
              <w:ind w:left="200"/>
              <w:rPr>
                <w:sz w:val="20"/>
                <w:szCs w:val="20"/>
              </w:rPr>
            </w:pPr>
            <w:r>
              <w:rPr>
                <w:sz w:val="20"/>
                <w:szCs w:val="20"/>
              </w:rPr>
              <w:t>Net income (loss</w:t>
            </w:r>
            <w:r>
              <w:rPr>
                <w:sz w:val="20"/>
                <w:szCs w:val="20"/>
              </w:rPr>
              <w:t>)</w:t>
            </w:r>
          </w:p>
        </w:tc>
        <w:tc>
          <w:tcPr>
            <w:tcW w:w="0" w:type="auto"/>
            <w:vAlign w:val="bottom"/>
            <w:hideMark/>
          </w:tcPr>
          <w:p w14:paraId="2DFBD16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09C0A8C"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D4D58F3" w14:textId="77777777" w:rsidR="00000000" w:rsidRDefault="003A1B5D">
            <w:pPr>
              <w:pStyle w:val="a3"/>
              <w:spacing w:before="0" w:beforeAutospacing="0" w:after="0" w:afterAutospacing="0"/>
              <w:jc w:val="right"/>
              <w:rPr>
                <w:sz w:val="20"/>
                <w:szCs w:val="20"/>
              </w:rPr>
            </w:pPr>
            <w:r>
              <w:rPr>
                <w:b/>
                <w:bCs/>
                <w:sz w:val="20"/>
                <w:szCs w:val="20"/>
              </w:rPr>
              <w:t>97,88</w:t>
            </w:r>
            <w:r>
              <w:rPr>
                <w:b/>
                <w:bCs/>
                <w:sz w:val="20"/>
                <w:szCs w:val="20"/>
              </w:rPr>
              <w:t>3</w:t>
            </w:r>
          </w:p>
        </w:tc>
        <w:tc>
          <w:tcPr>
            <w:tcW w:w="0" w:type="auto"/>
            <w:noWrap/>
            <w:vAlign w:val="bottom"/>
            <w:hideMark/>
          </w:tcPr>
          <w:p w14:paraId="4B5A560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3A3AFE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99FE479"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260CA83C" w14:textId="77777777" w:rsidR="00000000" w:rsidRDefault="003A1B5D">
            <w:pPr>
              <w:pStyle w:val="a3"/>
              <w:spacing w:before="0" w:beforeAutospacing="0" w:after="0" w:afterAutospacing="0"/>
              <w:jc w:val="right"/>
              <w:rPr>
                <w:sz w:val="20"/>
                <w:szCs w:val="20"/>
              </w:rPr>
            </w:pPr>
            <w:r>
              <w:rPr>
                <w:sz w:val="20"/>
                <w:szCs w:val="20"/>
              </w:rPr>
              <w:t>(</w:t>
            </w:r>
            <w:r>
              <w:rPr>
                <w:sz w:val="20"/>
                <w:szCs w:val="20"/>
              </w:rPr>
              <w:t>79,93</w:t>
            </w:r>
            <w:r>
              <w:rPr>
                <w:sz w:val="20"/>
                <w:szCs w:val="20"/>
              </w:rPr>
              <w:t>3</w:t>
            </w:r>
          </w:p>
        </w:tc>
        <w:tc>
          <w:tcPr>
            <w:tcW w:w="0" w:type="auto"/>
            <w:noWrap/>
            <w:vAlign w:val="bottom"/>
            <w:hideMark/>
          </w:tcPr>
          <w:p w14:paraId="4E9EDB11" w14:textId="77777777" w:rsidR="00000000" w:rsidRDefault="003A1B5D">
            <w:pPr>
              <w:pStyle w:val="a3"/>
              <w:spacing w:before="0" w:beforeAutospacing="0" w:after="0" w:afterAutospacing="0"/>
              <w:rPr>
                <w:sz w:val="20"/>
                <w:szCs w:val="20"/>
              </w:rPr>
            </w:pPr>
            <w:r>
              <w:rPr>
                <w:sz w:val="20"/>
                <w:szCs w:val="20"/>
              </w:rPr>
              <w:t>)</w:t>
            </w:r>
          </w:p>
        </w:tc>
      </w:tr>
      <w:tr w:rsidR="00000000" w14:paraId="7C5B9643" w14:textId="77777777">
        <w:trPr>
          <w:trHeight w:val="200"/>
          <w:tblCellSpacing w:w="15" w:type="dxa"/>
        </w:trPr>
        <w:tc>
          <w:tcPr>
            <w:tcW w:w="0" w:type="auto"/>
            <w:hideMark/>
          </w:tcPr>
          <w:p w14:paraId="1E833F87" w14:textId="77777777" w:rsidR="00000000" w:rsidRDefault="003A1B5D">
            <w:pPr>
              <w:pStyle w:val="a3"/>
              <w:spacing w:before="0" w:beforeAutospacing="0" w:after="0" w:afterAutospacing="0"/>
              <w:ind w:left="200"/>
              <w:rPr>
                <w:sz w:val="20"/>
                <w:szCs w:val="20"/>
              </w:rPr>
            </w:pPr>
            <w:r>
              <w:rPr>
                <w:sz w:val="20"/>
                <w:szCs w:val="20"/>
              </w:rPr>
              <w:t xml:space="preserve">Adjustments to reconcile net income (loss) to net cash provided by </w:t>
            </w:r>
            <w:r>
              <w:rPr>
                <w:sz w:val="20"/>
                <w:szCs w:val="20"/>
              </w:rPr>
              <w:br/>
              <w:t>      operating activities</w:t>
            </w:r>
            <w:r>
              <w:rPr>
                <w:sz w:val="20"/>
                <w:szCs w:val="20"/>
              </w:rPr>
              <w:t>:</w:t>
            </w:r>
          </w:p>
        </w:tc>
        <w:tc>
          <w:tcPr>
            <w:tcW w:w="0" w:type="auto"/>
            <w:vAlign w:val="bottom"/>
            <w:hideMark/>
          </w:tcPr>
          <w:p w14:paraId="2C28D56B"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35902644"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7618C19C"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EC885BE"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5DBF9E77"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1B2F3045" w14:textId="77777777" w:rsidR="00000000" w:rsidRDefault="003A1B5D">
            <w:pPr>
              <w:pStyle w:val="a3"/>
              <w:spacing w:before="0" w:beforeAutospacing="0" w:after="0" w:afterAutospacing="0"/>
              <w:jc w:val="right"/>
              <w:rPr>
                <w:sz w:val="20"/>
                <w:szCs w:val="20"/>
              </w:rPr>
            </w:pPr>
            <w:r>
              <w:rPr>
                <w:sz w:val="20"/>
                <w:szCs w:val="20"/>
              </w:rPr>
              <w:t> </w:t>
            </w:r>
          </w:p>
        </w:tc>
      </w:tr>
      <w:tr w:rsidR="00000000" w14:paraId="57C5F70D" w14:textId="77777777">
        <w:trPr>
          <w:trHeight w:val="200"/>
          <w:tblCellSpacing w:w="15" w:type="dxa"/>
        </w:trPr>
        <w:tc>
          <w:tcPr>
            <w:tcW w:w="0" w:type="auto"/>
            <w:hideMark/>
          </w:tcPr>
          <w:p w14:paraId="60A08851" w14:textId="77777777" w:rsidR="00000000" w:rsidRDefault="003A1B5D">
            <w:pPr>
              <w:pStyle w:val="a3"/>
              <w:spacing w:before="0" w:beforeAutospacing="0" w:after="0" w:afterAutospacing="0"/>
              <w:ind w:left="400"/>
              <w:rPr>
                <w:sz w:val="20"/>
                <w:szCs w:val="20"/>
              </w:rPr>
            </w:pPr>
            <w:r>
              <w:rPr>
                <w:sz w:val="20"/>
                <w:szCs w:val="20"/>
              </w:rPr>
              <w:t>Depreciation and amortizatio</w:t>
            </w:r>
            <w:r>
              <w:rPr>
                <w:sz w:val="20"/>
                <w:szCs w:val="20"/>
              </w:rPr>
              <w:t>n</w:t>
            </w:r>
          </w:p>
        </w:tc>
        <w:tc>
          <w:tcPr>
            <w:tcW w:w="0" w:type="auto"/>
            <w:vAlign w:val="bottom"/>
            <w:hideMark/>
          </w:tcPr>
          <w:p w14:paraId="099A6E8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490235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8A88DB5" w14:textId="77777777" w:rsidR="00000000" w:rsidRDefault="003A1B5D">
            <w:pPr>
              <w:pStyle w:val="a3"/>
              <w:spacing w:before="0" w:beforeAutospacing="0" w:after="0" w:afterAutospacing="0"/>
              <w:jc w:val="right"/>
              <w:rPr>
                <w:sz w:val="20"/>
                <w:szCs w:val="20"/>
              </w:rPr>
            </w:pPr>
            <w:r>
              <w:rPr>
                <w:b/>
                <w:bCs/>
                <w:sz w:val="20"/>
                <w:szCs w:val="20"/>
              </w:rPr>
              <w:t>96,21</w:t>
            </w:r>
            <w:r>
              <w:rPr>
                <w:b/>
                <w:bCs/>
                <w:sz w:val="20"/>
                <w:szCs w:val="20"/>
              </w:rPr>
              <w:t>8</w:t>
            </w:r>
          </w:p>
        </w:tc>
        <w:tc>
          <w:tcPr>
            <w:tcW w:w="0" w:type="auto"/>
            <w:noWrap/>
            <w:vAlign w:val="bottom"/>
            <w:hideMark/>
          </w:tcPr>
          <w:p w14:paraId="65512F1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687A8F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D6A0D5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88F3F30" w14:textId="77777777" w:rsidR="00000000" w:rsidRDefault="003A1B5D">
            <w:pPr>
              <w:pStyle w:val="a3"/>
              <w:spacing w:before="0" w:beforeAutospacing="0" w:after="0" w:afterAutospacing="0"/>
              <w:jc w:val="right"/>
              <w:rPr>
                <w:sz w:val="20"/>
                <w:szCs w:val="20"/>
              </w:rPr>
            </w:pPr>
            <w:r>
              <w:rPr>
                <w:sz w:val="20"/>
                <w:szCs w:val="20"/>
              </w:rPr>
              <w:t>100,78</w:t>
            </w:r>
            <w:r>
              <w:rPr>
                <w:sz w:val="20"/>
                <w:szCs w:val="20"/>
              </w:rPr>
              <w:t>7</w:t>
            </w:r>
          </w:p>
        </w:tc>
        <w:tc>
          <w:tcPr>
            <w:tcW w:w="0" w:type="auto"/>
            <w:noWrap/>
            <w:vAlign w:val="bottom"/>
            <w:hideMark/>
          </w:tcPr>
          <w:p w14:paraId="2A77FA31" w14:textId="77777777" w:rsidR="00000000" w:rsidRDefault="003A1B5D">
            <w:pPr>
              <w:pStyle w:val="a3"/>
              <w:spacing w:before="0" w:beforeAutospacing="0" w:after="0" w:afterAutospacing="0"/>
              <w:rPr>
                <w:sz w:val="20"/>
                <w:szCs w:val="20"/>
              </w:rPr>
            </w:pPr>
            <w:r>
              <w:rPr>
                <w:sz w:val="20"/>
                <w:szCs w:val="20"/>
              </w:rPr>
              <w:t> </w:t>
            </w:r>
          </w:p>
        </w:tc>
      </w:tr>
      <w:tr w:rsidR="00000000" w14:paraId="7DFFEBF0" w14:textId="77777777">
        <w:trPr>
          <w:trHeight w:val="200"/>
          <w:tblCellSpacing w:w="15" w:type="dxa"/>
        </w:trPr>
        <w:tc>
          <w:tcPr>
            <w:tcW w:w="0" w:type="auto"/>
            <w:hideMark/>
          </w:tcPr>
          <w:p w14:paraId="60A391FA" w14:textId="77777777" w:rsidR="00000000" w:rsidRDefault="003A1B5D">
            <w:pPr>
              <w:pStyle w:val="a3"/>
              <w:spacing w:before="0" w:beforeAutospacing="0" w:after="0" w:afterAutospacing="0"/>
              <w:ind w:left="400"/>
              <w:rPr>
                <w:sz w:val="20"/>
                <w:szCs w:val="20"/>
              </w:rPr>
            </w:pPr>
            <w:r>
              <w:rPr>
                <w:sz w:val="20"/>
                <w:szCs w:val="20"/>
              </w:rPr>
              <w:t>Asset impairment</w:t>
            </w:r>
            <w:r>
              <w:rPr>
                <w:sz w:val="20"/>
                <w:szCs w:val="20"/>
              </w:rPr>
              <w:t>s</w:t>
            </w:r>
          </w:p>
        </w:tc>
        <w:tc>
          <w:tcPr>
            <w:tcW w:w="0" w:type="auto"/>
            <w:vAlign w:val="bottom"/>
            <w:hideMark/>
          </w:tcPr>
          <w:p w14:paraId="7E23FF0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5FACBB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166ED99" w14:textId="77777777" w:rsidR="00000000" w:rsidRDefault="003A1B5D">
            <w:pPr>
              <w:pStyle w:val="a3"/>
              <w:spacing w:before="0" w:beforeAutospacing="0" w:after="0" w:afterAutospacing="0"/>
              <w:jc w:val="right"/>
              <w:rPr>
                <w:sz w:val="20"/>
                <w:szCs w:val="20"/>
              </w:rPr>
            </w:pPr>
            <w:r>
              <w:rPr>
                <w:b/>
                <w:bCs/>
                <w:sz w:val="20"/>
                <w:szCs w:val="20"/>
              </w:rPr>
              <w:t>3,51</w:t>
            </w:r>
            <w:r>
              <w:rPr>
                <w:b/>
                <w:bCs/>
                <w:sz w:val="20"/>
                <w:szCs w:val="20"/>
              </w:rPr>
              <w:t>3</w:t>
            </w:r>
          </w:p>
        </w:tc>
        <w:tc>
          <w:tcPr>
            <w:tcW w:w="0" w:type="auto"/>
            <w:noWrap/>
            <w:vAlign w:val="bottom"/>
            <w:hideMark/>
          </w:tcPr>
          <w:p w14:paraId="24B5DB8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FB4894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C049AC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7B2A087" w14:textId="77777777" w:rsidR="00000000" w:rsidRDefault="003A1B5D">
            <w:pPr>
              <w:pStyle w:val="a3"/>
              <w:spacing w:before="0" w:beforeAutospacing="0" w:after="0" w:afterAutospacing="0"/>
              <w:jc w:val="right"/>
              <w:rPr>
                <w:sz w:val="20"/>
                <w:szCs w:val="20"/>
              </w:rPr>
            </w:pPr>
            <w:r>
              <w:rPr>
                <w:sz w:val="20"/>
                <w:szCs w:val="20"/>
              </w:rPr>
              <w:t>9,35</w:t>
            </w:r>
            <w:r>
              <w:rPr>
                <w:sz w:val="20"/>
                <w:szCs w:val="20"/>
              </w:rPr>
              <w:t>1</w:t>
            </w:r>
          </w:p>
        </w:tc>
        <w:tc>
          <w:tcPr>
            <w:tcW w:w="0" w:type="auto"/>
            <w:noWrap/>
            <w:vAlign w:val="bottom"/>
            <w:hideMark/>
          </w:tcPr>
          <w:p w14:paraId="7AC54BF5" w14:textId="77777777" w:rsidR="00000000" w:rsidRDefault="003A1B5D">
            <w:pPr>
              <w:pStyle w:val="a3"/>
              <w:spacing w:before="0" w:beforeAutospacing="0" w:after="0" w:afterAutospacing="0"/>
              <w:rPr>
                <w:sz w:val="20"/>
                <w:szCs w:val="20"/>
              </w:rPr>
            </w:pPr>
            <w:r>
              <w:rPr>
                <w:sz w:val="20"/>
                <w:szCs w:val="20"/>
              </w:rPr>
              <w:t> </w:t>
            </w:r>
          </w:p>
        </w:tc>
      </w:tr>
      <w:tr w:rsidR="00000000" w14:paraId="6F8EF2CA" w14:textId="77777777">
        <w:trPr>
          <w:trHeight w:val="200"/>
          <w:tblCellSpacing w:w="15" w:type="dxa"/>
        </w:trPr>
        <w:tc>
          <w:tcPr>
            <w:tcW w:w="0" w:type="auto"/>
            <w:hideMark/>
          </w:tcPr>
          <w:p w14:paraId="5E0B52CB" w14:textId="77777777" w:rsidR="00000000" w:rsidRDefault="003A1B5D">
            <w:pPr>
              <w:pStyle w:val="a3"/>
              <w:spacing w:before="0" w:beforeAutospacing="0" w:after="0" w:afterAutospacing="0"/>
              <w:ind w:left="400"/>
              <w:rPr>
                <w:sz w:val="20"/>
                <w:szCs w:val="20"/>
              </w:rPr>
            </w:pPr>
            <w:r>
              <w:rPr>
                <w:sz w:val="20"/>
                <w:szCs w:val="20"/>
              </w:rPr>
              <w:t>Amortization of debt issuance costs and other non-cash interes</w:t>
            </w:r>
            <w:r>
              <w:rPr>
                <w:sz w:val="20"/>
                <w:szCs w:val="20"/>
              </w:rPr>
              <w:t>t</w:t>
            </w:r>
          </w:p>
        </w:tc>
        <w:tc>
          <w:tcPr>
            <w:tcW w:w="0" w:type="auto"/>
            <w:vAlign w:val="bottom"/>
            <w:hideMark/>
          </w:tcPr>
          <w:p w14:paraId="7374124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6EE3A8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C476BDD" w14:textId="77777777" w:rsidR="00000000" w:rsidRDefault="003A1B5D">
            <w:pPr>
              <w:pStyle w:val="a3"/>
              <w:spacing w:before="0" w:beforeAutospacing="0" w:after="0" w:afterAutospacing="0"/>
              <w:jc w:val="right"/>
              <w:rPr>
                <w:sz w:val="20"/>
                <w:szCs w:val="20"/>
              </w:rPr>
            </w:pPr>
            <w:r>
              <w:rPr>
                <w:b/>
                <w:bCs/>
                <w:sz w:val="20"/>
                <w:szCs w:val="20"/>
              </w:rPr>
              <w:t>4,42</w:t>
            </w:r>
            <w:r>
              <w:rPr>
                <w:b/>
                <w:bCs/>
                <w:sz w:val="20"/>
                <w:szCs w:val="20"/>
              </w:rPr>
              <w:t>1</w:t>
            </w:r>
          </w:p>
        </w:tc>
        <w:tc>
          <w:tcPr>
            <w:tcW w:w="0" w:type="auto"/>
            <w:noWrap/>
            <w:vAlign w:val="bottom"/>
            <w:hideMark/>
          </w:tcPr>
          <w:p w14:paraId="1B01C09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D457F3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E2E93E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BED2231" w14:textId="77777777" w:rsidR="00000000" w:rsidRDefault="003A1B5D">
            <w:pPr>
              <w:pStyle w:val="a3"/>
              <w:spacing w:before="0" w:beforeAutospacing="0" w:after="0" w:afterAutospacing="0"/>
              <w:jc w:val="right"/>
              <w:rPr>
                <w:sz w:val="20"/>
                <w:szCs w:val="20"/>
              </w:rPr>
            </w:pPr>
            <w:r>
              <w:rPr>
                <w:sz w:val="20"/>
                <w:szCs w:val="20"/>
              </w:rPr>
              <w:t>5,61</w:t>
            </w:r>
            <w:r>
              <w:rPr>
                <w:sz w:val="20"/>
                <w:szCs w:val="20"/>
              </w:rPr>
              <w:t>4</w:t>
            </w:r>
          </w:p>
        </w:tc>
        <w:tc>
          <w:tcPr>
            <w:tcW w:w="0" w:type="auto"/>
            <w:noWrap/>
            <w:vAlign w:val="bottom"/>
            <w:hideMark/>
          </w:tcPr>
          <w:p w14:paraId="134595C2" w14:textId="77777777" w:rsidR="00000000" w:rsidRDefault="003A1B5D">
            <w:pPr>
              <w:pStyle w:val="a3"/>
              <w:spacing w:before="0" w:beforeAutospacing="0" w:after="0" w:afterAutospacing="0"/>
              <w:rPr>
                <w:sz w:val="20"/>
                <w:szCs w:val="20"/>
              </w:rPr>
            </w:pPr>
            <w:r>
              <w:rPr>
                <w:sz w:val="20"/>
                <w:szCs w:val="20"/>
              </w:rPr>
              <w:t> </w:t>
            </w:r>
          </w:p>
        </w:tc>
      </w:tr>
      <w:tr w:rsidR="00000000" w14:paraId="3EF5010B" w14:textId="77777777">
        <w:trPr>
          <w:trHeight w:val="200"/>
          <w:tblCellSpacing w:w="15" w:type="dxa"/>
        </w:trPr>
        <w:tc>
          <w:tcPr>
            <w:tcW w:w="0" w:type="auto"/>
            <w:hideMark/>
          </w:tcPr>
          <w:p w14:paraId="5A051BE1" w14:textId="77777777" w:rsidR="00000000" w:rsidRDefault="003A1B5D">
            <w:pPr>
              <w:pStyle w:val="a3"/>
              <w:spacing w:before="0" w:beforeAutospacing="0" w:after="0" w:afterAutospacing="0"/>
              <w:ind w:left="400"/>
              <w:rPr>
                <w:sz w:val="20"/>
                <w:szCs w:val="20"/>
              </w:rPr>
            </w:pPr>
            <w:r>
              <w:rPr>
                <w:sz w:val="20"/>
                <w:szCs w:val="20"/>
              </w:rPr>
              <w:lastRenderedPageBreak/>
              <w:t>Expenses associated with debt repayments and refinancing transaction</w:t>
            </w:r>
            <w:r>
              <w:rPr>
                <w:sz w:val="20"/>
                <w:szCs w:val="20"/>
              </w:rPr>
              <w:t>s</w:t>
            </w:r>
          </w:p>
        </w:tc>
        <w:tc>
          <w:tcPr>
            <w:tcW w:w="0" w:type="auto"/>
            <w:vAlign w:val="bottom"/>
            <w:hideMark/>
          </w:tcPr>
          <w:p w14:paraId="110B612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C9BDE6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2AFF435" w14:textId="77777777" w:rsidR="00000000" w:rsidRDefault="003A1B5D">
            <w:pPr>
              <w:pStyle w:val="a3"/>
              <w:spacing w:before="0" w:beforeAutospacing="0" w:after="0" w:afterAutospacing="0"/>
              <w:jc w:val="right"/>
              <w:rPr>
                <w:sz w:val="20"/>
                <w:szCs w:val="20"/>
              </w:rPr>
            </w:pPr>
            <w:r>
              <w:rPr>
                <w:b/>
                <w:bCs/>
                <w:sz w:val="20"/>
                <w:szCs w:val="20"/>
              </w:rPr>
              <w:t>7,58</w:t>
            </w:r>
            <w:r>
              <w:rPr>
                <w:b/>
                <w:bCs/>
                <w:sz w:val="20"/>
                <w:szCs w:val="20"/>
              </w:rPr>
              <w:t>8</w:t>
            </w:r>
          </w:p>
        </w:tc>
        <w:tc>
          <w:tcPr>
            <w:tcW w:w="0" w:type="auto"/>
            <w:noWrap/>
            <w:vAlign w:val="bottom"/>
            <w:hideMark/>
          </w:tcPr>
          <w:p w14:paraId="3338403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0034E5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9E1A62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0B08070" w14:textId="77777777" w:rsidR="00000000" w:rsidRDefault="003A1B5D">
            <w:pPr>
              <w:pStyle w:val="a3"/>
              <w:spacing w:before="0" w:beforeAutospacing="0" w:after="0" w:afterAutospacing="0"/>
              <w:jc w:val="right"/>
              <w:rPr>
                <w:sz w:val="20"/>
                <w:szCs w:val="20"/>
              </w:rPr>
            </w:pPr>
            <w:r>
              <w:rPr>
                <w:sz w:val="20"/>
                <w:szCs w:val="20"/>
              </w:rPr>
              <w:t>52,16</w:t>
            </w:r>
            <w:r>
              <w:rPr>
                <w:sz w:val="20"/>
                <w:szCs w:val="20"/>
              </w:rPr>
              <w:t>7</w:t>
            </w:r>
          </w:p>
        </w:tc>
        <w:tc>
          <w:tcPr>
            <w:tcW w:w="0" w:type="auto"/>
            <w:noWrap/>
            <w:vAlign w:val="bottom"/>
            <w:hideMark/>
          </w:tcPr>
          <w:p w14:paraId="5E3C00BB" w14:textId="77777777" w:rsidR="00000000" w:rsidRDefault="003A1B5D">
            <w:pPr>
              <w:pStyle w:val="a3"/>
              <w:spacing w:before="0" w:beforeAutospacing="0" w:after="0" w:afterAutospacing="0"/>
              <w:rPr>
                <w:sz w:val="20"/>
                <w:szCs w:val="20"/>
              </w:rPr>
            </w:pPr>
            <w:r>
              <w:rPr>
                <w:sz w:val="20"/>
                <w:szCs w:val="20"/>
              </w:rPr>
              <w:t> </w:t>
            </w:r>
          </w:p>
        </w:tc>
      </w:tr>
      <w:tr w:rsidR="00000000" w14:paraId="115C1284" w14:textId="77777777">
        <w:trPr>
          <w:trHeight w:val="200"/>
          <w:tblCellSpacing w:w="15" w:type="dxa"/>
        </w:trPr>
        <w:tc>
          <w:tcPr>
            <w:tcW w:w="0" w:type="auto"/>
            <w:hideMark/>
          </w:tcPr>
          <w:p w14:paraId="5835C72E" w14:textId="77777777" w:rsidR="00000000" w:rsidRDefault="003A1B5D">
            <w:pPr>
              <w:pStyle w:val="a3"/>
              <w:spacing w:before="0" w:beforeAutospacing="0" w:after="0" w:afterAutospacing="0"/>
              <w:ind w:left="400"/>
              <w:rPr>
                <w:sz w:val="20"/>
                <w:szCs w:val="20"/>
              </w:rPr>
            </w:pPr>
            <w:r>
              <w:rPr>
                <w:sz w:val="20"/>
                <w:szCs w:val="20"/>
              </w:rPr>
              <w:t>Gain on sale of real estate assets, ne</w:t>
            </w:r>
            <w:r>
              <w:rPr>
                <w:sz w:val="20"/>
                <w:szCs w:val="20"/>
              </w:rPr>
              <w:t>t</w:t>
            </w:r>
          </w:p>
        </w:tc>
        <w:tc>
          <w:tcPr>
            <w:tcW w:w="0" w:type="auto"/>
            <w:vAlign w:val="bottom"/>
            <w:hideMark/>
          </w:tcPr>
          <w:p w14:paraId="222714C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055647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6FD312D"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87,14</w:t>
            </w:r>
            <w:r>
              <w:rPr>
                <w:b/>
                <w:bCs/>
                <w:sz w:val="20"/>
                <w:szCs w:val="20"/>
              </w:rPr>
              <w:t>9</w:t>
            </w:r>
          </w:p>
        </w:tc>
        <w:tc>
          <w:tcPr>
            <w:tcW w:w="0" w:type="auto"/>
            <w:noWrap/>
            <w:vAlign w:val="bottom"/>
            <w:hideMark/>
          </w:tcPr>
          <w:p w14:paraId="6A5491C4"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4969074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D4A4C3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65BF1F8" w14:textId="77777777" w:rsidR="00000000" w:rsidRDefault="003A1B5D">
            <w:pPr>
              <w:pStyle w:val="a3"/>
              <w:spacing w:before="0" w:beforeAutospacing="0" w:after="0" w:afterAutospacing="0"/>
              <w:jc w:val="right"/>
              <w:rPr>
                <w:sz w:val="20"/>
                <w:szCs w:val="20"/>
              </w:rPr>
            </w:pPr>
            <w:r>
              <w:rPr>
                <w:sz w:val="20"/>
                <w:szCs w:val="20"/>
              </w:rPr>
              <w:t>(</w:t>
            </w:r>
            <w:r>
              <w:rPr>
                <w:sz w:val="20"/>
                <w:szCs w:val="20"/>
              </w:rPr>
              <w:t>38,76</w:t>
            </w:r>
            <w:r>
              <w:rPr>
                <w:sz w:val="20"/>
                <w:szCs w:val="20"/>
              </w:rPr>
              <w:t>6</w:t>
            </w:r>
          </w:p>
        </w:tc>
        <w:tc>
          <w:tcPr>
            <w:tcW w:w="0" w:type="auto"/>
            <w:noWrap/>
            <w:vAlign w:val="bottom"/>
            <w:hideMark/>
          </w:tcPr>
          <w:p w14:paraId="105E6BD9" w14:textId="77777777" w:rsidR="00000000" w:rsidRDefault="003A1B5D">
            <w:pPr>
              <w:pStyle w:val="a3"/>
              <w:spacing w:before="0" w:beforeAutospacing="0" w:after="0" w:afterAutospacing="0"/>
              <w:rPr>
                <w:sz w:val="20"/>
                <w:szCs w:val="20"/>
              </w:rPr>
            </w:pPr>
            <w:r>
              <w:rPr>
                <w:sz w:val="20"/>
                <w:szCs w:val="20"/>
              </w:rPr>
              <w:t>)</w:t>
            </w:r>
          </w:p>
        </w:tc>
      </w:tr>
      <w:tr w:rsidR="00000000" w14:paraId="689A96D8" w14:textId="77777777">
        <w:trPr>
          <w:trHeight w:val="200"/>
          <w:tblCellSpacing w:w="15" w:type="dxa"/>
        </w:trPr>
        <w:tc>
          <w:tcPr>
            <w:tcW w:w="0" w:type="auto"/>
            <w:hideMark/>
          </w:tcPr>
          <w:p w14:paraId="143F0BA7" w14:textId="77777777" w:rsidR="00000000" w:rsidRDefault="003A1B5D">
            <w:pPr>
              <w:pStyle w:val="a3"/>
              <w:spacing w:before="0" w:beforeAutospacing="0" w:after="0" w:afterAutospacing="0"/>
              <w:ind w:left="400"/>
              <w:rPr>
                <w:sz w:val="20"/>
                <w:szCs w:val="20"/>
              </w:rPr>
            </w:pPr>
            <w:r>
              <w:rPr>
                <w:sz w:val="20"/>
                <w:szCs w:val="20"/>
              </w:rPr>
              <w:t>Deferred income taxe</w:t>
            </w:r>
            <w:r>
              <w:rPr>
                <w:sz w:val="20"/>
                <w:szCs w:val="20"/>
              </w:rPr>
              <w:t>s</w:t>
            </w:r>
          </w:p>
        </w:tc>
        <w:tc>
          <w:tcPr>
            <w:tcW w:w="0" w:type="auto"/>
            <w:vAlign w:val="bottom"/>
            <w:hideMark/>
          </w:tcPr>
          <w:p w14:paraId="51AEB3E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6385B2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B0E4794" w14:textId="77777777" w:rsidR="00000000" w:rsidRDefault="003A1B5D">
            <w:pPr>
              <w:pStyle w:val="a3"/>
              <w:spacing w:before="0" w:beforeAutospacing="0" w:after="0" w:afterAutospacing="0"/>
              <w:jc w:val="right"/>
              <w:rPr>
                <w:sz w:val="20"/>
                <w:szCs w:val="20"/>
              </w:rPr>
            </w:pPr>
            <w:r>
              <w:rPr>
                <w:b/>
                <w:bCs/>
                <w:sz w:val="20"/>
                <w:szCs w:val="20"/>
              </w:rPr>
              <w:t>9,53</w:t>
            </w:r>
            <w:r>
              <w:rPr>
                <w:b/>
                <w:bCs/>
                <w:sz w:val="20"/>
                <w:szCs w:val="20"/>
              </w:rPr>
              <w:t>2</w:t>
            </w:r>
          </w:p>
        </w:tc>
        <w:tc>
          <w:tcPr>
            <w:tcW w:w="0" w:type="auto"/>
            <w:noWrap/>
            <w:vAlign w:val="bottom"/>
            <w:hideMark/>
          </w:tcPr>
          <w:p w14:paraId="5DDCD32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B9C751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C443CC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0DDA20D" w14:textId="77777777" w:rsidR="00000000" w:rsidRDefault="003A1B5D">
            <w:pPr>
              <w:pStyle w:val="a3"/>
              <w:spacing w:before="0" w:beforeAutospacing="0" w:after="0" w:afterAutospacing="0"/>
              <w:jc w:val="right"/>
              <w:rPr>
                <w:sz w:val="20"/>
                <w:szCs w:val="20"/>
              </w:rPr>
            </w:pPr>
            <w:r>
              <w:rPr>
                <w:sz w:val="20"/>
                <w:szCs w:val="20"/>
              </w:rPr>
              <w:t>93,84</w:t>
            </w:r>
            <w:r>
              <w:rPr>
                <w:sz w:val="20"/>
                <w:szCs w:val="20"/>
              </w:rPr>
              <w:t>9</w:t>
            </w:r>
          </w:p>
        </w:tc>
        <w:tc>
          <w:tcPr>
            <w:tcW w:w="0" w:type="auto"/>
            <w:noWrap/>
            <w:vAlign w:val="bottom"/>
            <w:hideMark/>
          </w:tcPr>
          <w:p w14:paraId="719E7FD2" w14:textId="77777777" w:rsidR="00000000" w:rsidRDefault="003A1B5D">
            <w:pPr>
              <w:pStyle w:val="a3"/>
              <w:spacing w:before="0" w:beforeAutospacing="0" w:after="0" w:afterAutospacing="0"/>
              <w:rPr>
                <w:sz w:val="20"/>
                <w:szCs w:val="20"/>
              </w:rPr>
            </w:pPr>
            <w:r>
              <w:rPr>
                <w:sz w:val="20"/>
                <w:szCs w:val="20"/>
              </w:rPr>
              <w:t> </w:t>
            </w:r>
          </w:p>
        </w:tc>
      </w:tr>
      <w:tr w:rsidR="00000000" w14:paraId="0FE1E99D" w14:textId="77777777">
        <w:trPr>
          <w:trHeight w:val="200"/>
          <w:tblCellSpacing w:w="15" w:type="dxa"/>
        </w:trPr>
        <w:tc>
          <w:tcPr>
            <w:tcW w:w="0" w:type="auto"/>
            <w:hideMark/>
          </w:tcPr>
          <w:p w14:paraId="0D99CA8B" w14:textId="77777777" w:rsidR="00000000" w:rsidRDefault="003A1B5D">
            <w:pPr>
              <w:pStyle w:val="a3"/>
              <w:spacing w:before="0" w:beforeAutospacing="0" w:after="0" w:afterAutospacing="0"/>
              <w:ind w:left="400"/>
              <w:rPr>
                <w:sz w:val="20"/>
                <w:szCs w:val="20"/>
              </w:rPr>
            </w:pPr>
            <w:r>
              <w:rPr>
                <w:sz w:val="20"/>
                <w:szCs w:val="20"/>
              </w:rPr>
              <w:t>Non-cash revenue and other incom</w:t>
            </w:r>
            <w:r>
              <w:rPr>
                <w:sz w:val="20"/>
                <w:szCs w:val="20"/>
              </w:rPr>
              <w:t>e</w:t>
            </w:r>
          </w:p>
        </w:tc>
        <w:tc>
          <w:tcPr>
            <w:tcW w:w="0" w:type="auto"/>
            <w:vAlign w:val="bottom"/>
            <w:hideMark/>
          </w:tcPr>
          <w:p w14:paraId="5FFBE37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D51B26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23519E4"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3,15</w:t>
            </w:r>
            <w:r>
              <w:rPr>
                <w:b/>
                <w:bCs/>
                <w:sz w:val="20"/>
                <w:szCs w:val="20"/>
              </w:rPr>
              <w:t>5</w:t>
            </w:r>
          </w:p>
        </w:tc>
        <w:tc>
          <w:tcPr>
            <w:tcW w:w="0" w:type="auto"/>
            <w:noWrap/>
            <w:vAlign w:val="bottom"/>
            <w:hideMark/>
          </w:tcPr>
          <w:p w14:paraId="6A2F13D2"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2B1850E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EE3AFA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FD6E41F" w14:textId="77777777" w:rsidR="00000000" w:rsidRDefault="003A1B5D">
            <w:pPr>
              <w:pStyle w:val="a3"/>
              <w:spacing w:before="0" w:beforeAutospacing="0" w:after="0" w:afterAutospacing="0"/>
              <w:jc w:val="right"/>
              <w:rPr>
                <w:sz w:val="20"/>
                <w:szCs w:val="20"/>
              </w:rPr>
            </w:pPr>
            <w:r>
              <w:rPr>
                <w:sz w:val="20"/>
                <w:szCs w:val="20"/>
              </w:rPr>
              <w:t>3</w:t>
            </w:r>
            <w:r>
              <w:rPr>
                <w:sz w:val="20"/>
                <w:szCs w:val="20"/>
              </w:rPr>
              <w:t>5</w:t>
            </w:r>
          </w:p>
        </w:tc>
        <w:tc>
          <w:tcPr>
            <w:tcW w:w="0" w:type="auto"/>
            <w:noWrap/>
            <w:vAlign w:val="bottom"/>
            <w:hideMark/>
          </w:tcPr>
          <w:p w14:paraId="51FA7185" w14:textId="77777777" w:rsidR="00000000" w:rsidRDefault="003A1B5D">
            <w:pPr>
              <w:pStyle w:val="a3"/>
              <w:spacing w:before="0" w:beforeAutospacing="0" w:after="0" w:afterAutospacing="0"/>
              <w:rPr>
                <w:sz w:val="20"/>
                <w:szCs w:val="20"/>
              </w:rPr>
            </w:pPr>
            <w:r>
              <w:rPr>
                <w:sz w:val="20"/>
                <w:szCs w:val="20"/>
              </w:rPr>
              <w:t> </w:t>
            </w:r>
          </w:p>
        </w:tc>
      </w:tr>
      <w:tr w:rsidR="00000000" w14:paraId="31A1D372" w14:textId="77777777">
        <w:trPr>
          <w:trHeight w:val="200"/>
          <w:tblCellSpacing w:w="15" w:type="dxa"/>
        </w:trPr>
        <w:tc>
          <w:tcPr>
            <w:tcW w:w="0" w:type="auto"/>
            <w:hideMark/>
          </w:tcPr>
          <w:p w14:paraId="68CBEDE5" w14:textId="77777777" w:rsidR="00000000" w:rsidRDefault="003A1B5D">
            <w:pPr>
              <w:pStyle w:val="a3"/>
              <w:spacing w:before="0" w:beforeAutospacing="0" w:after="0" w:afterAutospacing="0"/>
              <w:ind w:left="400"/>
              <w:rPr>
                <w:sz w:val="20"/>
                <w:szCs w:val="20"/>
              </w:rPr>
            </w:pPr>
            <w:r>
              <w:rPr>
                <w:sz w:val="20"/>
                <w:szCs w:val="20"/>
              </w:rPr>
              <w:t>Non-cash equity compensatio</w:t>
            </w:r>
            <w:r>
              <w:rPr>
                <w:sz w:val="20"/>
                <w:szCs w:val="20"/>
              </w:rPr>
              <w:t>n</w:t>
            </w:r>
          </w:p>
        </w:tc>
        <w:tc>
          <w:tcPr>
            <w:tcW w:w="0" w:type="auto"/>
            <w:vAlign w:val="bottom"/>
            <w:hideMark/>
          </w:tcPr>
          <w:p w14:paraId="72725D6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8772CB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EFC1829" w14:textId="77777777" w:rsidR="00000000" w:rsidRDefault="003A1B5D">
            <w:pPr>
              <w:pStyle w:val="a3"/>
              <w:spacing w:before="0" w:beforeAutospacing="0" w:after="0" w:afterAutospacing="0"/>
              <w:jc w:val="right"/>
              <w:rPr>
                <w:sz w:val="20"/>
                <w:szCs w:val="20"/>
              </w:rPr>
            </w:pPr>
            <w:r>
              <w:rPr>
                <w:b/>
                <w:bCs/>
                <w:sz w:val="20"/>
                <w:szCs w:val="20"/>
              </w:rPr>
              <w:t>11,70</w:t>
            </w:r>
            <w:r>
              <w:rPr>
                <w:b/>
                <w:bCs/>
                <w:sz w:val="20"/>
                <w:szCs w:val="20"/>
              </w:rPr>
              <w:t>7</w:t>
            </w:r>
          </w:p>
        </w:tc>
        <w:tc>
          <w:tcPr>
            <w:tcW w:w="0" w:type="auto"/>
            <w:noWrap/>
            <w:vAlign w:val="bottom"/>
            <w:hideMark/>
          </w:tcPr>
          <w:p w14:paraId="2837E45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340AD3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341B9E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B8578C2" w14:textId="77777777" w:rsidR="00000000" w:rsidRDefault="003A1B5D">
            <w:pPr>
              <w:pStyle w:val="a3"/>
              <w:spacing w:before="0" w:beforeAutospacing="0" w:after="0" w:afterAutospacing="0"/>
              <w:jc w:val="right"/>
              <w:rPr>
                <w:sz w:val="20"/>
                <w:szCs w:val="20"/>
              </w:rPr>
            </w:pPr>
            <w:r>
              <w:rPr>
                <w:sz w:val="20"/>
                <w:szCs w:val="20"/>
              </w:rPr>
              <w:t>13,63</w:t>
            </w:r>
            <w:r>
              <w:rPr>
                <w:sz w:val="20"/>
                <w:szCs w:val="20"/>
              </w:rPr>
              <w:t>9</w:t>
            </w:r>
          </w:p>
        </w:tc>
        <w:tc>
          <w:tcPr>
            <w:tcW w:w="0" w:type="auto"/>
            <w:noWrap/>
            <w:vAlign w:val="bottom"/>
            <w:hideMark/>
          </w:tcPr>
          <w:p w14:paraId="7A7690E6" w14:textId="77777777" w:rsidR="00000000" w:rsidRDefault="003A1B5D">
            <w:pPr>
              <w:pStyle w:val="a3"/>
              <w:spacing w:before="0" w:beforeAutospacing="0" w:after="0" w:afterAutospacing="0"/>
              <w:rPr>
                <w:sz w:val="20"/>
                <w:szCs w:val="20"/>
              </w:rPr>
            </w:pPr>
            <w:r>
              <w:rPr>
                <w:sz w:val="20"/>
                <w:szCs w:val="20"/>
              </w:rPr>
              <w:t> </w:t>
            </w:r>
          </w:p>
        </w:tc>
      </w:tr>
      <w:tr w:rsidR="00000000" w14:paraId="18F168D8" w14:textId="77777777">
        <w:trPr>
          <w:trHeight w:val="200"/>
          <w:tblCellSpacing w:w="15" w:type="dxa"/>
        </w:trPr>
        <w:tc>
          <w:tcPr>
            <w:tcW w:w="0" w:type="auto"/>
            <w:hideMark/>
          </w:tcPr>
          <w:p w14:paraId="28399B0D" w14:textId="77777777" w:rsidR="00000000" w:rsidRDefault="003A1B5D">
            <w:pPr>
              <w:pStyle w:val="a3"/>
              <w:spacing w:before="0" w:beforeAutospacing="0" w:after="0" w:afterAutospacing="0"/>
              <w:ind w:left="400"/>
              <w:rPr>
                <w:sz w:val="20"/>
                <w:szCs w:val="20"/>
              </w:rPr>
            </w:pPr>
            <w:r>
              <w:rPr>
                <w:sz w:val="20"/>
                <w:szCs w:val="20"/>
              </w:rPr>
              <w:t>Other expenses and non-cash item</w:t>
            </w:r>
            <w:r>
              <w:rPr>
                <w:sz w:val="20"/>
                <w:szCs w:val="20"/>
              </w:rPr>
              <w:t>s</w:t>
            </w:r>
          </w:p>
        </w:tc>
        <w:tc>
          <w:tcPr>
            <w:tcW w:w="0" w:type="auto"/>
            <w:vAlign w:val="bottom"/>
            <w:hideMark/>
          </w:tcPr>
          <w:p w14:paraId="44FE050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012FBE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356FFD9" w14:textId="77777777" w:rsidR="00000000" w:rsidRDefault="003A1B5D">
            <w:pPr>
              <w:pStyle w:val="a3"/>
              <w:spacing w:before="0" w:beforeAutospacing="0" w:after="0" w:afterAutospacing="0"/>
              <w:jc w:val="right"/>
              <w:rPr>
                <w:sz w:val="20"/>
                <w:szCs w:val="20"/>
              </w:rPr>
            </w:pPr>
            <w:r>
              <w:rPr>
                <w:b/>
                <w:bCs/>
                <w:sz w:val="20"/>
                <w:szCs w:val="20"/>
              </w:rPr>
              <w:t>4,56</w:t>
            </w:r>
            <w:r>
              <w:rPr>
                <w:b/>
                <w:bCs/>
                <w:sz w:val="20"/>
                <w:szCs w:val="20"/>
              </w:rPr>
              <w:t>5</w:t>
            </w:r>
          </w:p>
        </w:tc>
        <w:tc>
          <w:tcPr>
            <w:tcW w:w="0" w:type="auto"/>
            <w:noWrap/>
            <w:vAlign w:val="bottom"/>
            <w:hideMark/>
          </w:tcPr>
          <w:p w14:paraId="4BA1F86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FC2853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47C8E7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972CAD1" w14:textId="77777777" w:rsidR="00000000" w:rsidRDefault="003A1B5D">
            <w:pPr>
              <w:pStyle w:val="a3"/>
              <w:spacing w:before="0" w:beforeAutospacing="0" w:after="0" w:afterAutospacing="0"/>
              <w:jc w:val="right"/>
              <w:rPr>
                <w:sz w:val="20"/>
                <w:szCs w:val="20"/>
              </w:rPr>
            </w:pPr>
            <w:r>
              <w:rPr>
                <w:sz w:val="20"/>
                <w:szCs w:val="20"/>
              </w:rPr>
              <w:t>4,35</w:t>
            </w:r>
            <w:r>
              <w:rPr>
                <w:sz w:val="20"/>
                <w:szCs w:val="20"/>
              </w:rPr>
              <w:t>7</w:t>
            </w:r>
          </w:p>
        </w:tc>
        <w:tc>
          <w:tcPr>
            <w:tcW w:w="0" w:type="auto"/>
            <w:noWrap/>
            <w:vAlign w:val="bottom"/>
            <w:hideMark/>
          </w:tcPr>
          <w:p w14:paraId="03DB8E5E" w14:textId="77777777" w:rsidR="00000000" w:rsidRDefault="003A1B5D">
            <w:pPr>
              <w:pStyle w:val="a3"/>
              <w:spacing w:before="0" w:beforeAutospacing="0" w:after="0" w:afterAutospacing="0"/>
              <w:rPr>
                <w:sz w:val="20"/>
                <w:szCs w:val="20"/>
              </w:rPr>
            </w:pPr>
            <w:r>
              <w:rPr>
                <w:sz w:val="20"/>
                <w:szCs w:val="20"/>
              </w:rPr>
              <w:t> </w:t>
            </w:r>
          </w:p>
        </w:tc>
      </w:tr>
      <w:tr w:rsidR="00000000" w14:paraId="7195B63C" w14:textId="77777777">
        <w:trPr>
          <w:trHeight w:val="200"/>
          <w:tblCellSpacing w:w="15" w:type="dxa"/>
        </w:trPr>
        <w:tc>
          <w:tcPr>
            <w:tcW w:w="0" w:type="auto"/>
            <w:hideMark/>
          </w:tcPr>
          <w:p w14:paraId="004FDEE5" w14:textId="77777777" w:rsidR="00000000" w:rsidRDefault="003A1B5D">
            <w:pPr>
              <w:pStyle w:val="a3"/>
              <w:spacing w:before="0" w:beforeAutospacing="0" w:after="0" w:afterAutospacing="0"/>
              <w:ind w:left="400"/>
              <w:rPr>
                <w:sz w:val="20"/>
                <w:szCs w:val="20"/>
              </w:rPr>
            </w:pPr>
            <w:r>
              <w:rPr>
                <w:sz w:val="20"/>
                <w:szCs w:val="20"/>
              </w:rPr>
              <w:t>Changes in assets and liabilities, net</w:t>
            </w:r>
            <w:r>
              <w:rPr>
                <w:sz w:val="20"/>
                <w:szCs w:val="20"/>
              </w:rPr>
              <w:t>:</w:t>
            </w:r>
          </w:p>
        </w:tc>
        <w:tc>
          <w:tcPr>
            <w:tcW w:w="0" w:type="auto"/>
            <w:vAlign w:val="bottom"/>
            <w:hideMark/>
          </w:tcPr>
          <w:p w14:paraId="1326A20E"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4C23A2AB"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0E244915"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11450D8"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236E3A60"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6C2286D" w14:textId="77777777" w:rsidR="00000000" w:rsidRDefault="003A1B5D">
            <w:pPr>
              <w:pStyle w:val="a3"/>
              <w:spacing w:before="0" w:beforeAutospacing="0" w:after="0" w:afterAutospacing="0"/>
              <w:jc w:val="right"/>
              <w:rPr>
                <w:sz w:val="20"/>
                <w:szCs w:val="20"/>
              </w:rPr>
            </w:pPr>
            <w:r>
              <w:rPr>
                <w:sz w:val="20"/>
                <w:szCs w:val="20"/>
              </w:rPr>
              <w:t> </w:t>
            </w:r>
          </w:p>
        </w:tc>
      </w:tr>
      <w:tr w:rsidR="00000000" w14:paraId="482F1345" w14:textId="77777777">
        <w:trPr>
          <w:trHeight w:val="200"/>
          <w:tblCellSpacing w:w="15" w:type="dxa"/>
        </w:trPr>
        <w:tc>
          <w:tcPr>
            <w:tcW w:w="0" w:type="auto"/>
            <w:hideMark/>
          </w:tcPr>
          <w:p w14:paraId="177D176E" w14:textId="77777777" w:rsidR="00000000" w:rsidRDefault="003A1B5D">
            <w:pPr>
              <w:pStyle w:val="a3"/>
              <w:spacing w:before="0" w:beforeAutospacing="0" w:after="0" w:afterAutospacing="0"/>
              <w:ind w:left="600"/>
              <w:rPr>
                <w:sz w:val="20"/>
                <w:szCs w:val="20"/>
              </w:rPr>
            </w:pPr>
            <w:r>
              <w:rPr>
                <w:sz w:val="20"/>
                <w:szCs w:val="20"/>
              </w:rPr>
              <w:t>Accounts receivable, prepaid expenses and other asset</w:t>
            </w:r>
            <w:r>
              <w:rPr>
                <w:sz w:val="20"/>
                <w:szCs w:val="20"/>
              </w:rPr>
              <w:t>s</w:t>
            </w:r>
          </w:p>
        </w:tc>
        <w:tc>
          <w:tcPr>
            <w:tcW w:w="0" w:type="auto"/>
            <w:vAlign w:val="bottom"/>
            <w:hideMark/>
          </w:tcPr>
          <w:p w14:paraId="34F8A5B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1FA0D4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0DC7F04"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14,96</w:t>
            </w:r>
            <w:r>
              <w:rPr>
                <w:b/>
                <w:bCs/>
                <w:sz w:val="20"/>
                <w:szCs w:val="20"/>
              </w:rPr>
              <w:t>3</w:t>
            </w:r>
          </w:p>
        </w:tc>
        <w:tc>
          <w:tcPr>
            <w:tcW w:w="0" w:type="auto"/>
            <w:noWrap/>
            <w:vAlign w:val="bottom"/>
            <w:hideMark/>
          </w:tcPr>
          <w:p w14:paraId="16017999"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51A29E7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6A580A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644C567" w14:textId="77777777" w:rsidR="00000000" w:rsidRDefault="003A1B5D">
            <w:pPr>
              <w:pStyle w:val="a3"/>
              <w:spacing w:before="0" w:beforeAutospacing="0" w:after="0" w:afterAutospacing="0"/>
              <w:jc w:val="right"/>
              <w:rPr>
                <w:sz w:val="20"/>
                <w:szCs w:val="20"/>
              </w:rPr>
            </w:pPr>
            <w:r>
              <w:rPr>
                <w:sz w:val="20"/>
                <w:szCs w:val="20"/>
              </w:rPr>
              <w:t>36,27</w:t>
            </w:r>
            <w:r>
              <w:rPr>
                <w:sz w:val="20"/>
                <w:szCs w:val="20"/>
              </w:rPr>
              <w:t>8</w:t>
            </w:r>
          </w:p>
        </w:tc>
        <w:tc>
          <w:tcPr>
            <w:tcW w:w="0" w:type="auto"/>
            <w:noWrap/>
            <w:vAlign w:val="bottom"/>
            <w:hideMark/>
          </w:tcPr>
          <w:p w14:paraId="4755F89A" w14:textId="77777777" w:rsidR="00000000" w:rsidRDefault="003A1B5D">
            <w:pPr>
              <w:pStyle w:val="a3"/>
              <w:spacing w:before="0" w:beforeAutospacing="0" w:after="0" w:afterAutospacing="0"/>
              <w:rPr>
                <w:sz w:val="20"/>
                <w:szCs w:val="20"/>
              </w:rPr>
            </w:pPr>
            <w:r>
              <w:rPr>
                <w:sz w:val="20"/>
                <w:szCs w:val="20"/>
              </w:rPr>
              <w:t> </w:t>
            </w:r>
          </w:p>
        </w:tc>
      </w:tr>
      <w:tr w:rsidR="00000000" w14:paraId="1EC78CF6" w14:textId="77777777">
        <w:trPr>
          <w:trHeight w:val="200"/>
          <w:tblCellSpacing w:w="15" w:type="dxa"/>
        </w:trPr>
        <w:tc>
          <w:tcPr>
            <w:tcW w:w="0" w:type="auto"/>
            <w:hideMark/>
          </w:tcPr>
          <w:p w14:paraId="51032A69" w14:textId="77777777" w:rsidR="00000000" w:rsidRDefault="003A1B5D">
            <w:pPr>
              <w:pStyle w:val="a3"/>
              <w:spacing w:before="0" w:beforeAutospacing="0" w:after="0" w:afterAutospacing="0"/>
              <w:ind w:left="600"/>
              <w:rPr>
                <w:sz w:val="20"/>
                <w:szCs w:val="20"/>
              </w:rPr>
            </w:pPr>
            <w:r>
              <w:rPr>
                <w:sz w:val="20"/>
                <w:szCs w:val="20"/>
              </w:rPr>
              <w:t>Accounts payable, accrued expenses and other liabilitie</w:t>
            </w:r>
            <w:r>
              <w:rPr>
                <w:sz w:val="20"/>
                <w:szCs w:val="20"/>
              </w:rPr>
              <w:t>s</w:t>
            </w:r>
          </w:p>
        </w:tc>
        <w:tc>
          <w:tcPr>
            <w:tcW w:w="0" w:type="auto"/>
            <w:vAlign w:val="bottom"/>
            <w:hideMark/>
          </w:tcPr>
          <w:p w14:paraId="017EF10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DF0C50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8C35538"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11,97</w:t>
            </w:r>
            <w:r>
              <w:rPr>
                <w:b/>
                <w:bCs/>
                <w:sz w:val="20"/>
                <w:szCs w:val="20"/>
              </w:rPr>
              <w:t>1</w:t>
            </w:r>
          </w:p>
        </w:tc>
        <w:tc>
          <w:tcPr>
            <w:tcW w:w="0" w:type="auto"/>
            <w:noWrap/>
            <w:vAlign w:val="bottom"/>
            <w:hideMark/>
          </w:tcPr>
          <w:p w14:paraId="18A902DD"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26DF90A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9BC611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AE622DE" w14:textId="77777777" w:rsidR="00000000" w:rsidRDefault="003A1B5D">
            <w:pPr>
              <w:pStyle w:val="a3"/>
              <w:spacing w:before="0" w:beforeAutospacing="0" w:after="0" w:afterAutospacing="0"/>
              <w:jc w:val="right"/>
              <w:rPr>
                <w:sz w:val="20"/>
                <w:szCs w:val="20"/>
              </w:rPr>
            </w:pPr>
            <w:r>
              <w:rPr>
                <w:sz w:val="20"/>
                <w:szCs w:val="20"/>
              </w:rPr>
              <w:t>86,76</w:t>
            </w:r>
            <w:r>
              <w:rPr>
                <w:sz w:val="20"/>
                <w:szCs w:val="20"/>
              </w:rPr>
              <w:t>3</w:t>
            </w:r>
          </w:p>
        </w:tc>
        <w:tc>
          <w:tcPr>
            <w:tcW w:w="0" w:type="auto"/>
            <w:noWrap/>
            <w:vAlign w:val="bottom"/>
            <w:hideMark/>
          </w:tcPr>
          <w:p w14:paraId="69D4AB96" w14:textId="77777777" w:rsidR="00000000" w:rsidRDefault="003A1B5D">
            <w:pPr>
              <w:pStyle w:val="a3"/>
              <w:spacing w:before="0" w:beforeAutospacing="0" w:after="0" w:afterAutospacing="0"/>
              <w:rPr>
                <w:sz w:val="20"/>
                <w:szCs w:val="20"/>
              </w:rPr>
            </w:pPr>
            <w:r>
              <w:rPr>
                <w:sz w:val="20"/>
                <w:szCs w:val="20"/>
              </w:rPr>
              <w:t> </w:t>
            </w:r>
          </w:p>
        </w:tc>
      </w:tr>
      <w:tr w:rsidR="00000000" w14:paraId="6AFF0FAC" w14:textId="77777777">
        <w:trPr>
          <w:trHeight w:val="200"/>
          <w:tblCellSpacing w:w="15" w:type="dxa"/>
        </w:trPr>
        <w:tc>
          <w:tcPr>
            <w:tcW w:w="0" w:type="auto"/>
            <w:hideMark/>
          </w:tcPr>
          <w:p w14:paraId="68776952" w14:textId="77777777" w:rsidR="00000000" w:rsidRDefault="003A1B5D">
            <w:pPr>
              <w:pStyle w:val="a3"/>
              <w:spacing w:before="0" w:beforeAutospacing="0" w:after="0" w:afterAutospacing="0"/>
              <w:ind w:left="800"/>
              <w:rPr>
                <w:sz w:val="20"/>
                <w:szCs w:val="20"/>
              </w:rPr>
            </w:pPr>
            <w:r>
              <w:rPr>
                <w:sz w:val="20"/>
                <w:szCs w:val="20"/>
              </w:rPr>
              <w:t>Net cash provided by operating activitie</w:t>
            </w:r>
            <w:r>
              <w:rPr>
                <w:sz w:val="20"/>
                <w:szCs w:val="20"/>
              </w:rPr>
              <w:t>s</w:t>
            </w:r>
          </w:p>
        </w:tc>
        <w:tc>
          <w:tcPr>
            <w:tcW w:w="0" w:type="auto"/>
            <w:vAlign w:val="bottom"/>
            <w:hideMark/>
          </w:tcPr>
          <w:p w14:paraId="4810523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52F099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8906249" w14:textId="77777777" w:rsidR="00000000" w:rsidRDefault="003A1B5D">
            <w:pPr>
              <w:pStyle w:val="a3"/>
              <w:spacing w:before="0" w:beforeAutospacing="0" w:after="0" w:afterAutospacing="0"/>
              <w:jc w:val="right"/>
              <w:rPr>
                <w:sz w:val="20"/>
                <w:szCs w:val="20"/>
              </w:rPr>
            </w:pPr>
            <w:r>
              <w:rPr>
                <w:b/>
                <w:bCs/>
                <w:sz w:val="20"/>
                <w:szCs w:val="20"/>
              </w:rPr>
              <w:t>118,18</w:t>
            </w:r>
            <w:r>
              <w:rPr>
                <w:b/>
                <w:bCs/>
                <w:sz w:val="20"/>
                <w:szCs w:val="20"/>
              </w:rPr>
              <w:t>9</w:t>
            </w:r>
          </w:p>
        </w:tc>
        <w:tc>
          <w:tcPr>
            <w:tcW w:w="0" w:type="auto"/>
            <w:noWrap/>
            <w:vAlign w:val="bottom"/>
            <w:hideMark/>
          </w:tcPr>
          <w:p w14:paraId="061788B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FE4105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B54E21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27203BE" w14:textId="77777777" w:rsidR="00000000" w:rsidRDefault="003A1B5D">
            <w:pPr>
              <w:pStyle w:val="a3"/>
              <w:spacing w:before="0" w:beforeAutospacing="0" w:after="0" w:afterAutospacing="0"/>
              <w:jc w:val="right"/>
              <w:rPr>
                <w:sz w:val="20"/>
                <w:szCs w:val="20"/>
              </w:rPr>
            </w:pPr>
            <w:r>
              <w:rPr>
                <w:sz w:val="20"/>
                <w:szCs w:val="20"/>
              </w:rPr>
              <w:t>284,14</w:t>
            </w:r>
            <w:r>
              <w:rPr>
                <w:sz w:val="20"/>
                <w:szCs w:val="20"/>
              </w:rPr>
              <w:t>1</w:t>
            </w:r>
          </w:p>
        </w:tc>
        <w:tc>
          <w:tcPr>
            <w:tcW w:w="0" w:type="auto"/>
            <w:noWrap/>
            <w:vAlign w:val="bottom"/>
            <w:hideMark/>
          </w:tcPr>
          <w:p w14:paraId="6B0647D8" w14:textId="77777777" w:rsidR="00000000" w:rsidRDefault="003A1B5D">
            <w:pPr>
              <w:pStyle w:val="a3"/>
              <w:spacing w:before="0" w:beforeAutospacing="0" w:after="0" w:afterAutospacing="0"/>
              <w:rPr>
                <w:sz w:val="20"/>
                <w:szCs w:val="20"/>
              </w:rPr>
            </w:pPr>
            <w:r>
              <w:rPr>
                <w:sz w:val="20"/>
                <w:szCs w:val="20"/>
              </w:rPr>
              <w:t> </w:t>
            </w:r>
          </w:p>
        </w:tc>
      </w:tr>
      <w:tr w:rsidR="00000000" w14:paraId="187E6A5F" w14:textId="77777777">
        <w:trPr>
          <w:trHeight w:val="200"/>
          <w:tblCellSpacing w:w="15" w:type="dxa"/>
        </w:trPr>
        <w:tc>
          <w:tcPr>
            <w:tcW w:w="0" w:type="auto"/>
            <w:hideMark/>
          </w:tcPr>
          <w:p w14:paraId="5609211C" w14:textId="77777777" w:rsidR="00000000" w:rsidRDefault="003A1B5D">
            <w:pPr>
              <w:pStyle w:val="a3"/>
              <w:spacing w:before="0" w:beforeAutospacing="0" w:after="0" w:afterAutospacing="0"/>
              <w:rPr>
                <w:sz w:val="20"/>
                <w:szCs w:val="20"/>
              </w:rPr>
            </w:pPr>
            <w:r>
              <w:rPr>
                <w:b/>
                <w:bCs/>
                <w:sz w:val="20"/>
                <w:szCs w:val="20"/>
              </w:rPr>
              <w:t>CASH FLOWS FROM INVESTING ACTIVITIES</w:t>
            </w:r>
            <w:r>
              <w:rPr>
                <w:b/>
                <w:bCs/>
                <w:sz w:val="20"/>
                <w:szCs w:val="20"/>
              </w:rPr>
              <w:t>:</w:t>
            </w:r>
          </w:p>
        </w:tc>
        <w:tc>
          <w:tcPr>
            <w:tcW w:w="0" w:type="auto"/>
            <w:vAlign w:val="bottom"/>
            <w:hideMark/>
          </w:tcPr>
          <w:p w14:paraId="3748111B"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62C4FBCB"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39FC836C"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74A968F"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737EBAFF"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FD8BAAD" w14:textId="77777777" w:rsidR="00000000" w:rsidRDefault="003A1B5D">
            <w:pPr>
              <w:pStyle w:val="a3"/>
              <w:spacing w:before="0" w:beforeAutospacing="0" w:after="0" w:afterAutospacing="0"/>
              <w:jc w:val="right"/>
              <w:rPr>
                <w:sz w:val="20"/>
                <w:szCs w:val="20"/>
              </w:rPr>
            </w:pPr>
            <w:r>
              <w:rPr>
                <w:sz w:val="20"/>
                <w:szCs w:val="20"/>
              </w:rPr>
              <w:t> </w:t>
            </w:r>
          </w:p>
        </w:tc>
      </w:tr>
      <w:tr w:rsidR="00000000" w14:paraId="032EEF83" w14:textId="77777777">
        <w:trPr>
          <w:trHeight w:val="200"/>
          <w:tblCellSpacing w:w="15" w:type="dxa"/>
        </w:trPr>
        <w:tc>
          <w:tcPr>
            <w:tcW w:w="0" w:type="auto"/>
            <w:hideMark/>
          </w:tcPr>
          <w:p w14:paraId="44C38B17" w14:textId="77777777" w:rsidR="00000000" w:rsidRDefault="003A1B5D">
            <w:pPr>
              <w:pStyle w:val="a3"/>
              <w:spacing w:before="0" w:beforeAutospacing="0" w:after="0" w:afterAutospacing="0"/>
              <w:ind w:left="200"/>
              <w:rPr>
                <w:sz w:val="20"/>
                <w:szCs w:val="20"/>
              </w:rPr>
            </w:pPr>
            <w:r>
              <w:rPr>
                <w:sz w:val="20"/>
                <w:szCs w:val="20"/>
              </w:rPr>
              <w:t>Expenditures for facility development and expansion</w:t>
            </w:r>
            <w:r>
              <w:rPr>
                <w:sz w:val="20"/>
                <w:szCs w:val="20"/>
              </w:rPr>
              <w:t>s</w:t>
            </w:r>
          </w:p>
        </w:tc>
        <w:tc>
          <w:tcPr>
            <w:tcW w:w="0" w:type="auto"/>
            <w:vAlign w:val="bottom"/>
            <w:hideMark/>
          </w:tcPr>
          <w:p w14:paraId="1CBBBD4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95866E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F701177"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17,24</w:t>
            </w:r>
            <w:r>
              <w:rPr>
                <w:b/>
                <w:bCs/>
                <w:sz w:val="20"/>
                <w:szCs w:val="20"/>
              </w:rPr>
              <w:t>9</w:t>
            </w:r>
          </w:p>
        </w:tc>
        <w:tc>
          <w:tcPr>
            <w:tcW w:w="0" w:type="auto"/>
            <w:noWrap/>
            <w:vAlign w:val="bottom"/>
            <w:hideMark/>
          </w:tcPr>
          <w:p w14:paraId="095AFDDE"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02C9D60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424ED7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7B5B72E" w14:textId="77777777" w:rsidR="00000000" w:rsidRDefault="003A1B5D">
            <w:pPr>
              <w:pStyle w:val="a3"/>
              <w:spacing w:before="0" w:beforeAutospacing="0" w:after="0" w:afterAutospacing="0"/>
              <w:jc w:val="right"/>
              <w:rPr>
                <w:sz w:val="20"/>
                <w:szCs w:val="20"/>
              </w:rPr>
            </w:pPr>
            <w:r>
              <w:rPr>
                <w:sz w:val="20"/>
                <w:szCs w:val="20"/>
              </w:rPr>
              <w:t>(</w:t>
            </w:r>
            <w:r>
              <w:rPr>
                <w:sz w:val="20"/>
                <w:szCs w:val="20"/>
              </w:rPr>
              <w:t>14,54</w:t>
            </w:r>
            <w:r>
              <w:rPr>
                <w:sz w:val="20"/>
                <w:szCs w:val="20"/>
              </w:rPr>
              <w:t>1</w:t>
            </w:r>
          </w:p>
        </w:tc>
        <w:tc>
          <w:tcPr>
            <w:tcW w:w="0" w:type="auto"/>
            <w:noWrap/>
            <w:vAlign w:val="bottom"/>
            <w:hideMark/>
          </w:tcPr>
          <w:p w14:paraId="41415A38" w14:textId="77777777" w:rsidR="00000000" w:rsidRDefault="003A1B5D">
            <w:pPr>
              <w:pStyle w:val="a3"/>
              <w:spacing w:before="0" w:beforeAutospacing="0" w:after="0" w:afterAutospacing="0"/>
              <w:rPr>
                <w:sz w:val="20"/>
                <w:szCs w:val="20"/>
              </w:rPr>
            </w:pPr>
            <w:r>
              <w:rPr>
                <w:sz w:val="20"/>
                <w:szCs w:val="20"/>
              </w:rPr>
              <w:t>)</w:t>
            </w:r>
          </w:p>
        </w:tc>
      </w:tr>
      <w:tr w:rsidR="00000000" w14:paraId="6D537D3B" w14:textId="77777777">
        <w:trPr>
          <w:trHeight w:val="200"/>
          <w:tblCellSpacing w:w="15" w:type="dxa"/>
        </w:trPr>
        <w:tc>
          <w:tcPr>
            <w:tcW w:w="0" w:type="auto"/>
            <w:hideMark/>
          </w:tcPr>
          <w:p w14:paraId="3AA72DE9" w14:textId="77777777" w:rsidR="00000000" w:rsidRDefault="003A1B5D">
            <w:pPr>
              <w:pStyle w:val="a3"/>
              <w:spacing w:before="0" w:beforeAutospacing="0" w:after="0" w:afterAutospacing="0"/>
              <w:ind w:left="200"/>
              <w:rPr>
                <w:sz w:val="20"/>
                <w:szCs w:val="20"/>
              </w:rPr>
            </w:pPr>
            <w:r>
              <w:rPr>
                <w:sz w:val="20"/>
                <w:szCs w:val="20"/>
              </w:rPr>
              <w:t>Expenditures for other capital improvement</w:t>
            </w:r>
            <w:r>
              <w:rPr>
                <w:sz w:val="20"/>
                <w:szCs w:val="20"/>
              </w:rPr>
              <w:t>s</w:t>
            </w:r>
          </w:p>
        </w:tc>
        <w:tc>
          <w:tcPr>
            <w:tcW w:w="0" w:type="auto"/>
            <w:vAlign w:val="bottom"/>
            <w:hideMark/>
          </w:tcPr>
          <w:p w14:paraId="3A991BC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ECAE9B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974340B"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33,66</w:t>
            </w:r>
            <w:r>
              <w:rPr>
                <w:b/>
                <w:bCs/>
                <w:sz w:val="20"/>
                <w:szCs w:val="20"/>
              </w:rPr>
              <w:t>9</w:t>
            </w:r>
          </w:p>
        </w:tc>
        <w:tc>
          <w:tcPr>
            <w:tcW w:w="0" w:type="auto"/>
            <w:noWrap/>
            <w:vAlign w:val="bottom"/>
            <w:hideMark/>
          </w:tcPr>
          <w:p w14:paraId="29FD76CB"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7BC319B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6BD943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1ECA23B" w14:textId="77777777" w:rsidR="00000000" w:rsidRDefault="003A1B5D">
            <w:pPr>
              <w:pStyle w:val="a3"/>
              <w:spacing w:before="0" w:beforeAutospacing="0" w:after="0" w:afterAutospacing="0"/>
              <w:jc w:val="right"/>
              <w:rPr>
                <w:sz w:val="20"/>
                <w:szCs w:val="20"/>
              </w:rPr>
            </w:pPr>
            <w:r>
              <w:rPr>
                <w:sz w:val="20"/>
                <w:szCs w:val="20"/>
              </w:rPr>
              <w:t>(</w:t>
            </w:r>
            <w:r>
              <w:rPr>
                <w:sz w:val="20"/>
                <w:szCs w:val="20"/>
              </w:rPr>
              <w:t>38,43</w:t>
            </w:r>
            <w:r>
              <w:rPr>
                <w:sz w:val="20"/>
                <w:szCs w:val="20"/>
              </w:rPr>
              <w:t>9</w:t>
            </w:r>
          </w:p>
        </w:tc>
        <w:tc>
          <w:tcPr>
            <w:tcW w:w="0" w:type="auto"/>
            <w:noWrap/>
            <w:vAlign w:val="bottom"/>
            <w:hideMark/>
          </w:tcPr>
          <w:p w14:paraId="5E188281" w14:textId="77777777" w:rsidR="00000000" w:rsidRDefault="003A1B5D">
            <w:pPr>
              <w:pStyle w:val="a3"/>
              <w:spacing w:before="0" w:beforeAutospacing="0" w:after="0" w:afterAutospacing="0"/>
              <w:rPr>
                <w:sz w:val="20"/>
                <w:szCs w:val="20"/>
              </w:rPr>
            </w:pPr>
            <w:r>
              <w:rPr>
                <w:sz w:val="20"/>
                <w:szCs w:val="20"/>
              </w:rPr>
              <w:t>)</w:t>
            </w:r>
          </w:p>
        </w:tc>
      </w:tr>
      <w:tr w:rsidR="00000000" w14:paraId="2C115C59" w14:textId="77777777">
        <w:trPr>
          <w:trHeight w:val="200"/>
          <w:tblCellSpacing w:w="15" w:type="dxa"/>
        </w:trPr>
        <w:tc>
          <w:tcPr>
            <w:tcW w:w="0" w:type="auto"/>
            <w:hideMark/>
          </w:tcPr>
          <w:p w14:paraId="36F82FA1" w14:textId="77777777" w:rsidR="00000000" w:rsidRDefault="003A1B5D">
            <w:pPr>
              <w:pStyle w:val="a3"/>
              <w:spacing w:before="0" w:beforeAutospacing="0" w:after="0" w:afterAutospacing="0"/>
              <w:ind w:left="200"/>
              <w:rPr>
                <w:sz w:val="20"/>
                <w:szCs w:val="20"/>
              </w:rPr>
            </w:pPr>
            <w:r>
              <w:rPr>
                <w:sz w:val="20"/>
                <w:szCs w:val="20"/>
              </w:rPr>
              <w:t>Net proceeds from sale of asset</w:t>
            </w:r>
            <w:r>
              <w:rPr>
                <w:sz w:val="20"/>
                <w:szCs w:val="20"/>
              </w:rPr>
              <w:t>s</w:t>
            </w:r>
          </w:p>
        </w:tc>
        <w:tc>
          <w:tcPr>
            <w:tcW w:w="0" w:type="auto"/>
            <w:vAlign w:val="bottom"/>
            <w:hideMark/>
          </w:tcPr>
          <w:p w14:paraId="6A47FC3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6A4BEA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933B8C1" w14:textId="77777777" w:rsidR="00000000" w:rsidRDefault="003A1B5D">
            <w:pPr>
              <w:pStyle w:val="a3"/>
              <w:spacing w:before="0" w:beforeAutospacing="0" w:after="0" w:afterAutospacing="0"/>
              <w:jc w:val="right"/>
              <w:rPr>
                <w:sz w:val="20"/>
                <w:szCs w:val="20"/>
              </w:rPr>
            </w:pPr>
            <w:r>
              <w:rPr>
                <w:b/>
                <w:bCs/>
                <w:sz w:val="20"/>
                <w:szCs w:val="20"/>
              </w:rPr>
              <w:t>156,16</w:t>
            </w:r>
            <w:r>
              <w:rPr>
                <w:b/>
                <w:bCs/>
                <w:sz w:val="20"/>
                <w:szCs w:val="20"/>
              </w:rPr>
              <w:t>9</w:t>
            </w:r>
          </w:p>
        </w:tc>
        <w:tc>
          <w:tcPr>
            <w:tcW w:w="0" w:type="auto"/>
            <w:noWrap/>
            <w:vAlign w:val="bottom"/>
            <w:hideMark/>
          </w:tcPr>
          <w:p w14:paraId="3043B00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FC42C2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3DE651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5D9723B" w14:textId="77777777" w:rsidR="00000000" w:rsidRDefault="003A1B5D">
            <w:pPr>
              <w:pStyle w:val="a3"/>
              <w:spacing w:before="0" w:beforeAutospacing="0" w:after="0" w:afterAutospacing="0"/>
              <w:jc w:val="right"/>
              <w:rPr>
                <w:sz w:val="20"/>
                <w:szCs w:val="20"/>
              </w:rPr>
            </w:pPr>
            <w:r>
              <w:rPr>
                <w:sz w:val="20"/>
                <w:szCs w:val="20"/>
              </w:rPr>
              <w:t>320,72</w:t>
            </w:r>
            <w:r>
              <w:rPr>
                <w:sz w:val="20"/>
                <w:szCs w:val="20"/>
              </w:rPr>
              <w:t>6</w:t>
            </w:r>
          </w:p>
        </w:tc>
        <w:tc>
          <w:tcPr>
            <w:tcW w:w="0" w:type="auto"/>
            <w:noWrap/>
            <w:vAlign w:val="bottom"/>
            <w:hideMark/>
          </w:tcPr>
          <w:p w14:paraId="12002ED5" w14:textId="77777777" w:rsidR="00000000" w:rsidRDefault="003A1B5D">
            <w:pPr>
              <w:pStyle w:val="a3"/>
              <w:spacing w:before="0" w:beforeAutospacing="0" w:after="0" w:afterAutospacing="0"/>
              <w:rPr>
                <w:sz w:val="20"/>
                <w:szCs w:val="20"/>
              </w:rPr>
            </w:pPr>
            <w:r>
              <w:rPr>
                <w:sz w:val="20"/>
                <w:szCs w:val="20"/>
              </w:rPr>
              <w:t> </w:t>
            </w:r>
          </w:p>
        </w:tc>
      </w:tr>
      <w:tr w:rsidR="00000000" w14:paraId="25AE0E7B" w14:textId="77777777">
        <w:trPr>
          <w:trHeight w:val="200"/>
          <w:tblCellSpacing w:w="15" w:type="dxa"/>
        </w:trPr>
        <w:tc>
          <w:tcPr>
            <w:tcW w:w="0" w:type="auto"/>
            <w:hideMark/>
          </w:tcPr>
          <w:p w14:paraId="31109A4D" w14:textId="77777777" w:rsidR="00000000" w:rsidRDefault="003A1B5D">
            <w:pPr>
              <w:pStyle w:val="a3"/>
              <w:spacing w:before="0" w:beforeAutospacing="0" w:after="0" w:afterAutospacing="0"/>
              <w:ind w:left="200"/>
              <w:rPr>
                <w:sz w:val="20"/>
                <w:szCs w:val="20"/>
              </w:rPr>
            </w:pPr>
            <w:r>
              <w:rPr>
                <w:sz w:val="20"/>
                <w:szCs w:val="20"/>
              </w:rPr>
              <w:t>(Increase) decrease in other asset</w:t>
            </w:r>
            <w:r>
              <w:rPr>
                <w:sz w:val="20"/>
                <w:szCs w:val="20"/>
              </w:rPr>
              <w:t>s</w:t>
            </w:r>
          </w:p>
        </w:tc>
        <w:tc>
          <w:tcPr>
            <w:tcW w:w="0" w:type="auto"/>
            <w:vAlign w:val="bottom"/>
            <w:hideMark/>
          </w:tcPr>
          <w:p w14:paraId="64FC38E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B1F502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B52D364"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3,36</w:t>
            </w:r>
            <w:r>
              <w:rPr>
                <w:b/>
                <w:bCs/>
                <w:sz w:val="20"/>
                <w:szCs w:val="20"/>
              </w:rPr>
              <w:t>3</w:t>
            </w:r>
          </w:p>
        </w:tc>
        <w:tc>
          <w:tcPr>
            <w:tcW w:w="0" w:type="auto"/>
            <w:noWrap/>
            <w:vAlign w:val="bottom"/>
            <w:hideMark/>
          </w:tcPr>
          <w:p w14:paraId="73847A64"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3C58511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32B44C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DF98DCF" w14:textId="77777777" w:rsidR="00000000" w:rsidRDefault="003A1B5D">
            <w:pPr>
              <w:pStyle w:val="a3"/>
              <w:spacing w:before="0" w:beforeAutospacing="0" w:after="0" w:afterAutospacing="0"/>
              <w:jc w:val="right"/>
              <w:rPr>
                <w:sz w:val="20"/>
                <w:szCs w:val="20"/>
              </w:rPr>
            </w:pPr>
            <w:r>
              <w:rPr>
                <w:sz w:val="20"/>
                <w:szCs w:val="20"/>
              </w:rPr>
              <w:t>6,77</w:t>
            </w:r>
            <w:r>
              <w:rPr>
                <w:sz w:val="20"/>
                <w:szCs w:val="20"/>
              </w:rPr>
              <w:t>7</w:t>
            </w:r>
          </w:p>
        </w:tc>
        <w:tc>
          <w:tcPr>
            <w:tcW w:w="0" w:type="auto"/>
            <w:noWrap/>
            <w:vAlign w:val="bottom"/>
            <w:hideMark/>
          </w:tcPr>
          <w:p w14:paraId="79C2150A" w14:textId="77777777" w:rsidR="00000000" w:rsidRDefault="003A1B5D">
            <w:pPr>
              <w:pStyle w:val="a3"/>
              <w:spacing w:before="0" w:beforeAutospacing="0" w:after="0" w:afterAutospacing="0"/>
              <w:rPr>
                <w:sz w:val="20"/>
                <w:szCs w:val="20"/>
              </w:rPr>
            </w:pPr>
            <w:r>
              <w:rPr>
                <w:sz w:val="20"/>
                <w:szCs w:val="20"/>
              </w:rPr>
              <w:t> </w:t>
            </w:r>
          </w:p>
        </w:tc>
      </w:tr>
      <w:tr w:rsidR="00000000" w14:paraId="56DD4F0E" w14:textId="77777777">
        <w:trPr>
          <w:trHeight w:val="200"/>
          <w:tblCellSpacing w:w="15" w:type="dxa"/>
        </w:trPr>
        <w:tc>
          <w:tcPr>
            <w:tcW w:w="0" w:type="auto"/>
            <w:hideMark/>
          </w:tcPr>
          <w:p w14:paraId="216E4340" w14:textId="77777777" w:rsidR="00000000" w:rsidRDefault="003A1B5D">
            <w:pPr>
              <w:pStyle w:val="a3"/>
              <w:spacing w:before="0" w:beforeAutospacing="0" w:after="0" w:afterAutospacing="0"/>
              <w:ind w:left="800"/>
              <w:rPr>
                <w:sz w:val="20"/>
                <w:szCs w:val="20"/>
              </w:rPr>
            </w:pPr>
            <w:r>
              <w:rPr>
                <w:sz w:val="20"/>
                <w:szCs w:val="20"/>
              </w:rPr>
              <w:t>Net cash provid</w:t>
            </w:r>
            <w:r>
              <w:rPr>
                <w:sz w:val="20"/>
                <w:szCs w:val="20"/>
              </w:rPr>
              <w:t>ed by investing activitie</w:t>
            </w:r>
            <w:r>
              <w:rPr>
                <w:sz w:val="20"/>
                <w:szCs w:val="20"/>
              </w:rPr>
              <w:t>s</w:t>
            </w:r>
          </w:p>
        </w:tc>
        <w:tc>
          <w:tcPr>
            <w:tcW w:w="0" w:type="auto"/>
            <w:vAlign w:val="bottom"/>
            <w:hideMark/>
          </w:tcPr>
          <w:p w14:paraId="1E16BB6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92121E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71DBA69" w14:textId="77777777" w:rsidR="00000000" w:rsidRDefault="003A1B5D">
            <w:pPr>
              <w:pStyle w:val="a3"/>
              <w:spacing w:before="0" w:beforeAutospacing="0" w:after="0" w:afterAutospacing="0"/>
              <w:jc w:val="right"/>
              <w:rPr>
                <w:sz w:val="20"/>
                <w:szCs w:val="20"/>
              </w:rPr>
            </w:pPr>
            <w:r>
              <w:rPr>
                <w:b/>
                <w:bCs/>
                <w:sz w:val="20"/>
                <w:szCs w:val="20"/>
              </w:rPr>
              <w:t>101,88</w:t>
            </w:r>
            <w:r>
              <w:rPr>
                <w:b/>
                <w:bCs/>
                <w:sz w:val="20"/>
                <w:szCs w:val="20"/>
              </w:rPr>
              <w:t>8</w:t>
            </w:r>
          </w:p>
        </w:tc>
        <w:tc>
          <w:tcPr>
            <w:tcW w:w="0" w:type="auto"/>
            <w:noWrap/>
            <w:vAlign w:val="bottom"/>
            <w:hideMark/>
          </w:tcPr>
          <w:p w14:paraId="0A8529C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1A0BD1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E83EB1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5DF6864" w14:textId="77777777" w:rsidR="00000000" w:rsidRDefault="003A1B5D">
            <w:pPr>
              <w:pStyle w:val="a3"/>
              <w:spacing w:before="0" w:beforeAutospacing="0" w:after="0" w:afterAutospacing="0"/>
              <w:jc w:val="right"/>
              <w:rPr>
                <w:sz w:val="20"/>
                <w:szCs w:val="20"/>
              </w:rPr>
            </w:pPr>
            <w:r>
              <w:rPr>
                <w:sz w:val="20"/>
                <w:szCs w:val="20"/>
              </w:rPr>
              <w:t>274,52</w:t>
            </w:r>
            <w:r>
              <w:rPr>
                <w:sz w:val="20"/>
                <w:szCs w:val="20"/>
              </w:rPr>
              <w:t>3</w:t>
            </w:r>
          </w:p>
        </w:tc>
        <w:tc>
          <w:tcPr>
            <w:tcW w:w="0" w:type="auto"/>
            <w:noWrap/>
            <w:vAlign w:val="bottom"/>
            <w:hideMark/>
          </w:tcPr>
          <w:p w14:paraId="06B4884B" w14:textId="77777777" w:rsidR="00000000" w:rsidRDefault="003A1B5D">
            <w:pPr>
              <w:pStyle w:val="a3"/>
              <w:spacing w:before="0" w:beforeAutospacing="0" w:after="0" w:afterAutospacing="0"/>
              <w:rPr>
                <w:sz w:val="20"/>
                <w:szCs w:val="20"/>
              </w:rPr>
            </w:pPr>
            <w:r>
              <w:rPr>
                <w:sz w:val="20"/>
                <w:szCs w:val="20"/>
              </w:rPr>
              <w:t> </w:t>
            </w:r>
          </w:p>
        </w:tc>
      </w:tr>
      <w:tr w:rsidR="00000000" w14:paraId="3D7F2322" w14:textId="77777777">
        <w:trPr>
          <w:trHeight w:val="200"/>
          <w:tblCellSpacing w:w="15" w:type="dxa"/>
        </w:trPr>
        <w:tc>
          <w:tcPr>
            <w:tcW w:w="0" w:type="auto"/>
            <w:hideMark/>
          </w:tcPr>
          <w:p w14:paraId="032EB391" w14:textId="77777777" w:rsidR="00000000" w:rsidRDefault="003A1B5D">
            <w:pPr>
              <w:pStyle w:val="a3"/>
              <w:spacing w:before="0" w:beforeAutospacing="0" w:after="0" w:afterAutospacing="0"/>
              <w:rPr>
                <w:sz w:val="20"/>
                <w:szCs w:val="20"/>
              </w:rPr>
            </w:pPr>
            <w:r>
              <w:rPr>
                <w:b/>
                <w:bCs/>
                <w:sz w:val="20"/>
                <w:szCs w:val="20"/>
              </w:rPr>
              <w:t>CASH FLOWS FROM FINANCING ACTIVITIES</w:t>
            </w:r>
            <w:r>
              <w:rPr>
                <w:b/>
                <w:bCs/>
                <w:sz w:val="20"/>
                <w:szCs w:val="20"/>
              </w:rPr>
              <w:t>:</w:t>
            </w:r>
          </w:p>
        </w:tc>
        <w:tc>
          <w:tcPr>
            <w:tcW w:w="0" w:type="auto"/>
            <w:vAlign w:val="bottom"/>
            <w:hideMark/>
          </w:tcPr>
          <w:p w14:paraId="31AB6F3C"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18D71510"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0E4FBD24"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417B5A4"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3CA02AD2"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679796C0" w14:textId="77777777" w:rsidR="00000000" w:rsidRDefault="003A1B5D">
            <w:pPr>
              <w:pStyle w:val="a3"/>
              <w:spacing w:before="0" w:beforeAutospacing="0" w:after="0" w:afterAutospacing="0"/>
              <w:jc w:val="right"/>
              <w:rPr>
                <w:sz w:val="20"/>
                <w:szCs w:val="20"/>
              </w:rPr>
            </w:pPr>
            <w:r>
              <w:rPr>
                <w:sz w:val="20"/>
                <w:szCs w:val="20"/>
              </w:rPr>
              <w:t> </w:t>
            </w:r>
          </w:p>
        </w:tc>
      </w:tr>
      <w:tr w:rsidR="00000000" w14:paraId="165C7D3A" w14:textId="77777777">
        <w:trPr>
          <w:trHeight w:val="200"/>
          <w:tblCellSpacing w:w="15" w:type="dxa"/>
        </w:trPr>
        <w:tc>
          <w:tcPr>
            <w:tcW w:w="0" w:type="auto"/>
            <w:hideMark/>
          </w:tcPr>
          <w:p w14:paraId="5173B1F5" w14:textId="77777777" w:rsidR="00000000" w:rsidRDefault="003A1B5D">
            <w:pPr>
              <w:pStyle w:val="a3"/>
              <w:spacing w:before="0" w:beforeAutospacing="0" w:after="0" w:afterAutospacing="0"/>
              <w:ind w:left="200"/>
              <w:rPr>
                <w:sz w:val="20"/>
                <w:szCs w:val="20"/>
              </w:rPr>
            </w:pPr>
            <w:r>
              <w:rPr>
                <w:sz w:val="20"/>
                <w:szCs w:val="20"/>
              </w:rPr>
              <w:t>Proceeds from issuance of deb</w:t>
            </w:r>
            <w:r>
              <w:rPr>
                <w:sz w:val="20"/>
                <w:szCs w:val="20"/>
              </w:rPr>
              <w:t>t</w:t>
            </w:r>
          </w:p>
        </w:tc>
        <w:tc>
          <w:tcPr>
            <w:tcW w:w="0" w:type="auto"/>
            <w:vAlign w:val="bottom"/>
            <w:hideMark/>
          </w:tcPr>
          <w:p w14:paraId="5E7EDF5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44AF68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AE17949" w14:textId="77777777" w:rsidR="00000000" w:rsidRDefault="003A1B5D">
            <w:pPr>
              <w:pStyle w:val="a3"/>
              <w:spacing w:before="0" w:beforeAutospacing="0" w:after="0" w:afterAutospacing="0"/>
              <w:jc w:val="right"/>
              <w:rPr>
                <w:sz w:val="20"/>
                <w:szCs w:val="20"/>
              </w:rPr>
            </w:pPr>
            <w:r>
              <w:rPr>
                <w:b/>
                <w:bCs/>
                <w:sz w:val="20"/>
                <w:szCs w:val="20"/>
              </w:rPr>
              <w:t>100,00</w:t>
            </w:r>
            <w:r>
              <w:rPr>
                <w:b/>
                <w:bCs/>
                <w:sz w:val="20"/>
                <w:szCs w:val="20"/>
              </w:rPr>
              <w:t>0</w:t>
            </w:r>
          </w:p>
        </w:tc>
        <w:tc>
          <w:tcPr>
            <w:tcW w:w="0" w:type="auto"/>
            <w:noWrap/>
            <w:vAlign w:val="bottom"/>
            <w:hideMark/>
          </w:tcPr>
          <w:p w14:paraId="06F694E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CBA276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C87301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94D356D" w14:textId="77777777" w:rsidR="00000000" w:rsidRDefault="003A1B5D">
            <w:pPr>
              <w:pStyle w:val="a3"/>
              <w:spacing w:before="0" w:beforeAutospacing="0" w:after="0" w:afterAutospacing="0"/>
              <w:jc w:val="right"/>
              <w:rPr>
                <w:sz w:val="20"/>
                <w:szCs w:val="20"/>
              </w:rPr>
            </w:pPr>
            <w:r>
              <w:rPr>
                <w:sz w:val="20"/>
                <w:szCs w:val="20"/>
              </w:rPr>
              <w:t>740,56</w:t>
            </w:r>
            <w:r>
              <w:rPr>
                <w:sz w:val="20"/>
                <w:szCs w:val="20"/>
              </w:rPr>
              <w:t>3</w:t>
            </w:r>
          </w:p>
        </w:tc>
        <w:tc>
          <w:tcPr>
            <w:tcW w:w="0" w:type="auto"/>
            <w:noWrap/>
            <w:vAlign w:val="bottom"/>
            <w:hideMark/>
          </w:tcPr>
          <w:p w14:paraId="22078A97" w14:textId="77777777" w:rsidR="00000000" w:rsidRDefault="003A1B5D">
            <w:pPr>
              <w:pStyle w:val="a3"/>
              <w:spacing w:before="0" w:beforeAutospacing="0" w:after="0" w:afterAutospacing="0"/>
              <w:rPr>
                <w:sz w:val="20"/>
                <w:szCs w:val="20"/>
              </w:rPr>
            </w:pPr>
            <w:r>
              <w:rPr>
                <w:sz w:val="20"/>
                <w:szCs w:val="20"/>
              </w:rPr>
              <w:t> </w:t>
            </w:r>
          </w:p>
        </w:tc>
      </w:tr>
      <w:tr w:rsidR="00000000" w14:paraId="28C0166E" w14:textId="77777777">
        <w:trPr>
          <w:trHeight w:val="200"/>
          <w:tblCellSpacing w:w="15" w:type="dxa"/>
        </w:trPr>
        <w:tc>
          <w:tcPr>
            <w:tcW w:w="0" w:type="auto"/>
            <w:hideMark/>
          </w:tcPr>
          <w:p w14:paraId="753CE0A6" w14:textId="77777777" w:rsidR="00000000" w:rsidRDefault="003A1B5D">
            <w:pPr>
              <w:pStyle w:val="a3"/>
              <w:spacing w:before="0" w:beforeAutospacing="0" w:after="0" w:afterAutospacing="0"/>
              <w:ind w:left="200"/>
              <w:rPr>
                <w:sz w:val="20"/>
                <w:szCs w:val="20"/>
              </w:rPr>
            </w:pPr>
            <w:r>
              <w:rPr>
                <w:sz w:val="20"/>
                <w:szCs w:val="20"/>
              </w:rPr>
              <w:t>Scheduled principal repayment</w:t>
            </w:r>
            <w:r>
              <w:rPr>
                <w:sz w:val="20"/>
                <w:szCs w:val="20"/>
              </w:rPr>
              <w:t>s</w:t>
            </w:r>
          </w:p>
        </w:tc>
        <w:tc>
          <w:tcPr>
            <w:tcW w:w="0" w:type="auto"/>
            <w:vAlign w:val="bottom"/>
            <w:hideMark/>
          </w:tcPr>
          <w:p w14:paraId="3B83448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5E9C5F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45D62E9"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12,66</w:t>
            </w:r>
            <w:r>
              <w:rPr>
                <w:b/>
                <w:bCs/>
                <w:sz w:val="20"/>
                <w:szCs w:val="20"/>
              </w:rPr>
              <w:t>4</w:t>
            </w:r>
          </w:p>
        </w:tc>
        <w:tc>
          <w:tcPr>
            <w:tcW w:w="0" w:type="auto"/>
            <w:noWrap/>
            <w:vAlign w:val="bottom"/>
            <w:hideMark/>
          </w:tcPr>
          <w:p w14:paraId="6DA862FA"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FEA04F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FCD19D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A648000" w14:textId="77777777" w:rsidR="00000000" w:rsidRDefault="003A1B5D">
            <w:pPr>
              <w:pStyle w:val="a3"/>
              <w:spacing w:before="0" w:beforeAutospacing="0" w:after="0" w:afterAutospacing="0"/>
              <w:jc w:val="right"/>
              <w:rPr>
                <w:sz w:val="20"/>
                <w:szCs w:val="20"/>
              </w:rPr>
            </w:pPr>
            <w:r>
              <w:rPr>
                <w:sz w:val="20"/>
                <w:szCs w:val="20"/>
              </w:rPr>
              <w:t>(</w:t>
            </w:r>
            <w:r>
              <w:rPr>
                <w:sz w:val="20"/>
                <w:szCs w:val="20"/>
              </w:rPr>
              <w:t>27,40</w:t>
            </w:r>
            <w:r>
              <w:rPr>
                <w:sz w:val="20"/>
                <w:szCs w:val="20"/>
              </w:rPr>
              <w:t>9</w:t>
            </w:r>
          </w:p>
        </w:tc>
        <w:tc>
          <w:tcPr>
            <w:tcW w:w="0" w:type="auto"/>
            <w:noWrap/>
            <w:vAlign w:val="bottom"/>
            <w:hideMark/>
          </w:tcPr>
          <w:p w14:paraId="7C8F83CC" w14:textId="77777777" w:rsidR="00000000" w:rsidRDefault="003A1B5D">
            <w:pPr>
              <w:pStyle w:val="a3"/>
              <w:spacing w:before="0" w:beforeAutospacing="0" w:after="0" w:afterAutospacing="0"/>
              <w:rPr>
                <w:sz w:val="20"/>
                <w:szCs w:val="20"/>
              </w:rPr>
            </w:pPr>
            <w:r>
              <w:rPr>
                <w:sz w:val="20"/>
                <w:szCs w:val="20"/>
              </w:rPr>
              <w:t>)</w:t>
            </w:r>
          </w:p>
        </w:tc>
      </w:tr>
      <w:tr w:rsidR="00000000" w14:paraId="559AB56C" w14:textId="77777777">
        <w:trPr>
          <w:trHeight w:val="200"/>
          <w:tblCellSpacing w:w="15" w:type="dxa"/>
        </w:trPr>
        <w:tc>
          <w:tcPr>
            <w:tcW w:w="0" w:type="auto"/>
            <w:hideMark/>
          </w:tcPr>
          <w:p w14:paraId="6C295466" w14:textId="77777777" w:rsidR="00000000" w:rsidRDefault="003A1B5D">
            <w:pPr>
              <w:pStyle w:val="a3"/>
              <w:spacing w:before="0" w:beforeAutospacing="0" w:after="0" w:afterAutospacing="0"/>
              <w:ind w:left="200"/>
              <w:rPr>
                <w:sz w:val="20"/>
                <w:szCs w:val="20"/>
              </w:rPr>
            </w:pPr>
            <w:r>
              <w:rPr>
                <w:sz w:val="20"/>
                <w:szCs w:val="20"/>
              </w:rPr>
              <w:t>Principal repayments of credit facilit</w:t>
            </w:r>
            <w:r>
              <w:rPr>
                <w:sz w:val="20"/>
                <w:szCs w:val="20"/>
              </w:rPr>
              <w:t>y</w:t>
            </w:r>
          </w:p>
        </w:tc>
        <w:tc>
          <w:tcPr>
            <w:tcW w:w="0" w:type="auto"/>
            <w:vAlign w:val="bottom"/>
            <w:hideMark/>
          </w:tcPr>
          <w:p w14:paraId="0897B01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E4C011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4D347F9" w14:textId="77777777" w:rsidR="00000000" w:rsidRDefault="003A1B5D">
            <w:pPr>
              <w:pStyle w:val="a3"/>
              <w:spacing w:before="0" w:beforeAutospacing="0" w:after="0" w:afterAutospacing="0"/>
              <w:jc w:val="right"/>
              <w:rPr>
                <w:sz w:val="20"/>
                <w:szCs w:val="20"/>
              </w:rPr>
            </w:pPr>
            <w:r>
              <w:rPr>
                <w:b/>
                <w:bCs/>
                <w:sz w:val="20"/>
                <w:szCs w:val="20"/>
              </w:rPr>
              <w:t>—</w:t>
            </w:r>
          </w:p>
        </w:tc>
        <w:tc>
          <w:tcPr>
            <w:tcW w:w="0" w:type="auto"/>
            <w:noWrap/>
            <w:vAlign w:val="bottom"/>
            <w:hideMark/>
          </w:tcPr>
          <w:p w14:paraId="387CC2C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549CD7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B5B773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EFA3D6C" w14:textId="77777777" w:rsidR="00000000" w:rsidRDefault="003A1B5D">
            <w:pPr>
              <w:pStyle w:val="a3"/>
              <w:spacing w:before="0" w:beforeAutospacing="0" w:after="0" w:afterAutospacing="0"/>
              <w:jc w:val="right"/>
              <w:rPr>
                <w:sz w:val="20"/>
                <w:szCs w:val="20"/>
              </w:rPr>
            </w:pPr>
            <w:r>
              <w:rPr>
                <w:sz w:val="20"/>
                <w:szCs w:val="20"/>
              </w:rPr>
              <w:t>(</w:t>
            </w:r>
            <w:r>
              <w:rPr>
                <w:sz w:val="20"/>
                <w:szCs w:val="20"/>
              </w:rPr>
              <w:t>284,00</w:t>
            </w:r>
            <w:r>
              <w:rPr>
                <w:sz w:val="20"/>
                <w:szCs w:val="20"/>
              </w:rPr>
              <w:t>0</w:t>
            </w:r>
          </w:p>
        </w:tc>
        <w:tc>
          <w:tcPr>
            <w:tcW w:w="0" w:type="auto"/>
            <w:noWrap/>
            <w:vAlign w:val="bottom"/>
            <w:hideMark/>
          </w:tcPr>
          <w:p w14:paraId="01131F0C" w14:textId="77777777" w:rsidR="00000000" w:rsidRDefault="003A1B5D">
            <w:pPr>
              <w:pStyle w:val="a3"/>
              <w:spacing w:before="0" w:beforeAutospacing="0" w:after="0" w:afterAutospacing="0"/>
              <w:rPr>
                <w:sz w:val="20"/>
                <w:szCs w:val="20"/>
              </w:rPr>
            </w:pPr>
            <w:r>
              <w:rPr>
                <w:sz w:val="20"/>
                <w:szCs w:val="20"/>
              </w:rPr>
              <w:t>)</w:t>
            </w:r>
          </w:p>
        </w:tc>
      </w:tr>
      <w:tr w:rsidR="00000000" w14:paraId="0C49455D" w14:textId="77777777">
        <w:trPr>
          <w:trHeight w:val="200"/>
          <w:tblCellSpacing w:w="15" w:type="dxa"/>
        </w:trPr>
        <w:tc>
          <w:tcPr>
            <w:tcW w:w="0" w:type="auto"/>
            <w:hideMark/>
          </w:tcPr>
          <w:p w14:paraId="2B2ED491" w14:textId="77777777" w:rsidR="00000000" w:rsidRDefault="003A1B5D">
            <w:pPr>
              <w:pStyle w:val="a3"/>
              <w:spacing w:before="0" w:beforeAutospacing="0" w:after="0" w:afterAutospacing="0"/>
              <w:ind w:left="200"/>
              <w:rPr>
                <w:sz w:val="20"/>
                <w:szCs w:val="20"/>
              </w:rPr>
            </w:pPr>
            <w:r>
              <w:rPr>
                <w:sz w:val="20"/>
                <w:szCs w:val="20"/>
              </w:rPr>
              <w:t>Repayment of non-recourse mortgage note</w:t>
            </w:r>
            <w:r>
              <w:rPr>
                <w:sz w:val="20"/>
                <w:szCs w:val="20"/>
              </w:rPr>
              <w:t>s</w:t>
            </w:r>
          </w:p>
        </w:tc>
        <w:tc>
          <w:tcPr>
            <w:tcW w:w="0" w:type="auto"/>
            <w:vAlign w:val="bottom"/>
            <w:hideMark/>
          </w:tcPr>
          <w:p w14:paraId="3E9D85E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C27F1B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3702BA1" w14:textId="77777777" w:rsidR="00000000" w:rsidRDefault="003A1B5D">
            <w:pPr>
              <w:pStyle w:val="a3"/>
              <w:spacing w:before="0" w:beforeAutospacing="0" w:after="0" w:afterAutospacing="0"/>
              <w:jc w:val="right"/>
              <w:rPr>
                <w:sz w:val="20"/>
                <w:szCs w:val="20"/>
              </w:rPr>
            </w:pPr>
            <w:r>
              <w:rPr>
                <w:b/>
                <w:bCs/>
                <w:sz w:val="20"/>
                <w:szCs w:val="20"/>
              </w:rPr>
              <w:t>—</w:t>
            </w:r>
          </w:p>
        </w:tc>
        <w:tc>
          <w:tcPr>
            <w:tcW w:w="0" w:type="auto"/>
            <w:noWrap/>
            <w:vAlign w:val="bottom"/>
            <w:hideMark/>
          </w:tcPr>
          <w:p w14:paraId="6146A3E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E0A4AF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BEA466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59C06FC" w14:textId="77777777" w:rsidR="00000000" w:rsidRDefault="003A1B5D">
            <w:pPr>
              <w:pStyle w:val="a3"/>
              <w:spacing w:before="0" w:beforeAutospacing="0" w:after="0" w:afterAutospacing="0"/>
              <w:jc w:val="right"/>
              <w:rPr>
                <w:sz w:val="20"/>
                <w:szCs w:val="20"/>
              </w:rPr>
            </w:pPr>
            <w:r>
              <w:rPr>
                <w:sz w:val="20"/>
                <w:szCs w:val="20"/>
              </w:rPr>
              <w:t>(</w:t>
            </w:r>
            <w:r>
              <w:rPr>
                <w:sz w:val="20"/>
                <w:szCs w:val="20"/>
              </w:rPr>
              <w:t>161,93</w:t>
            </w:r>
            <w:r>
              <w:rPr>
                <w:sz w:val="20"/>
                <w:szCs w:val="20"/>
              </w:rPr>
              <w:t>0</w:t>
            </w:r>
          </w:p>
        </w:tc>
        <w:tc>
          <w:tcPr>
            <w:tcW w:w="0" w:type="auto"/>
            <w:noWrap/>
            <w:vAlign w:val="bottom"/>
            <w:hideMark/>
          </w:tcPr>
          <w:p w14:paraId="4DC4A70C" w14:textId="77777777" w:rsidR="00000000" w:rsidRDefault="003A1B5D">
            <w:pPr>
              <w:pStyle w:val="a3"/>
              <w:spacing w:before="0" w:beforeAutospacing="0" w:after="0" w:afterAutospacing="0"/>
              <w:rPr>
                <w:sz w:val="20"/>
                <w:szCs w:val="20"/>
              </w:rPr>
            </w:pPr>
            <w:r>
              <w:rPr>
                <w:sz w:val="20"/>
                <w:szCs w:val="20"/>
              </w:rPr>
              <w:t>)</w:t>
            </w:r>
          </w:p>
        </w:tc>
      </w:tr>
      <w:tr w:rsidR="00000000" w14:paraId="43757F73" w14:textId="77777777">
        <w:trPr>
          <w:trHeight w:val="200"/>
          <w:tblCellSpacing w:w="15" w:type="dxa"/>
        </w:trPr>
        <w:tc>
          <w:tcPr>
            <w:tcW w:w="0" w:type="auto"/>
            <w:hideMark/>
          </w:tcPr>
          <w:p w14:paraId="71F6B7A1" w14:textId="77777777" w:rsidR="00000000" w:rsidRDefault="003A1B5D">
            <w:pPr>
              <w:pStyle w:val="a3"/>
              <w:spacing w:before="0" w:beforeAutospacing="0" w:after="0" w:afterAutospacing="0"/>
              <w:ind w:left="200"/>
              <w:rPr>
                <w:sz w:val="20"/>
                <w:szCs w:val="20"/>
              </w:rPr>
            </w:pPr>
            <w:r>
              <w:rPr>
                <w:sz w:val="20"/>
                <w:szCs w:val="20"/>
              </w:rPr>
              <w:t>Other repayments of deb</w:t>
            </w:r>
            <w:r>
              <w:rPr>
                <w:sz w:val="20"/>
                <w:szCs w:val="20"/>
              </w:rPr>
              <w:t>t</w:t>
            </w:r>
          </w:p>
        </w:tc>
        <w:tc>
          <w:tcPr>
            <w:tcW w:w="0" w:type="auto"/>
            <w:vAlign w:val="bottom"/>
            <w:hideMark/>
          </w:tcPr>
          <w:p w14:paraId="20EF9A3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2FB29A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87911E8"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332,15</w:t>
            </w:r>
            <w:r>
              <w:rPr>
                <w:b/>
                <w:bCs/>
                <w:sz w:val="20"/>
                <w:szCs w:val="20"/>
              </w:rPr>
              <w:t>9</w:t>
            </w:r>
          </w:p>
        </w:tc>
        <w:tc>
          <w:tcPr>
            <w:tcW w:w="0" w:type="auto"/>
            <w:noWrap/>
            <w:vAlign w:val="bottom"/>
            <w:hideMark/>
          </w:tcPr>
          <w:p w14:paraId="77B0B3E4"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50F21E0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376B11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B754C5A" w14:textId="77777777" w:rsidR="00000000" w:rsidRDefault="003A1B5D">
            <w:pPr>
              <w:pStyle w:val="a3"/>
              <w:spacing w:before="0" w:beforeAutospacing="0" w:after="0" w:afterAutospacing="0"/>
              <w:jc w:val="right"/>
              <w:rPr>
                <w:sz w:val="20"/>
                <w:szCs w:val="20"/>
              </w:rPr>
            </w:pPr>
            <w:r>
              <w:rPr>
                <w:sz w:val="20"/>
                <w:szCs w:val="20"/>
              </w:rPr>
              <w:t>(</w:t>
            </w:r>
            <w:r>
              <w:rPr>
                <w:sz w:val="20"/>
                <w:szCs w:val="20"/>
              </w:rPr>
              <w:t>425,98</w:t>
            </w:r>
            <w:r>
              <w:rPr>
                <w:sz w:val="20"/>
                <w:szCs w:val="20"/>
              </w:rPr>
              <w:t>8</w:t>
            </w:r>
          </w:p>
        </w:tc>
        <w:tc>
          <w:tcPr>
            <w:tcW w:w="0" w:type="auto"/>
            <w:noWrap/>
            <w:vAlign w:val="bottom"/>
            <w:hideMark/>
          </w:tcPr>
          <w:p w14:paraId="4DFECFC4" w14:textId="77777777" w:rsidR="00000000" w:rsidRDefault="003A1B5D">
            <w:pPr>
              <w:pStyle w:val="a3"/>
              <w:spacing w:before="0" w:beforeAutospacing="0" w:after="0" w:afterAutospacing="0"/>
              <w:rPr>
                <w:sz w:val="20"/>
                <w:szCs w:val="20"/>
              </w:rPr>
            </w:pPr>
            <w:r>
              <w:rPr>
                <w:sz w:val="20"/>
                <w:szCs w:val="20"/>
              </w:rPr>
              <w:t>)</w:t>
            </w:r>
          </w:p>
        </w:tc>
      </w:tr>
      <w:tr w:rsidR="00000000" w14:paraId="29D61904" w14:textId="77777777">
        <w:trPr>
          <w:trHeight w:val="200"/>
          <w:tblCellSpacing w:w="15" w:type="dxa"/>
        </w:trPr>
        <w:tc>
          <w:tcPr>
            <w:tcW w:w="0" w:type="auto"/>
            <w:hideMark/>
          </w:tcPr>
          <w:p w14:paraId="0DA7322D" w14:textId="77777777" w:rsidR="00000000" w:rsidRDefault="003A1B5D">
            <w:pPr>
              <w:pStyle w:val="a3"/>
              <w:spacing w:before="0" w:beforeAutospacing="0" w:after="0" w:afterAutospacing="0"/>
              <w:ind w:left="200"/>
              <w:rPr>
                <w:sz w:val="20"/>
                <w:szCs w:val="20"/>
              </w:rPr>
            </w:pPr>
            <w:r>
              <w:rPr>
                <w:sz w:val="20"/>
                <w:szCs w:val="20"/>
              </w:rPr>
              <w:t>Payment of debt defeasance, issuance and other refinancing and related cost</w:t>
            </w:r>
            <w:r>
              <w:rPr>
                <w:sz w:val="20"/>
                <w:szCs w:val="20"/>
              </w:rPr>
              <w:t>s</w:t>
            </w:r>
          </w:p>
        </w:tc>
        <w:tc>
          <w:tcPr>
            <w:tcW w:w="0" w:type="auto"/>
            <w:vAlign w:val="bottom"/>
            <w:hideMark/>
          </w:tcPr>
          <w:p w14:paraId="623CA23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B27145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543D540"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6,40</w:t>
            </w:r>
            <w:r>
              <w:rPr>
                <w:b/>
                <w:bCs/>
                <w:sz w:val="20"/>
                <w:szCs w:val="20"/>
              </w:rPr>
              <w:t>2</w:t>
            </w:r>
          </w:p>
        </w:tc>
        <w:tc>
          <w:tcPr>
            <w:tcW w:w="0" w:type="auto"/>
            <w:noWrap/>
            <w:vAlign w:val="bottom"/>
            <w:hideMark/>
          </w:tcPr>
          <w:p w14:paraId="0658BFF6"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15C8ED5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845626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8DC7CFA" w14:textId="77777777" w:rsidR="00000000" w:rsidRDefault="003A1B5D">
            <w:pPr>
              <w:pStyle w:val="a3"/>
              <w:spacing w:before="0" w:beforeAutospacing="0" w:after="0" w:afterAutospacing="0"/>
              <w:jc w:val="right"/>
              <w:rPr>
                <w:sz w:val="20"/>
                <w:szCs w:val="20"/>
              </w:rPr>
            </w:pPr>
            <w:r>
              <w:rPr>
                <w:sz w:val="20"/>
                <w:szCs w:val="20"/>
              </w:rPr>
              <w:t>(</w:t>
            </w:r>
            <w:r>
              <w:rPr>
                <w:sz w:val="20"/>
                <w:szCs w:val="20"/>
              </w:rPr>
              <w:t>64,42</w:t>
            </w:r>
            <w:r>
              <w:rPr>
                <w:sz w:val="20"/>
                <w:szCs w:val="20"/>
              </w:rPr>
              <w:t>5</w:t>
            </w:r>
          </w:p>
        </w:tc>
        <w:tc>
          <w:tcPr>
            <w:tcW w:w="0" w:type="auto"/>
            <w:noWrap/>
            <w:vAlign w:val="bottom"/>
            <w:hideMark/>
          </w:tcPr>
          <w:p w14:paraId="3DB37D2E" w14:textId="77777777" w:rsidR="00000000" w:rsidRDefault="003A1B5D">
            <w:pPr>
              <w:pStyle w:val="a3"/>
              <w:spacing w:before="0" w:beforeAutospacing="0" w:after="0" w:afterAutospacing="0"/>
              <w:rPr>
                <w:sz w:val="20"/>
                <w:szCs w:val="20"/>
              </w:rPr>
            </w:pPr>
            <w:r>
              <w:rPr>
                <w:sz w:val="20"/>
                <w:szCs w:val="20"/>
              </w:rPr>
              <w:t>)</w:t>
            </w:r>
          </w:p>
        </w:tc>
      </w:tr>
      <w:tr w:rsidR="00000000" w14:paraId="54FC67C9" w14:textId="77777777">
        <w:trPr>
          <w:trHeight w:val="200"/>
          <w:tblCellSpacing w:w="15" w:type="dxa"/>
        </w:trPr>
        <w:tc>
          <w:tcPr>
            <w:tcW w:w="0" w:type="auto"/>
            <w:hideMark/>
          </w:tcPr>
          <w:p w14:paraId="158A76FD" w14:textId="77777777" w:rsidR="00000000" w:rsidRDefault="003A1B5D">
            <w:pPr>
              <w:pStyle w:val="a3"/>
              <w:spacing w:before="0" w:beforeAutospacing="0" w:after="0" w:afterAutospacing="0"/>
              <w:ind w:left="200"/>
              <w:rPr>
                <w:sz w:val="20"/>
                <w:szCs w:val="20"/>
              </w:rPr>
            </w:pPr>
            <w:r>
              <w:rPr>
                <w:sz w:val="20"/>
                <w:szCs w:val="20"/>
              </w:rPr>
              <w:t>Payment of lease obligations for financing lease</w:t>
            </w:r>
            <w:r>
              <w:rPr>
                <w:sz w:val="20"/>
                <w:szCs w:val="20"/>
              </w:rPr>
              <w:t>s</w:t>
            </w:r>
          </w:p>
        </w:tc>
        <w:tc>
          <w:tcPr>
            <w:tcW w:w="0" w:type="auto"/>
            <w:vAlign w:val="bottom"/>
            <w:hideMark/>
          </w:tcPr>
          <w:p w14:paraId="7C0374C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BA4620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C511E60"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43</w:t>
            </w:r>
            <w:r>
              <w:rPr>
                <w:b/>
                <w:bCs/>
                <w:sz w:val="20"/>
                <w:szCs w:val="20"/>
              </w:rPr>
              <w:t>2</w:t>
            </w:r>
          </w:p>
        </w:tc>
        <w:tc>
          <w:tcPr>
            <w:tcW w:w="0" w:type="auto"/>
            <w:noWrap/>
            <w:vAlign w:val="bottom"/>
            <w:hideMark/>
          </w:tcPr>
          <w:p w14:paraId="2F072A6F"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40F3AAD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EED844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8F9260F" w14:textId="77777777" w:rsidR="00000000" w:rsidRDefault="003A1B5D">
            <w:pPr>
              <w:pStyle w:val="a3"/>
              <w:spacing w:before="0" w:beforeAutospacing="0" w:after="0" w:afterAutospacing="0"/>
              <w:jc w:val="right"/>
              <w:rPr>
                <w:sz w:val="20"/>
                <w:szCs w:val="20"/>
              </w:rPr>
            </w:pPr>
            <w:r>
              <w:rPr>
                <w:sz w:val="20"/>
                <w:szCs w:val="20"/>
              </w:rPr>
              <w:t>(</w:t>
            </w:r>
            <w:r>
              <w:rPr>
                <w:sz w:val="20"/>
                <w:szCs w:val="20"/>
              </w:rPr>
              <w:t>41</w:t>
            </w:r>
            <w:r>
              <w:rPr>
                <w:sz w:val="20"/>
                <w:szCs w:val="20"/>
              </w:rPr>
              <w:t>8</w:t>
            </w:r>
          </w:p>
        </w:tc>
        <w:tc>
          <w:tcPr>
            <w:tcW w:w="0" w:type="auto"/>
            <w:noWrap/>
            <w:vAlign w:val="bottom"/>
            <w:hideMark/>
          </w:tcPr>
          <w:p w14:paraId="6935EE1B" w14:textId="77777777" w:rsidR="00000000" w:rsidRDefault="003A1B5D">
            <w:pPr>
              <w:pStyle w:val="a3"/>
              <w:spacing w:before="0" w:beforeAutospacing="0" w:after="0" w:afterAutospacing="0"/>
              <w:rPr>
                <w:sz w:val="20"/>
                <w:szCs w:val="20"/>
              </w:rPr>
            </w:pPr>
            <w:r>
              <w:rPr>
                <w:sz w:val="20"/>
                <w:szCs w:val="20"/>
              </w:rPr>
              <w:t>)</w:t>
            </w:r>
          </w:p>
        </w:tc>
      </w:tr>
      <w:tr w:rsidR="00000000" w14:paraId="714173EA" w14:textId="77777777">
        <w:trPr>
          <w:trHeight w:val="200"/>
          <w:tblCellSpacing w:w="15" w:type="dxa"/>
        </w:trPr>
        <w:tc>
          <w:tcPr>
            <w:tcW w:w="0" w:type="auto"/>
            <w:hideMark/>
          </w:tcPr>
          <w:p w14:paraId="72266C06" w14:textId="77777777" w:rsidR="00000000" w:rsidRDefault="003A1B5D">
            <w:pPr>
              <w:pStyle w:val="a3"/>
              <w:spacing w:before="0" w:beforeAutospacing="0" w:after="0" w:afterAutospacing="0"/>
              <w:ind w:left="200"/>
              <w:rPr>
                <w:sz w:val="20"/>
                <w:szCs w:val="20"/>
              </w:rPr>
            </w:pPr>
            <w:r>
              <w:rPr>
                <w:sz w:val="20"/>
                <w:szCs w:val="20"/>
              </w:rPr>
              <w:t>Contingent consideration for acquisition of busines</w:t>
            </w:r>
            <w:r>
              <w:rPr>
                <w:sz w:val="20"/>
                <w:szCs w:val="20"/>
              </w:rPr>
              <w:t>s</w:t>
            </w:r>
          </w:p>
        </w:tc>
        <w:tc>
          <w:tcPr>
            <w:tcW w:w="0" w:type="auto"/>
            <w:vAlign w:val="bottom"/>
            <w:hideMark/>
          </w:tcPr>
          <w:p w14:paraId="470B127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ED176C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4C614DF" w14:textId="77777777" w:rsidR="00000000" w:rsidRDefault="003A1B5D">
            <w:pPr>
              <w:pStyle w:val="a3"/>
              <w:spacing w:before="0" w:beforeAutospacing="0" w:after="0" w:afterAutospacing="0"/>
              <w:jc w:val="right"/>
              <w:rPr>
                <w:sz w:val="20"/>
                <w:szCs w:val="20"/>
              </w:rPr>
            </w:pPr>
            <w:r>
              <w:rPr>
                <w:b/>
                <w:bCs/>
                <w:sz w:val="20"/>
                <w:szCs w:val="20"/>
              </w:rPr>
              <w:t>—</w:t>
            </w:r>
          </w:p>
        </w:tc>
        <w:tc>
          <w:tcPr>
            <w:tcW w:w="0" w:type="auto"/>
            <w:noWrap/>
            <w:vAlign w:val="bottom"/>
            <w:hideMark/>
          </w:tcPr>
          <w:p w14:paraId="0E1B766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E9AC4A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27830F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7FA25F9" w14:textId="77777777" w:rsidR="00000000" w:rsidRDefault="003A1B5D">
            <w:pPr>
              <w:pStyle w:val="a3"/>
              <w:spacing w:before="0" w:beforeAutospacing="0" w:after="0" w:afterAutospacing="0"/>
              <w:jc w:val="right"/>
              <w:rPr>
                <w:sz w:val="20"/>
                <w:szCs w:val="20"/>
              </w:rPr>
            </w:pPr>
            <w:r>
              <w:rPr>
                <w:sz w:val="20"/>
                <w:szCs w:val="20"/>
              </w:rPr>
              <w:t>(</w:t>
            </w:r>
            <w:r>
              <w:rPr>
                <w:sz w:val="20"/>
                <w:szCs w:val="20"/>
              </w:rPr>
              <w:t>1,00</w:t>
            </w:r>
            <w:r>
              <w:rPr>
                <w:sz w:val="20"/>
                <w:szCs w:val="20"/>
              </w:rPr>
              <w:t>0</w:t>
            </w:r>
          </w:p>
        </w:tc>
        <w:tc>
          <w:tcPr>
            <w:tcW w:w="0" w:type="auto"/>
            <w:noWrap/>
            <w:vAlign w:val="bottom"/>
            <w:hideMark/>
          </w:tcPr>
          <w:p w14:paraId="528FC9E7" w14:textId="77777777" w:rsidR="00000000" w:rsidRDefault="003A1B5D">
            <w:pPr>
              <w:pStyle w:val="a3"/>
              <w:spacing w:before="0" w:beforeAutospacing="0" w:after="0" w:afterAutospacing="0"/>
              <w:rPr>
                <w:sz w:val="20"/>
                <w:szCs w:val="20"/>
              </w:rPr>
            </w:pPr>
            <w:r>
              <w:rPr>
                <w:sz w:val="20"/>
                <w:szCs w:val="20"/>
              </w:rPr>
              <w:t>)</w:t>
            </w:r>
          </w:p>
        </w:tc>
      </w:tr>
      <w:tr w:rsidR="00000000" w14:paraId="7480429A" w14:textId="77777777">
        <w:trPr>
          <w:trHeight w:val="200"/>
          <w:tblCellSpacing w:w="15" w:type="dxa"/>
        </w:trPr>
        <w:tc>
          <w:tcPr>
            <w:tcW w:w="0" w:type="auto"/>
            <w:hideMark/>
          </w:tcPr>
          <w:p w14:paraId="7708BF68" w14:textId="77777777" w:rsidR="00000000" w:rsidRDefault="003A1B5D">
            <w:pPr>
              <w:pStyle w:val="a3"/>
              <w:spacing w:before="0" w:beforeAutospacing="0" w:after="0" w:afterAutospacing="0"/>
              <w:ind w:left="200"/>
              <w:rPr>
                <w:sz w:val="20"/>
                <w:szCs w:val="20"/>
              </w:rPr>
            </w:pPr>
            <w:r>
              <w:rPr>
                <w:sz w:val="20"/>
                <w:szCs w:val="20"/>
              </w:rPr>
              <w:t>Dividends paid on RSU</w:t>
            </w:r>
            <w:r>
              <w:rPr>
                <w:sz w:val="20"/>
                <w:szCs w:val="20"/>
              </w:rPr>
              <w:t>s</w:t>
            </w:r>
          </w:p>
        </w:tc>
        <w:tc>
          <w:tcPr>
            <w:tcW w:w="0" w:type="auto"/>
            <w:vAlign w:val="bottom"/>
            <w:hideMark/>
          </w:tcPr>
          <w:p w14:paraId="25A3EC1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CA5438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B1CD16A"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88</w:t>
            </w:r>
            <w:r>
              <w:rPr>
                <w:b/>
                <w:bCs/>
                <w:sz w:val="20"/>
                <w:szCs w:val="20"/>
              </w:rPr>
              <w:t>6</w:t>
            </w:r>
          </w:p>
        </w:tc>
        <w:tc>
          <w:tcPr>
            <w:tcW w:w="0" w:type="auto"/>
            <w:noWrap/>
            <w:vAlign w:val="bottom"/>
            <w:hideMark/>
          </w:tcPr>
          <w:p w14:paraId="6B9A7F89"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211B952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A3669C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4844132" w14:textId="77777777" w:rsidR="00000000" w:rsidRDefault="003A1B5D">
            <w:pPr>
              <w:pStyle w:val="a3"/>
              <w:spacing w:before="0" w:beforeAutospacing="0" w:after="0" w:afterAutospacing="0"/>
              <w:jc w:val="right"/>
              <w:rPr>
                <w:sz w:val="20"/>
                <w:szCs w:val="20"/>
              </w:rPr>
            </w:pPr>
            <w:r>
              <w:rPr>
                <w:sz w:val="20"/>
                <w:szCs w:val="20"/>
              </w:rPr>
              <w:t>(</w:t>
            </w:r>
            <w:r>
              <w:rPr>
                <w:sz w:val="20"/>
                <w:szCs w:val="20"/>
              </w:rPr>
              <w:t>2,50</w:t>
            </w:r>
            <w:r>
              <w:rPr>
                <w:sz w:val="20"/>
                <w:szCs w:val="20"/>
              </w:rPr>
              <w:t>8</w:t>
            </w:r>
          </w:p>
        </w:tc>
        <w:tc>
          <w:tcPr>
            <w:tcW w:w="0" w:type="auto"/>
            <w:noWrap/>
            <w:vAlign w:val="bottom"/>
            <w:hideMark/>
          </w:tcPr>
          <w:p w14:paraId="70C5EF75" w14:textId="77777777" w:rsidR="00000000" w:rsidRDefault="003A1B5D">
            <w:pPr>
              <w:pStyle w:val="a3"/>
              <w:spacing w:before="0" w:beforeAutospacing="0" w:after="0" w:afterAutospacing="0"/>
              <w:rPr>
                <w:sz w:val="20"/>
                <w:szCs w:val="20"/>
              </w:rPr>
            </w:pPr>
            <w:r>
              <w:rPr>
                <w:sz w:val="20"/>
                <w:szCs w:val="20"/>
              </w:rPr>
              <w:t>)</w:t>
            </w:r>
          </w:p>
        </w:tc>
      </w:tr>
      <w:tr w:rsidR="00000000" w14:paraId="73F5F84F" w14:textId="77777777">
        <w:trPr>
          <w:trHeight w:val="200"/>
          <w:tblCellSpacing w:w="15" w:type="dxa"/>
        </w:trPr>
        <w:tc>
          <w:tcPr>
            <w:tcW w:w="0" w:type="auto"/>
            <w:hideMark/>
          </w:tcPr>
          <w:p w14:paraId="77880BBF" w14:textId="77777777" w:rsidR="00000000" w:rsidRDefault="003A1B5D">
            <w:pPr>
              <w:pStyle w:val="a3"/>
              <w:spacing w:before="0" w:beforeAutospacing="0" w:after="0" w:afterAutospacing="0"/>
              <w:ind w:left="200"/>
              <w:rPr>
                <w:sz w:val="20"/>
                <w:szCs w:val="20"/>
              </w:rPr>
            </w:pPr>
            <w:r>
              <w:rPr>
                <w:sz w:val="20"/>
                <w:szCs w:val="20"/>
              </w:rPr>
              <w:t>Purchase and retirement of common stoc</w:t>
            </w:r>
            <w:r>
              <w:rPr>
                <w:sz w:val="20"/>
                <w:szCs w:val="20"/>
              </w:rPr>
              <w:t>k</w:t>
            </w:r>
          </w:p>
        </w:tc>
        <w:tc>
          <w:tcPr>
            <w:tcW w:w="0" w:type="auto"/>
            <w:vAlign w:val="bottom"/>
            <w:hideMark/>
          </w:tcPr>
          <w:p w14:paraId="39379DB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5A95A2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CF4759D"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79,08</w:t>
            </w:r>
            <w:r>
              <w:rPr>
                <w:b/>
                <w:bCs/>
                <w:sz w:val="20"/>
                <w:szCs w:val="20"/>
              </w:rPr>
              <w:t>0</w:t>
            </w:r>
          </w:p>
        </w:tc>
        <w:tc>
          <w:tcPr>
            <w:tcW w:w="0" w:type="auto"/>
            <w:noWrap/>
            <w:vAlign w:val="bottom"/>
            <w:hideMark/>
          </w:tcPr>
          <w:p w14:paraId="7950F401"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31ADC0D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1CB3F3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D45BFCF" w14:textId="77777777" w:rsidR="00000000" w:rsidRDefault="003A1B5D">
            <w:pPr>
              <w:pStyle w:val="a3"/>
              <w:spacing w:before="0" w:beforeAutospacing="0" w:after="0" w:afterAutospacing="0"/>
              <w:jc w:val="right"/>
              <w:rPr>
                <w:sz w:val="20"/>
                <w:szCs w:val="20"/>
              </w:rPr>
            </w:pPr>
            <w:r>
              <w:rPr>
                <w:sz w:val="20"/>
                <w:szCs w:val="20"/>
              </w:rPr>
              <w:t>(</w:t>
            </w:r>
            <w:r>
              <w:rPr>
                <w:sz w:val="20"/>
                <w:szCs w:val="20"/>
              </w:rPr>
              <w:t>1,63</w:t>
            </w:r>
            <w:r>
              <w:rPr>
                <w:sz w:val="20"/>
                <w:szCs w:val="20"/>
              </w:rPr>
              <w:t>9</w:t>
            </w:r>
          </w:p>
        </w:tc>
        <w:tc>
          <w:tcPr>
            <w:tcW w:w="0" w:type="auto"/>
            <w:noWrap/>
            <w:vAlign w:val="bottom"/>
            <w:hideMark/>
          </w:tcPr>
          <w:p w14:paraId="17DC27F7" w14:textId="77777777" w:rsidR="00000000" w:rsidRDefault="003A1B5D">
            <w:pPr>
              <w:pStyle w:val="a3"/>
              <w:spacing w:before="0" w:beforeAutospacing="0" w:after="0" w:afterAutospacing="0"/>
              <w:rPr>
                <w:sz w:val="20"/>
                <w:szCs w:val="20"/>
              </w:rPr>
            </w:pPr>
            <w:r>
              <w:rPr>
                <w:sz w:val="20"/>
                <w:szCs w:val="20"/>
              </w:rPr>
              <w:t>)</w:t>
            </w:r>
          </w:p>
        </w:tc>
      </w:tr>
      <w:tr w:rsidR="00000000" w14:paraId="1834BB93" w14:textId="77777777">
        <w:trPr>
          <w:trHeight w:val="200"/>
          <w:tblCellSpacing w:w="15" w:type="dxa"/>
        </w:trPr>
        <w:tc>
          <w:tcPr>
            <w:tcW w:w="0" w:type="auto"/>
            <w:hideMark/>
          </w:tcPr>
          <w:p w14:paraId="3E43D6C6" w14:textId="77777777" w:rsidR="00000000" w:rsidRDefault="003A1B5D">
            <w:pPr>
              <w:pStyle w:val="a3"/>
              <w:spacing w:before="0" w:beforeAutospacing="0" w:after="0" w:afterAutospacing="0"/>
              <w:ind w:left="800"/>
              <w:rPr>
                <w:sz w:val="20"/>
                <w:szCs w:val="20"/>
              </w:rPr>
            </w:pPr>
            <w:r>
              <w:rPr>
                <w:sz w:val="20"/>
                <w:szCs w:val="20"/>
              </w:rPr>
              <w:t>Net cash used in financing activitie</w:t>
            </w:r>
            <w:r>
              <w:rPr>
                <w:sz w:val="20"/>
                <w:szCs w:val="20"/>
              </w:rPr>
              <w:t>s</w:t>
            </w:r>
          </w:p>
        </w:tc>
        <w:tc>
          <w:tcPr>
            <w:tcW w:w="0" w:type="auto"/>
            <w:vAlign w:val="bottom"/>
            <w:hideMark/>
          </w:tcPr>
          <w:p w14:paraId="4B934F4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D565A5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4D3E6B7"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331,62</w:t>
            </w:r>
            <w:r>
              <w:rPr>
                <w:b/>
                <w:bCs/>
                <w:sz w:val="20"/>
                <w:szCs w:val="20"/>
              </w:rPr>
              <w:t>3</w:t>
            </w:r>
          </w:p>
        </w:tc>
        <w:tc>
          <w:tcPr>
            <w:tcW w:w="0" w:type="auto"/>
            <w:noWrap/>
            <w:vAlign w:val="bottom"/>
            <w:hideMark/>
          </w:tcPr>
          <w:p w14:paraId="7046B5BF"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3B7543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B27080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36B5E36" w14:textId="77777777" w:rsidR="00000000" w:rsidRDefault="003A1B5D">
            <w:pPr>
              <w:pStyle w:val="a3"/>
              <w:spacing w:before="0" w:beforeAutospacing="0" w:after="0" w:afterAutospacing="0"/>
              <w:jc w:val="right"/>
              <w:rPr>
                <w:sz w:val="20"/>
                <w:szCs w:val="20"/>
              </w:rPr>
            </w:pPr>
            <w:r>
              <w:rPr>
                <w:sz w:val="20"/>
                <w:szCs w:val="20"/>
              </w:rPr>
              <w:t>(</w:t>
            </w:r>
            <w:r>
              <w:rPr>
                <w:sz w:val="20"/>
                <w:szCs w:val="20"/>
              </w:rPr>
              <w:t>228,75</w:t>
            </w:r>
            <w:r>
              <w:rPr>
                <w:sz w:val="20"/>
                <w:szCs w:val="20"/>
              </w:rPr>
              <w:t>4</w:t>
            </w:r>
          </w:p>
        </w:tc>
        <w:tc>
          <w:tcPr>
            <w:tcW w:w="0" w:type="auto"/>
            <w:noWrap/>
            <w:vAlign w:val="bottom"/>
            <w:hideMark/>
          </w:tcPr>
          <w:p w14:paraId="790A38DF" w14:textId="77777777" w:rsidR="00000000" w:rsidRDefault="003A1B5D">
            <w:pPr>
              <w:pStyle w:val="a3"/>
              <w:spacing w:before="0" w:beforeAutospacing="0" w:after="0" w:afterAutospacing="0"/>
              <w:rPr>
                <w:sz w:val="20"/>
                <w:szCs w:val="20"/>
              </w:rPr>
            </w:pPr>
            <w:r>
              <w:rPr>
                <w:sz w:val="20"/>
                <w:szCs w:val="20"/>
              </w:rPr>
              <w:t>)</w:t>
            </w:r>
          </w:p>
        </w:tc>
      </w:tr>
      <w:tr w:rsidR="00000000" w14:paraId="1EA2E73F" w14:textId="77777777">
        <w:trPr>
          <w:trHeight w:val="200"/>
          <w:tblCellSpacing w:w="15" w:type="dxa"/>
        </w:trPr>
        <w:tc>
          <w:tcPr>
            <w:tcW w:w="0" w:type="auto"/>
            <w:hideMark/>
          </w:tcPr>
          <w:p w14:paraId="3A0CB3EB" w14:textId="77777777" w:rsidR="00000000" w:rsidRDefault="003A1B5D">
            <w:pPr>
              <w:pStyle w:val="a3"/>
              <w:spacing w:before="0" w:beforeAutospacing="0" w:after="0" w:afterAutospacing="0"/>
              <w:rPr>
                <w:sz w:val="20"/>
                <w:szCs w:val="20"/>
              </w:rPr>
            </w:pPr>
            <w:r>
              <w:rPr>
                <w:b/>
                <w:bCs/>
                <w:sz w:val="20"/>
                <w:szCs w:val="20"/>
              </w:rPr>
              <w:t>NET INCREASE (DECREASE) IN CASH, CASH EQUIVALENTS AND</w:t>
            </w:r>
            <w:r>
              <w:rPr>
                <w:b/>
                <w:bCs/>
                <w:sz w:val="20"/>
                <w:szCs w:val="20"/>
              </w:rPr>
              <w:br/>
              <w:t>      RESTRICTED CAS</w:t>
            </w:r>
            <w:r>
              <w:rPr>
                <w:b/>
                <w:bCs/>
                <w:sz w:val="20"/>
                <w:szCs w:val="20"/>
              </w:rPr>
              <w:t>H</w:t>
            </w:r>
          </w:p>
        </w:tc>
        <w:tc>
          <w:tcPr>
            <w:tcW w:w="0" w:type="auto"/>
            <w:vAlign w:val="bottom"/>
            <w:hideMark/>
          </w:tcPr>
          <w:p w14:paraId="145F1D1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FEB78E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789502B"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111,54</w:t>
            </w:r>
            <w:r>
              <w:rPr>
                <w:b/>
                <w:bCs/>
                <w:sz w:val="20"/>
                <w:szCs w:val="20"/>
              </w:rPr>
              <w:t>6</w:t>
            </w:r>
          </w:p>
        </w:tc>
        <w:tc>
          <w:tcPr>
            <w:tcW w:w="0" w:type="auto"/>
            <w:noWrap/>
            <w:vAlign w:val="bottom"/>
            <w:hideMark/>
          </w:tcPr>
          <w:p w14:paraId="59D541D5"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54B7BC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BD803E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91B0F8F" w14:textId="77777777" w:rsidR="00000000" w:rsidRDefault="003A1B5D">
            <w:pPr>
              <w:pStyle w:val="a3"/>
              <w:spacing w:before="0" w:beforeAutospacing="0" w:after="0" w:afterAutospacing="0"/>
              <w:jc w:val="right"/>
              <w:rPr>
                <w:sz w:val="20"/>
                <w:szCs w:val="20"/>
              </w:rPr>
            </w:pPr>
            <w:r>
              <w:rPr>
                <w:sz w:val="20"/>
                <w:szCs w:val="20"/>
              </w:rPr>
              <w:t>329,91</w:t>
            </w:r>
            <w:r>
              <w:rPr>
                <w:sz w:val="20"/>
                <w:szCs w:val="20"/>
              </w:rPr>
              <w:t>0</w:t>
            </w:r>
          </w:p>
        </w:tc>
        <w:tc>
          <w:tcPr>
            <w:tcW w:w="0" w:type="auto"/>
            <w:noWrap/>
            <w:vAlign w:val="bottom"/>
            <w:hideMark/>
          </w:tcPr>
          <w:p w14:paraId="2E30BBD7" w14:textId="77777777" w:rsidR="00000000" w:rsidRDefault="003A1B5D">
            <w:pPr>
              <w:pStyle w:val="a3"/>
              <w:spacing w:before="0" w:beforeAutospacing="0" w:after="0" w:afterAutospacing="0"/>
              <w:rPr>
                <w:sz w:val="20"/>
                <w:szCs w:val="20"/>
              </w:rPr>
            </w:pPr>
            <w:r>
              <w:rPr>
                <w:sz w:val="20"/>
                <w:szCs w:val="20"/>
              </w:rPr>
              <w:t> </w:t>
            </w:r>
          </w:p>
        </w:tc>
      </w:tr>
      <w:tr w:rsidR="00000000" w14:paraId="2F4822FD" w14:textId="77777777">
        <w:trPr>
          <w:trHeight w:val="200"/>
          <w:tblCellSpacing w:w="15" w:type="dxa"/>
        </w:trPr>
        <w:tc>
          <w:tcPr>
            <w:tcW w:w="0" w:type="auto"/>
            <w:hideMark/>
          </w:tcPr>
          <w:p w14:paraId="6A8E21F1" w14:textId="77777777" w:rsidR="00000000" w:rsidRDefault="003A1B5D">
            <w:pPr>
              <w:pStyle w:val="a3"/>
              <w:spacing w:before="0" w:beforeAutospacing="0" w:after="0" w:afterAutospacing="0"/>
              <w:rPr>
                <w:sz w:val="20"/>
                <w:szCs w:val="20"/>
              </w:rPr>
            </w:pPr>
            <w:r>
              <w:rPr>
                <w:b/>
                <w:bCs/>
                <w:sz w:val="20"/>
                <w:szCs w:val="20"/>
              </w:rPr>
              <w:t>CASH, CASH EQUIVALENTS AND RESTRICTED CASH, beginning of perio</w:t>
            </w:r>
            <w:r>
              <w:rPr>
                <w:b/>
                <w:bCs/>
                <w:sz w:val="20"/>
                <w:szCs w:val="20"/>
              </w:rPr>
              <w:t>d</w:t>
            </w:r>
          </w:p>
        </w:tc>
        <w:tc>
          <w:tcPr>
            <w:tcW w:w="0" w:type="auto"/>
            <w:vAlign w:val="bottom"/>
            <w:hideMark/>
          </w:tcPr>
          <w:p w14:paraId="69B9146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C4FDAC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E88E2B4" w14:textId="77777777" w:rsidR="00000000" w:rsidRDefault="003A1B5D">
            <w:pPr>
              <w:pStyle w:val="a3"/>
              <w:spacing w:before="0" w:beforeAutospacing="0" w:after="0" w:afterAutospacing="0"/>
              <w:jc w:val="right"/>
              <w:rPr>
                <w:sz w:val="20"/>
                <w:szCs w:val="20"/>
              </w:rPr>
            </w:pPr>
            <w:r>
              <w:rPr>
                <w:b/>
                <w:bCs/>
                <w:sz w:val="20"/>
                <w:szCs w:val="20"/>
              </w:rPr>
              <w:t>310,70</w:t>
            </w:r>
            <w:r>
              <w:rPr>
                <w:b/>
                <w:bCs/>
                <w:sz w:val="20"/>
                <w:szCs w:val="20"/>
              </w:rPr>
              <w:t>7</w:t>
            </w:r>
          </w:p>
        </w:tc>
        <w:tc>
          <w:tcPr>
            <w:tcW w:w="0" w:type="auto"/>
            <w:noWrap/>
            <w:vAlign w:val="bottom"/>
            <w:hideMark/>
          </w:tcPr>
          <w:p w14:paraId="046DE82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76F4AE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3993EA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904A7F7" w14:textId="77777777" w:rsidR="00000000" w:rsidRDefault="003A1B5D">
            <w:pPr>
              <w:pStyle w:val="a3"/>
              <w:spacing w:before="0" w:beforeAutospacing="0" w:after="0" w:afterAutospacing="0"/>
              <w:jc w:val="right"/>
              <w:rPr>
                <w:sz w:val="20"/>
                <w:szCs w:val="20"/>
              </w:rPr>
            </w:pPr>
            <w:r>
              <w:rPr>
                <w:sz w:val="20"/>
                <w:szCs w:val="20"/>
              </w:rPr>
              <w:t>136,76</w:t>
            </w:r>
            <w:r>
              <w:rPr>
                <w:sz w:val="20"/>
                <w:szCs w:val="20"/>
              </w:rPr>
              <w:t>8</w:t>
            </w:r>
          </w:p>
        </w:tc>
        <w:tc>
          <w:tcPr>
            <w:tcW w:w="0" w:type="auto"/>
            <w:noWrap/>
            <w:vAlign w:val="bottom"/>
            <w:hideMark/>
          </w:tcPr>
          <w:p w14:paraId="02AC83C7" w14:textId="77777777" w:rsidR="00000000" w:rsidRDefault="003A1B5D">
            <w:pPr>
              <w:pStyle w:val="a3"/>
              <w:spacing w:before="0" w:beforeAutospacing="0" w:after="0" w:afterAutospacing="0"/>
              <w:rPr>
                <w:sz w:val="20"/>
                <w:szCs w:val="20"/>
              </w:rPr>
            </w:pPr>
            <w:r>
              <w:rPr>
                <w:sz w:val="20"/>
                <w:szCs w:val="20"/>
              </w:rPr>
              <w:t> </w:t>
            </w:r>
          </w:p>
        </w:tc>
      </w:tr>
      <w:tr w:rsidR="00000000" w14:paraId="549B3301" w14:textId="77777777">
        <w:trPr>
          <w:trHeight w:val="200"/>
          <w:tblCellSpacing w:w="15" w:type="dxa"/>
        </w:trPr>
        <w:tc>
          <w:tcPr>
            <w:tcW w:w="0" w:type="auto"/>
            <w:hideMark/>
          </w:tcPr>
          <w:p w14:paraId="7D731881" w14:textId="77777777" w:rsidR="00000000" w:rsidRDefault="003A1B5D">
            <w:pPr>
              <w:pStyle w:val="a3"/>
              <w:spacing w:before="0" w:beforeAutospacing="0" w:after="0" w:afterAutospacing="0"/>
              <w:rPr>
                <w:sz w:val="20"/>
                <w:szCs w:val="20"/>
              </w:rPr>
            </w:pPr>
            <w:r>
              <w:rPr>
                <w:b/>
                <w:bCs/>
                <w:sz w:val="20"/>
                <w:szCs w:val="20"/>
              </w:rPr>
              <w:t>CASH, CASH EQUIVALENTS AND RESTRICTED CASH, end of perio</w:t>
            </w:r>
            <w:r>
              <w:rPr>
                <w:b/>
                <w:bCs/>
                <w:sz w:val="20"/>
                <w:szCs w:val="20"/>
              </w:rPr>
              <w:t>d</w:t>
            </w:r>
          </w:p>
        </w:tc>
        <w:tc>
          <w:tcPr>
            <w:tcW w:w="0" w:type="auto"/>
            <w:vAlign w:val="bottom"/>
            <w:hideMark/>
          </w:tcPr>
          <w:p w14:paraId="4380007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09F2CA7"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1580BE77" w14:textId="77777777" w:rsidR="00000000" w:rsidRDefault="003A1B5D">
            <w:pPr>
              <w:pStyle w:val="a3"/>
              <w:spacing w:before="0" w:beforeAutospacing="0" w:after="0" w:afterAutospacing="0"/>
              <w:jc w:val="right"/>
              <w:rPr>
                <w:sz w:val="20"/>
                <w:szCs w:val="20"/>
              </w:rPr>
            </w:pPr>
            <w:r>
              <w:rPr>
                <w:b/>
                <w:bCs/>
                <w:sz w:val="20"/>
                <w:szCs w:val="20"/>
              </w:rPr>
              <w:t>199,16</w:t>
            </w:r>
            <w:r>
              <w:rPr>
                <w:b/>
                <w:bCs/>
                <w:sz w:val="20"/>
                <w:szCs w:val="20"/>
              </w:rPr>
              <w:t>1</w:t>
            </w:r>
          </w:p>
        </w:tc>
        <w:tc>
          <w:tcPr>
            <w:tcW w:w="0" w:type="auto"/>
            <w:noWrap/>
            <w:vAlign w:val="bottom"/>
            <w:hideMark/>
          </w:tcPr>
          <w:p w14:paraId="07178CC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D7FCAC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A9378D5"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268F47DE" w14:textId="77777777" w:rsidR="00000000" w:rsidRDefault="003A1B5D">
            <w:pPr>
              <w:pStyle w:val="a3"/>
              <w:spacing w:before="0" w:beforeAutospacing="0" w:after="0" w:afterAutospacing="0"/>
              <w:jc w:val="right"/>
              <w:rPr>
                <w:sz w:val="20"/>
                <w:szCs w:val="20"/>
              </w:rPr>
            </w:pPr>
            <w:r>
              <w:rPr>
                <w:sz w:val="20"/>
                <w:szCs w:val="20"/>
              </w:rPr>
              <w:t>466,67</w:t>
            </w:r>
            <w:r>
              <w:rPr>
                <w:sz w:val="20"/>
                <w:szCs w:val="20"/>
              </w:rPr>
              <w:t>8</w:t>
            </w:r>
          </w:p>
        </w:tc>
        <w:tc>
          <w:tcPr>
            <w:tcW w:w="0" w:type="auto"/>
            <w:noWrap/>
            <w:vAlign w:val="bottom"/>
            <w:hideMark/>
          </w:tcPr>
          <w:p w14:paraId="61C4C3DF" w14:textId="77777777" w:rsidR="00000000" w:rsidRDefault="003A1B5D">
            <w:pPr>
              <w:pStyle w:val="a3"/>
              <w:spacing w:before="0" w:beforeAutospacing="0" w:after="0" w:afterAutospacing="0"/>
              <w:rPr>
                <w:sz w:val="20"/>
                <w:szCs w:val="20"/>
              </w:rPr>
            </w:pPr>
            <w:r>
              <w:rPr>
                <w:sz w:val="20"/>
                <w:szCs w:val="20"/>
              </w:rPr>
              <w:t> </w:t>
            </w:r>
          </w:p>
        </w:tc>
      </w:tr>
      <w:tr w:rsidR="00000000" w14:paraId="06A36F6D" w14:textId="77777777">
        <w:trPr>
          <w:trHeight w:val="200"/>
          <w:tblCellSpacing w:w="15" w:type="dxa"/>
        </w:trPr>
        <w:tc>
          <w:tcPr>
            <w:tcW w:w="0" w:type="auto"/>
            <w:hideMark/>
          </w:tcPr>
          <w:p w14:paraId="610083E7" w14:textId="77777777" w:rsidR="00000000" w:rsidRDefault="003A1B5D">
            <w:pPr>
              <w:pStyle w:val="a3"/>
              <w:spacing w:before="0" w:beforeAutospacing="0" w:after="0" w:afterAutospacing="0"/>
              <w:rPr>
                <w:sz w:val="20"/>
                <w:szCs w:val="20"/>
              </w:rPr>
            </w:pPr>
            <w:r>
              <w:rPr>
                <w:b/>
                <w:bCs/>
                <w:sz w:val="20"/>
                <w:szCs w:val="20"/>
              </w:rPr>
              <w:t>NON-CASH INVESTING AND FINANCING ACTIVITIE</w:t>
            </w:r>
            <w:r>
              <w:rPr>
                <w:b/>
                <w:bCs/>
                <w:sz w:val="20"/>
                <w:szCs w:val="20"/>
              </w:rPr>
              <w:t>S</w:t>
            </w:r>
          </w:p>
        </w:tc>
        <w:tc>
          <w:tcPr>
            <w:tcW w:w="0" w:type="auto"/>
            <w:vAlign w:val="bottom"/>
            <w:hideMark/>
          </w:tcPr>
          <w:p w14:paraId="6BD12D40"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52C1E583"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738EB6C4"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450677C9"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242E3A28"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1C79C5BC" w14:textId="77777777" w:rsidR="00000000" w:rsidRDefault="003A1B5D">
            <w:pPr>
              <w:pStyle w:val="a3"/>
              <w:spacing w:before="0" w:beforeAutospacing="0" w:after="0" w:afterAutospacing="0"/>
              <w:jc w:val="right"/>
              <w:rPr>
                <w:sz w:val="20"/>
                <w:szCs w:val="20"/>
              </w:rPr>
            </w:pPr>
            <w:r>
              <w:rPr>
                <w:sz w:val="20"/>
                <w:szCs w:val="20"/>
              </w:rPr>
              <w:t> </w:t>
            </w:r>
          </w:p>
        </w:tc>
      </w:tr>
      <w:tr w:rsidR="00000000" w14:paraId="6DD5BC3E" w14:textId="77777777">
        <w:trPr>
          <w:trHeight w:val="200"/>
          <w:tblCellSpacing w:w="15" w:type="dxa"/>
        </w:trPr>
        <w:tc>
          <w:tcPr>
            <w:tcW w:w="0" w:type="auto"/>
            <w:hideMark/>
          </w:tcPr>
          <w:p w14:paraId="46F66FEE" w14:textId="77777777" w:rsidR="00000000" w:rsidRDefault="003A1B5D">
            <w:pPr>
              <w:pStyle w:val="a3"/>
              <w:spacing w:before="0" w:beforeAutospacing="0" w:after="0" w:afterAutospacing="0"/>
              <w:ind w:left="200"/>
              <w:rPr>
                <w:sz w:val="20"/>
                <w:szCs w:val="20"/>
              </w:rPr>
            </w:pPr>
            <w:r>
              <w:rPr>
                <w:sz w:val="20"/>
                <w:szCs w:val="20"/>
              </w:rPr>
              <w:t>Establishment of right of use assets and lease liabilitie</w:t>
            </w:r>
            <w:r>
              <w:rPr>
                <w:sz w:val="20"/>
                <w:szCs w:val="20"/>
              </w:rPr>
              <w:t>s</w:t>
            </w:r>
          </w:p>
        </w:tc>
        <w:tc>
          <w:tcPr>
            <w:tcW w:w="0" w:type="auto"/>
            <w:vAlign w:val="bottom"/>
            <w:hideMark/>
          </w:tcPr>
          <w:p w14:paraId="7730D44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74D7BD2"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293E5DA" w14:textId="77777777" w:rsidR="00000000" w:rsidRDefault="003A1B5D">
            <w:pPr>
              <w:pStyle w:val="a3"/>
              <w:spacing w:before="0" w:beforeAutospacing="0" w:after="0" w:afterAutospacing="0"/>
              <w:jc w:val="right"/>
              <w:rPr>
                <w:sz w:val="20"/>
                <w:szCs w:val="20"/>
              </w:rPr>
            </w:pPr>
            <w:r>
              <w:rPr>
                <w:b/>
                <w:bCs/>
                <w:sz w:val="20"/>
                <w:szCs w:val="20"/>
              </w:rPr>
              <w:t>1,61</w:t>
            </w:r>
            <w:r>
              <w:rPr>
                <w:b/>
                <w:bCs/>
                <w:sz w:val="20"/>
                <w:szCs w:val="20"/>
              </w:rPr>
              <w:t>0</w:t>
            </w:r>
          </w:p>
        </w:tc>
        <w:tc>
          <w:tcPr>
            <w:tcW w:w="0" w:type="auto"/>
            <w:noWrap/>
            <w:vAlign w:val="bottom"/>
            <w:hideMark/>
          </w:tcPr>
          <w:p w14:paraId="5EE5CFB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15F3C9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DA3FF70"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078B4754" w14:textId="77777777" w:rsidR="00000000" w:rsidRDefault="003A1B5D">
            <w:pPr>
              <w:pStyle w:val="a3"/>
              <w:spacing w:before="0" w:beforeAutospacing="0" w:after="0" w:afterAutospacing="0"/>
              <w:jc w:val="right"/>
              <w:rPr>
                <w:sz w:val="20"/>
                <w:szCs w:val="20"/>
              </w:rPr>
            </w:pPr>
            <w:r>
              <w:rPr>
                <w:sz w:val="20"/>
                <w:szCs w:val="20"/>
              </w:rPr>
              <w:t>62</w:t>
            </w:r>
            <w:r>
              <w:rPr>
                <w:sz w:val="20"/>
                <w:szCs w:val="20"/>
              </w:rPr>
              <w:t>1</w:t>
            </w:r>
          </w:p>
        </w:tc>
        <w:tc>
          <w:tcPr>
            <w:tcW w:w="0" w:type="auto"/>
            <w:noWrap/>
            <w:vAlign w:val="bottom"/>
            <w:hideMark/>
          </w:tcPr>
          <w:p w14:paraId="053C1A9D" w14:textId="77777777" w:rsidR="00000000" w:rsidRDefault="003A1B5D">
            <w:pPr>
              <w:pStyle w:val="a3"/>
              <w:spacing w:before="0" w:beforeAutospacing="0" w:after="0" w:afterAutospacing="0"/>
              <w:rPr>
                <w:sz w:val="20"/>
                <w:szCs w:val="20"/>
              </w:rPr>
            </w:pPr>
            <w:r>
              <w:rPr>
                <w:sz w:val="20"/>
                <w:szCs w:val="20"/>
              </w:rPr>
              <w:t> </w:t>
            </w:r>
          </w:p>
        </w:tc>
      </w:tr>
      <w:tr w:rsidR="00000000" w14:paraId="2D9B15A8" w14:textId="77777777">
        <w:trPr>
          <w:trHeight w:val="200"/>
          <w:tblCellSpacing w:w="15" w:type="dxa"/>
        </w:trPr>
        <w:tc>
          <w:tcPr>
            <w:tcW w:w="0" w:type="auto"/>
            <w:hideMark/>
          </w:tcPr>
          <w:p w14:paraId="3BA3941B" w14:textId="77777777" w:rsidR="00000000" w:rsidRDefault="003A1B5D">
            <w:pPr>
              <w:pStyle w:val="a3"/>
              <w:spacing w:before="0" w:beforeAutospacing="0" w:after="0" w:afterAutospacing="0"/>
              <w:ind w:left="200"/>
              <w:rPr>
                <w:sz w:val="20"/>
                <w:szCs w:val="20"/>
              </w:rPr>
            </w:pPr>
            <w:r>
              <w:rPr>
                <w:sz w:val="20"/>
                <w:szCs w:val="20"/>
              </w:rPr>
              <w:t>Distributions to non-controlling interes</w:t>
            </w:r>
            <w:r>
              <w:rPr>
                <w:sz w:val="20"/>
                <w:szCs w:val="20"/>
              </w:rPr>
              <w:t>t</w:t>
            </w:r>
          </w:p>
        </w:tc>
        <w:tc>
          <w:tcPr>
            <w:tcW w:w="0" w:type="auto"/>
            <w:vAlign w:val="bottom"/>
            <w:hideMark/>
          </w:tcPr>
          <w:p w14:paraId="0D7593C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2B2BCBD"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4DFF8623" w14:textId="77777777" w:rsidR="00000000" w:rsidRDefault="003A1B5D">
            <w:pPr>
              <w:pStyle w:val="a3"/>
              <w:spacing w:before="0" w:beforeAutospacing="0" w:after="0" w:afterAutospacing="0"/>
              <w:jc w:val="right"/>
              <w:rPr>
                <w:sz w:val="20"/>
                <w:szCs w:val="20"/>
              </w:rPr>
            </w:pPr>
            <w:r>
              <w:rPr>
                <w:b/>
                <w:bCs/>
                <w:sz w:val="20"/>
                <w:szCs w:val="20"/>
              </w:rPr>
              <w:t>—</w:t>
            </w:r>
          </w:p>
        </w:tc>
        <w:tc>
          <w:tcPr>
            <w:tcW w:w="0" w:type="auto"/>
            <w:noWrap/>
            <w:vAlign w:val="bottom"/>
            <w:hideMark/>
          </w:tcPr>
          <w:p w14:paraId="5EC9C0B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CF2D15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A5604E6"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21069CA3" w14:textId="77777777" w:rsidR="00000000" w:rsidRDefault="003A1B5D">
            <w:pPr>
              <w:pStyle w:val="a3"/>
              <w:spacing w:before="0" w:beforeAutospacing="0" w:after="0" w:afterAutospacing="0"/>
              <w:jc w:val="right"/>
              <w:rPr>
                <w:sz w:val="20"/>
                <w:szCs w:val="20"/>
              </w:rPr>
            </w:pPr>
            <w:r>
              <w:rPr>
                <w:sz w:val="20"/>
                <w:szCs w:val="20"/>
              </w:rPr>
              <w:t>5,89</w:t>
            </w:r>
            <w:r>
              <w:rPr>
                <w:sz w:val="20"/>
                <w:szCs w:val="20"/>
              </w:rPr>
              <w:t>7</w:t>
            </w:r>
          </w:p>
        </w:tc>
        <w:tc>
          <w:tcPr>
            <w:tcW w:w="0" w:type="auto"/>
            <w:noWrap/>
            <w:vAlign w:val="bottom"/>
            <w:hideMark/>
          </w:tcPr>
          <w:p w14:paraId="15B3CBB8" w14:textId="77777777" w:rsidR="00000000" w:rsidRDefault="003A1B5D">
            <w:pPr>
              <w:pStyle w:val="a3"/>
              <w:spacing w:before="0" w:beforeAutospacing="0" w:after="0" w:afterAutospacing="0"/>
              <w:rPr>
                <w:sz w:val="20"/>
                <w:szCs w:val="20"/>
              </w:rPr>
            </w:pPr>
            <w:r>
              <w:rPr>
                <w:sz w:val="20"/>
                <w:szCs w:val="20"/>
              </w:rPr>
              <w:t> </w:t>
            </w:r>
          </w:p>
        </w:tc>
      </w:tr>
      <w:tr w:rsidR="00000000" w14:paraId="6FA3FD12" w14:textId="77777777">
        <w:trPr>
          <w:trHeight w:val="200"/>
          <w:tblCellSpacing w:w="15" w:type="dxa"/>
        </w:trPr>
        <w:tc>
          <w:tcPr>
            <w:tcW w:w="0" w:type="auto"/>
            <w:hideMark/>
          </w:tcPr>
          <w:p w14:paraId="319A9045" w14:textId="77777777" w:rsidR="00000000" w:rsidRDefault="003A1B5D">
            <w:pPr>
              <w:pStyle w:val="a3"/>
              <w:spacing w:before="0" w:beforeAutospacing="0" w:after="0" w:afterAutospacing="0"/>
              <w:rPr>
                <w:sz w:val="20"/>
                <w:szCs w:val="20"/>
              </w:rPr>
            </w:pPr>
            <w:r>
              <w:rPr>
                <w:b/>
                <w:bCs/>
                <w:sz w:val="20"/>
                <w:szCs w:val="20"/>
              </w:rPr>
              <w:t>SUPPLEMENTAL DISCLOSURES OF CASH FLOW INFORMATION</w:t>
            </w:r>
            <w:r>
              <w:rPr>
                <w:b/>
                <w:bCs/>
                <w:sz w:val="20"/>
                <w:szCs w:val="20"/>
              </w:rPr>
              <w:t>:</w:t>
            </w:r>
          </w:p>
        </w:tc>
        <w:tc>
          <w:tcPr>
            <w:tcW w:w="0" w:type="auto"/>
            <w:vAlign w:val="bottom"/>
            <w:hideMark/>
          </w:tcPr>
          <w:p w14:paraId="119D706D"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5FEEB267"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633F0B15"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04991387"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7F8ECEEC"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4A52C5F" w14:textId="77777777" w:rsidR="00000000" w:rsidRDefault="003A1B5D">
            <w:pPr>
              <w:pStyle w:val="a3"/>
              <w:spacing w:before="0" w:beforeAutospacing="0" w:after="0" w:afterAutospacing="0"/>
              <w:jc w:val="right"/>
              <w:rPr>
                <w:sz w:val="20"/>
                <w:szCs w:val="20"/>
              </w:rPr>
            </w:pPr>
            <w:r>
              <w:rPr>
                <w:sz w:val="20"/>
                <w:szCs w:val="20"/>
              </w:rPr>
              <w:t> </w:t>
            </w:r>
          </w:p>
        </w:tc>
      </w:tr>
      <w:tr w:rsidR="00000000" w14:paraId="403B8835" w14:textId="77777777">
        <w:trPr>
          <w:trHeight w:val="200"/>
          <w:tblCellSpacing w:w="15" w:type="dxa"/>
        </w:trPr>
        <w:tc>
          <w:tcPr>
            <w:tcW w:w="0" w:type="auto"/>
            <w:hideMark/>
          </w:tcPr>
          <w:p w14:paraId="01307D1A" w14:textId="77777777" w:rsidR="00000000" w:rsidRDefault="003A1B5D">
            <w:pPr>
              <w:pStyle w:val="a3"/>
              <w:spacing w:before="0" w:beforeAutospacing="0" w:after="0" w:afterAutospacing="0"/>
              <w:ind w:left="200"/>
              <w:rPr>
                <w:sz w:val="20"/>
                <w:szCs w:val="20"/>
              </w:rPr>
            </w:pPr>
            <w:r>
              <w:rPr>
                <w:sz w:val="20"/>
                <w:szCs w:val="20"/>
              </w:rPr>
              <w:t>Cash paid during the period for</w:t>
            </w:r>
            <w:r>
              <w:rPr>
                <w:sz w:val="20"/>
                <w:szCs w:val="20"/>
              </w:rPr>
              <w:t>:</w:t>
            </w:r>
          </w:p>
        </w:tc>
        <w:tc>
          <w:tcPr>
            <w:tcW w:w="0" w:type="auto"/>
            <w:vAlign w:val="bottom"/>
            <w:hideMark/>
          </w:tcPr>
          <w:p w14:paraId="3C3BEEBD"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6242AD83"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330772A0"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3FC53D84"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0CD5BF2F"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7F141376" w14:textId="77777777" w:rsidR="00000000" w:rsidRDefault="003A1B5D">
            <w:pPr>
              <w:pStyle w:val="a3"/>
              <w:spacing w:before="0" w:beforeAutospacing="0" w:after="0" w:afterAutospacing="0"/>
              <w:jc w:val="right"/>
              <w:rPr>
                <w:sz w:val="20"/>
                <w:szCs w:val="20"/>
              </w:rPr>
            </w:pPr>
            <w:r>
              <w:rPr>
                <w:sz w:val="20"/>
                <w:szCs w:val="20"/>
              </w:rPr>
              <w:t> </w:t>
            </w:r>
          </w:p>
        </w:tc>
      </w:tr>
      <w:tr w:rsidR="00000000" w14:paraId="30D3351C" w14:textId="77777777">
        <w:trPr>
          <w:trHeight w:val="200"/>
          <w:tblCellSpacing w:w="15" w:type="dxa"/>
        </w:trPr>
        <w:tc>
          <w:tcPr>
            <w:tcW w:w="0" w:type="auto"/>
            <w:hideMark/>
          </w:tcPr>
          <w:p w14:paraId="46E53A49" w14:textId="77777777" w:rsidR="00000000" w:rsidRDefault="003A1B5D">
            <w:pPr>
              <w:pStyle w:val="a3"/>
              <w:spacing w:before="0" w:beforeAutospacing="0" w:after="0" w:afterAutospacing="0"/>
              <w:ind w:left="400"/>
              <w:rPr>
                <w:sz w:val="20"/>
                <w:szCs w:val="20"/>
              </w:rPr>
            </w:pPr>
            <w:r>
              <w:rPr>
                <w:sz w:val="20"/>
                <w:szCs w:val="20"/>
              </w:rPr>
              <w:t xml:space="preserve">Interest (net of amounts capitalized of </w:t>
            </w:r>
            <w:r>
              <w:rPr>
                <w:sz w:val="20"/>
                <w:szCs w:val="20"/>
              </w:rPr>
              <w:t>$</w:t>
            </w:r>
            <w:r>
              <w:rPr>
                <w:sz w:val="20"/>
                <w:szCs w:val="20"/>
              </w:rPr>
              <w:t>0.</w:t>
            </w:r>
            <w:r>
              <w:rPr>
                <w:sz w:val="20"/>
                <w:szCs w:val="20"/>
              </w:rPr>
              <w:t>8</w:t>
            </w:r>
            <w:r>
              <w:rPr>
                <w:sz w:val="20"/>
                <w:szCs w:val="20"/>
              </w:rPr>
              <w:t xml:space="preserve"> million and </w:t>
            </w:r>
            <w:r>
              <w:rPr>
                <w:sz w:val="20"/>
                <w:szCs w:val="20"/>
              </w:rPr>
              <w:t>$</w:t>
            </w:r>
            <w:r>
              <w:rPr>
                <w:sz w:val="20"/>
                <w:szCs w:val="20"/>
              </w:rPr>
              <w:t>0.</w:t>
            </w:r>
            <w:r>
              <w:rPr>
                <w:sz w:val="20"/>
                <w:szCs w:val="20"/>
              </w:rPr>
              <w:t>2</w:t>
            </w:r>
            <w:r>
              <w:rPr>
                <w:sz w:val="20"/>
                <w:szCs w:val="20"/>
              </w:rPr>
              <w:t xml:space="preserve"> million in 2022 and </w:t>
            </w:r>
            <w:r>
              <w:rPr>
                <w:sz w:val="20"/>
                <w:szCs w:val="20"/>
              </w:rPr>
              <w:br/>
              <w:t>    2021, respectively</w:t>
            </w:r>
            <w:r>
              <w:rPr>
                <w:sz w:val="20"/>
                <w:szCs w:val="20"/>
              </w:rPr>
              <w:t>)</w:t>
            </w:r>
          </w:p>
        </w:tc>
        <w:tc>
          <w:tcPr>
            <w:tcW w:w="0" w:type="auto"/>
            <w:vAlign w:val="bottom"/>
            <w:hideMark/>
          </w:tcPr>
          <w:p w14:paraId="62F9E4F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7D21839"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41F80E89" w14:textId="77777777" w:rsidR="00000000" w:rsidRDefault="003A1B5D">
            <w:pPr>
              <w:pStyle w:val="a3"/>
              <w:spacing w:before="0" w:beforeAutospacing="0" w:after="0" w:afterAutospacing="0"/>
              <w:jc w:val="right"/>
              <w:rPr>
                <w:sz w:val="20"/>
                <w:szCs w:val="20"/>
              </w:rPr>
            </w:pPr>
            <w:r>
              <w:rPr>
                <w:b/>
                <w:bCs/>
                <w:sz w:val="20"/>
                <w:szCs w:val="20"/>
              </w:rPr>
              <w:t>50,84</w:t>
            </w:r>
            <w:r>
              <w:rPr>
                <w:b/>
                <w:bCs/>
                <w:sz w:val="20"/>
                <w:szCs w:val="20"/>
              </w:rPr>
              <w:t>0</w:t>
            </w:r>
          </w:p>
        </w:tc>
        <w:tc>
          <w:tcPr>
            <w:tcW w:w="0" w:type="auto"/>
            <w:noWrap/>
            <w:vAlign w:val="bottom"/>
            <w:hideMark/>
          </w:tcPr>
          <w:p w14:paraId="645270B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9BAF93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4F8946B"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6F629EFD" w14:textId="77777777" w:rsidR="00000000" w:rsidRDefault="003A1B5D">
            <w:pPr>
              <w:pStyle w:val="a3"/>
              <w:spacing w:before="0" w:beforeAutospacing="0" w:after="0" w:afterAutospacing="0"/>
              <w:jc w:val="right"/>
              <w:rPr>
                <w:sz w:val="20"/>
                <w:szCs w:val="20"/>
              </w:rPr>
            </w:pPr>
            <w:r>
              <w:rPr>
                <w:sz w:val="20"/>
                <w:szCs w:val="20"/>
              </w:rPr>
              <w:t>37,65</w:t>
            </w:r>
            <w:r>
              <w:rPr>
                <w:sz w:val="20"/>
                <w:szCs w:val="20"/>
              </w:rPr>
              <w:t>1</w:t>
            </w:r>
          </w:p>
        </w:tc>
        <w:tc>
          <w:tcPr>
            <w:tcW w:w="0" w:type="auto"/>
            <w:noWrap/>
            <w:vAlign w:val="bottom"/>
            <w:hideMark/>
          </w:tcPr>
          <w:p w14:paraId="357A531C" w14:textId="77777777" w:rsidR="00000000" w:rsidRDefault="003A1B5D">
            <w:pPr>
              <w:pStyle w:val="a3"/>
              <w:spacing w:before="0" w:beforeAutospacing="0" w:after="0" w:afterAutospacing="0"/>
              <w:rPr>
                <w:sz w:val="20"/>
                <w:szCs w:val="20"/>
              </w:rPr>
            </w:pPr>
            <w:r>
              <w:rPr>
                <w:sz w:val="20"/>
                <w:szCs w:val="20"/>
              </w:rPr>
              <w:t> </w:t>
            </w:r>
          </w:p>
        </w:tc>
      </w:tr>
      <w:tr w:rsidR="00000000" w14:paraId="1514CC3E" w14:textId="77777777">
        <w:trPr>
          <w:trHeight w:val="200"/>
          <w:tblCellSpacing w:w="15" w:type="dxa"/>
        </w:trPr>
        <w:tc>
          <w:tcPr>
            <w:tcW w:w="0" w:type="auto"/>
            <w:hideMark/>
          </w:tcPr>
          <w:p w14:paraId="31A94824" w14:textId="77777777" w:rsidR="00000000" w:rsidRDefault="003A1B5D">
            <w:pPr>
              <w:pStyle w:val="a3"/>
              <w:spacing w:before="0" w:beforeAutospacing="0" w:after="0" w:afterAutospacing="0"/>
              <w:ind w:left="400"/>
              <w:rPr>
                <w:sz w:val="20"/>
                <w:szCs w:val="20"/>
              </w:rPr>
            </w:pPr>
            <w:r>
              <w:rPr>
                <w:sz w:val="20"/>
                <w:szCs w:val="20"/>
              </w:rPr>
              <w:t>Income taxes pai</w:t>
            </w:r>
            <w:r>
              <w:rPr>
                <w:sz w:val="20"/>
                <w:szCs w:val="20"/>
              </w:rPr>
              <w:t>d</w:t>
            </w:r>
          </w:p>
        </w:tc>
        <w:tc>
          <w:tcPr>
            <w:tcW w:w="0" w:type="auto"/>
            <w:vAlign w:val="bottom"/>
            <w:hideMark/>
          </w:tcPr>
          <w:p w14:paraId="4641662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5F95856"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59BEB77A" w14:textId="77777777" w:rsidR="00000000" w:rsidRDefault="003A1B5D">
            <w:pPr>
              <w:pStyle w:val="a3"/>
              <w:spacing w:before="0" w:beforeAutospacing="0" w:after="0" w:afterAutospacing="0"/>
              <w:jc w:val="right"/>
              <w:rPr>
                <w:sz w:val="20"/>
                <w:szCs w:val="20"/>
              </w:rPr>
            </w:pPr>
            <w:r>
              <w:rPr>
                <w:b/>
                <w:bCs/>
                <w:sz w:val="20"/>
                <w:szCs w:val="20"/>
              </w:rPr>
              <w:t>25,19</w:t>
            </w:r>
            <w:r>
              <w:rPr>
                <w:b/>
                <w:bCs/>
                <w:sz w:val="20"/>
                <w:szCs w:val="20"/>
              </w:rPr>
              <w:t>1</w:t>
            </w:r>
          </w:p>
        </w:tc>
        <w:tc>
          <w:tcPr>
            <w:tcW w:w="0" w:type="auto"/>
            <w:noWrap/>
            <w:vAlign w:val="bottom"/>
            <w:hideMark/>
          </w:tcPr>
          <w:p w14:paraId="0491B42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4B977D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A383380"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191C83A7" w14:textId="77777777" w:rsidR="00000000" w:rsidRDefault="003A1B5D">
            <w:pPr>
              <w:pStyle w:val="a3"/>
              <w:spacing w:before="0" w:beforeAutospacing="0" w:after="0" w:afterAutospacing="0"/>
              <w:jc w:val="right"/>
              <w:rPr>
                <w:sz w:val="20"/>
                <w:szCs w:val="20"/>
              </w:rPr>
            </w:pPr>
            <w:r>
              <w:rPr>
                <w:sz w:val="20"/>
                <w:szCs w:val="20"/>
              </w:rPr>
              <w:t>23,26</w:t>
            </w:r>
            <w:r>
              <w:rPr>
                <w:sz w:val="20"/>
                <w:szCs w:val="20"/>
              </w:rPr>
              <w:t>6</w:t>
            </w:r>
          </w:p>
        </w:tc>
        <w:tc>
          <w:tcPr>
            <w:tcW w:w="0" w:type="auto"/>
            <w:noWrap/>
            <w:vAlign w:val="bottom"/>
            <w:hideMark/>
          </w:tcPr>
          <w:p w14:paraId="75F36273" w14:textId="77777777" w:rsidR="00000000" w:rsidRDefault="003A1B5D">
            <w:pPr>
              <w:pStyle w:val="a3"/>
              <w:spacing w:before="0" w:beforeAutospacing="0" w:after="0" w:afterAutospacing="0"/>
              <w:rPr>
                <w:sz w:val="20"/>
                <w:szCs w:val="20"/>
              </w:rPr>
            </w:pPr>
            <w:r>
              <w:rPr>
                <w:sz w:val="20"/>
                <w:szCs w:val="20"/>
              </w:rPr>
              <w:t> </w:t>
            </w:r>
          </w:p>
        </w:tc>
      </w:tr>
    </w:tbl>
    <w:p w14:paraId="59EC20BE" w14:textId="77777777" w:rsidR="00000000" w:rsidRDefault="003A1B5D">
      <w:pPr>
        <w:pStyle w:val="a3"/>
        <w:spacing w:before="20" w:beforeAutospacing="0" w:after="0" w:afterAutospacing="0"/>
        <w:jc w:val="center"/>
        <w:rPr>
          <w:sz w:val="20"/>
          <w:szCs w:val="20"/>
        </w:rPr>
      </w:pPr>
      <w:r>
        <w:rPr>
          <w:sz w:val="20"/>
          <w:szCs w:val="20"/>
        </w:rPr>
        <w:t> </w:t>
      </w:r>
    </w:p>
    <w:p w14:paraId="52B0F808" w14:textId="77777777" w:rsidR="00000000" w:rsidRDefault="003A1B5D">
      <w:pPr>
        <w:pStyle w:val="a3"/>
        <w:spacing w:before="20" w:beforeAutospacing="0" w:after="0" w:afterAutospacing="0"/>
        <w:jc w:val="center"/>
        <w:rPr>
          <w:sz w:val="20"/>
          <w:szCs w:val="20"/>
        </w:rPr>
      </w:pPr>
      <w:r>
        <w:rPr>
          <w:sz w:val="20"/>
          <w:szCs w:val="20"/>
        </w:rPr>
        <w:t> </w:t>
      </w:r>
    </w:p>
    <w:p w14:paraId="6A283108" w14:textId="77777777" w:rsidR="00000000" w:rsidRDefault="003A1B5D">
      <w:pPr>
        <w:pStyle w:val="a3"/>
        <w:spacing w:before="2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14:paraId="22EDEFDA" w14:textId="77777777" w:rsidR="00000000" w:rsidRDefault="003A1B5D">
      <w:pPr>
        <w:pStyle w:val="a3"/>
        <w:spacing w:before="240" w:beforeAutospacing="0" w:after="0" w:afterAutospacing="0"/>
        <w:jc w:val="center"/>
        <w:rPr>
          <w:sz w:val="20"/>
          <w:szCs w:val="20"/>
        </w:rPr>
      </w:pPr>
      <w:r>
        <w:rPr>
          <w:sz w:val="20"/>
          <w:szCs w:val="20"/>
        </w:rPr>
        <w:lastRenderedPageBreak/>
        <w:t>3</w:t>
      </w:r>
    </w:p>
    <w:p w14:paraId="1D173FE9" w14:textId="77777777" w:rsidR="00000000" w:rsidRDefault="003A1B5D">
      <w:pPr>
        <w:rPr>
          <w:rFonts w:eastAsia="Times New Roman"/>
        </w:rPr>
      </w:pPr>
      <w:r>
        <w:rPr>
          <w:rFonts w:eastAsia="Times New Roman"/>
        </w:rPr>
        <w:pict w14:anchorId="4FC70B7D">
          <v:rect id="_x0000_i1029" style="width:0;height:1.5pt" o:hralign="center" o:hrstd="t" o:hr="t" fillcolor="#a0a0a0" stroked="f"/>
        </w:pict>
      </w:r>
    </w:p>
    <w:p w14:paraId="1FFB8C96" w14:textId="77777777" w:rsidR="00000000" w:rsidRDefault="003A1B5D">
      <w:pPr>
        <w:pStyle w:val="a3"/>
        <w:spacing w:before="0" w:beforeAutospacing="0" w:after="0" w:afterAutospacing="0"/>
        <w:rPr>
          <w:sz w:val="20"/>
          <w:szCs w:val="20"/>
        </w:rPr>
      </w:pPr>
      <w:r>
        <w:rPr>
          <w:sz w:val="20"/>
          <w:szCs w:val="20"/>
        </w:rPr>
        <w:t> </w:t>
      </w:r>
    </w:p>
    <w:p w14:paraId="104D2026" w14:textId="77777777" w:rsidR="00000000" w:rsidRDefault="003A1B5D">
      <w:pPr>
        <w:pStyle w:val="a3"/>
        <w:spacing w:before="0" w:beforeAutospacing="0" w:after="0" w:afterAutospacing="0"/>
        <w:jc w:val="center"/>
        <w:rPr>
          <w:sz w:val="20"/>
          <w:szCs w:val="20"/>
        </w:rPr>
      </w:pPr>
      <w:r>
        <w:rPr>
          <w:b/>
          <w:bCs/>
          <w:sz w:val="20"/>
          <w:szCs w:val="20"/>
        </w:rPr>
        <w:t>CORECIVIC, INC. AND SUBSIDIARIE</w:t>
      </w:r>
      <w:r>
        <w:rPr>
          <w:b/>
          <w:bCs/>
          <w:sz w:val="20"/>
          <w:szCs w:val="20"/>
        </w:rPr>
        <w:t>S</w:t>
      </w:r>
    </w:p>
    <w:p w14:paraId="79D71A7B" w14:textId="77777777" w:rsidR="00000000" w:rsidRDefault="003A1B5D">
      <w:pPr>
        <w:pStyle w:val="a3"/>
        <w:spacing w:before="0" w:beforeAutospacing="0" w:after="0" w:afterAutospacing="0"/>
        <w:jc w:val="center"/>
        <w:rPr>
          <w:sz w:val="20"/>
          <w:szCs w:val="20"/>
        </w:rPr>
      </w:pPr>
      <w:r>
        <w:rPr>
          <w:b/>
          <w:bCs/>
          <w:sz w:val="20"/>
          <w:szCs w:val="20"/>
        </w:rPr>
        <w:t>CONSOLIDATED STATEMENT</w:t>
      </w:r>
      <w:r>
        <w:rPr>
          <w:b/>
          <w:bCs/>
          <w:sz w:val="20"/>
          <w:szCs w:val="20"/>
        </w:rPr>
        <w:t xml:space="preserve"> </w:t>
      </w:r>
      <w:r>
        <w:rPr>
          <w:b/>
          <w:bCs/>
          <w:sz w:val="20"/>
          <w:szCs w:val="20"/>
        </w:rPr>
        <w:t>OF STOCKHOLDERS' EQUIT</w:t>
      </w:r>
      <w:r>
        <w:rPr>
          <w:b/>
          <w:bCs/>
          <w:sz w:val="20"/>
          <w:szCs w:val="20"/>
        </w:rPr>
        <w:t>Y</w:t>
      </w:r>
    </w:p>
    <w:p w14:paraId="4C1FE83A" w14:textId="77777777" w:rsidR="00000000" w:rsidRDefault="003A1B5D">
      <w:pPr>
        <w:pStyle w:val="a3"/>
        <w:spacing w:before="0" w:beforeAutospacing="0" w:after="0" w:afterAutospacing="0"/>
        <w:jc w:val="center"/>
        <w:rPr>
          <w:sz w:val="20"/>
          <w:szCs w:val="20"/>
        </w:rPr>
      </w:pPr>
      <w:r>
        <w:rPr>
          <w:b/>
          <w:bCs/>
          <w:sz w:val="20"/>
          <w:szCs w:val="20"/>
        </w:rPr>
        <w:t>FOR THE QUARTERLY PERIODS ENDED SEPTEMBER 30, 20</w:t>
      </w:r>
      <w:r>
        <w:rPr>
          <w:b/>
          <w:bCs/>
          <w:sz w:val="20"/>
          <w:szCs w:val="20"/>
        </w:rPr>
        <w:t>2</w:t>
      </w:r>
      <w:r>
        <w:rPr>
          <w:b/>
          <w:bCs/>
          <w:sz w:val="20"/>
          <w:szCs w:val="20"/>
        </w:rPr>
        <w:t>2</w:t>
      </w:r>
    </w:p>
    <w:p w14:paraId="7F1CE989" w14:textId="77777777" w:rsidR="00000000" w:rsidRDefault="003A1B5D">
      <w:pPr>
        <w:pStyle w:val="a3"/>
        <w:spacing w:before="0" w:beforeAutospacing="0" w:after="0" w:afterAutospacing="0"/>
        <w:jc w:val="center"/>
        <w:rPr>
          <w:sz w:val="20"/>
          <w:szCs w:val="20"/>
        </w:rPr>
      </w:pPr>
      <w:r>
        <w:rPr>
          <w:sz w:val="20"/>
          <w:szCs w:val="20"/>
        </w:rPr>
        <w:t>(UNAUDITED AND AMOUNTS IN THOUSANDS</w:t>
      </w:r>
      <w:r>
        <w:rPr>
          <w:sz w:val="20"/>
          <w:szCs w:val="20"/>
        </w:rPr>
        <w:t>)</w:t>
      </w:r>
    </w:p>
    <w:p w14:paraId="13381F43" w14:textId="77777777" w:rsidR="00000000" w:rsidRDefault="003A1B5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66"/>
        <w:gridCol w:w="110"/>
        <w:gridCol w:w="105"/>
        <w:gridCol w:w="645"/>
        <w:gridCol w:w="120"/>
        <w:gridCol w:w="105"/>
        <w:gridCol w:w="150"/>
        <w:gridCol w:w="465"/>
        <w:gridCol w:w="120"/>
        <w:gridCol w:w="105"/>
        <w:gridCol w:w="150"/>
        <w:gridCol w:w="780"/>
        <w:gridCol w:w="120"/>
        <w:gridCol w:w="105"/>
        <w:gridCol w:w="151"/>
        <w:gridCol w:w="836"/>
        <w:gridCol w:w="120"/>
        <w:gridCol w:w="105"/>
        <w:gridCol w:w="151"/>
        <w:gridCol w:w="862"/>
        <w:gridCol w:w="135"/>
      </w:tblGrid>
      <w:tr w:rsidR="00000000" w14:paraId="6448D0D5" w14:textId="77777777">
        <w:trPr>
          <w:tblCellSpacing w:w="15" w:type="dxa"/>
        </w:trPr>
        <w:tc>
          <w:tcPr>
            <w:tcW w:w="2218" w:type="pct"/>
            <w:vAlign w:val="center"/>
            <w:hideMark/>
          </w:tcPr>
          <w:p w14:paraId="6B1415CB" w14:textId="77777777" w:rsidR="00000000" w:rsidRDefault="003A1B5D">
            <w:pPr>
              <w:rPr>
                <w:sz w:val="20"/>
                <w:szCs w:val="20"/>
              </w:rPr>
            </w:pPr>
          </w:p>
        </w:tc>
        <w:tc>
          <w:tcPr>
            <w:tcW w:w="50" w:type="pct"/>
            <w:vAlign w:val="center"/>
            <w:hideMark/>
          </w:tcPr>
          <w:p w14:paraId="7C94FF62" w14:textId="77777777" w:rsidR="00000000" w:rsidRDefault="003A1B5D">
            <w:pPr>
              <w:rPr>
                <w:rFonts w:eastAsia="Times New Roman"/>
                <w:sz w:val="20"/>
                <w:szCs w:val="20"/>
              </w:rPr>
            </w:pPr>
          </w:p>
        </w:tc>
        <w:tc>
          <w:tcPr>
            <w:tcW w:w="50" w:type="pct"/>
            <w:vAlign w:val="center"/>
            <w:hideMark/>
          </w:tcPr>
          <w:p w14:paraId="7B164F81" w14:textId="77777777" w:rsidR="00000000" w:rsidRDefault="003A1B5D">
            <w:pPr>
              <w:rPr>
                <w:rFonts w:eastAsia="Times New Roman"/>
                <w:sz w:val="20"/>
                <w:szCs w:val="20"/>
              </w:rPr>
            </w:pPr>
          </w:p>
        </w:tc>
        <w:tc>
          <w:tcPr>
            <w:tcW w:w="377" w:type="pct"/>
            <w:vAlign w:val="center"/>
            <w:hideMark/>
          </w:tcPr>
          <w:p w14:paraId="21F50046" w14:textId="77777777" w:rsidR="00000000" w:rsidRDefault="003A1B5D">
            <w:pPr>
              <w:rPr>
                <w:rFonts w:eastAsia="Times New Roman"/>
                <w:sz w:val="20"/>
                <w:szCs w:val="20"/>
              </w:rPr>
            </w:pPr>
          </w:p>
        </w:tc>
        <w:tc>
          <w:tcPr>
            <w:tcW w:w="50" w:type="pct"/>
            <w:vAlign w:val="center"/>
            <w:hideMark/>
          </w:tcPr>
          <w:p w14:paraId="4F18535F" w14:textId="77777777" w:rsidR="00000000" w:rsidRDefault="003A1B5D">
            <w:pPr>
              <w:rPr>
                <w:rFonts w:eastAsia="Times New Roman"/>
                <w:sz w:val="20"/>
                <w:szCs w:val="20"/>
              </w:rPr>
            </w:pPr>
          </w:p>
        </w:tc>
        <w:tc>
          <w:tcPr>
            <w:tcW w:w="51" w:type="pct"/>
            <w:vAlign w:val="center"/>
            <w:hideMark/>
          </w:tcPr>
          <w:p w14:paraId="73434A76" w14:textId="77777777" w:rsidR="00000000" w:rsidRDefault="003A1B5D">
            <w:pPr>
              <w:rPr>
                <w:rFonts w:eastAsia="Times New Roman"/>
                <w:sz w:val="20"/>
                <w:szCs w:val="20"/>
              </w:rPr>
            </w:pPr>
          </w:p>
        </w:tc>
        <w:tc>
          <w:tcPr>
            <w:tcW w:w="50" w:type="pct"/>
            <w:vAlign w:val="center"/>
            <w:hideMark/>
          </w:tcPr>
          <w:p w14:paraId="778C80BB" w14:textId="77777777" w:rsidR="00000000" w:rsidRDefault="003A1B5D">
            <w:pPr>
              <w:rPr>
                <w:rFonts w:eastAsia="Times New Roman"/>
                <w:sz w:val="20"/>
                <w:szCs w:val="20"/>
              </w:rPr>
            </w:pPr>
          </w:p>
        </w:tc>
        <w:tc>
          <w:tcPr>
            <w:tcW w:w="449" w:type="pct"/>
            <w:vAlign w:val="center"/>
            <w:hideMark/>
          </w:tcPr>
          <w:p w14:paraId="64338D7A" w14:textId="77777777" w:rsidR="00000000" w:rsidRDefault="003A1B5D">
            <w:pPr>
              <w:rPr>
                <w:rFonts w:eastAsia="Times New Roman"/>
                <w:sz w:val="20"/>
                <w:szCs w:val="20"/>
              </w:rPr>
            </w:pPr>
          </w:p>
        </w:tc>
        <w:tc>
          <w:tcPr>
            <w:tcW w:w="50" w:type="pct"/>
            <w:vAlign w:val="center"/>
            <w:hideMark/>
          </w:tcPr>
          <w:p w14:paraId="28C771CA" w14:textId="77777777" w:rsidR="00000000" w:rsidRDefault="003A1B5D">
            <w:pPr>
              <w:rPr>
                <w:rFonts w:eastAsia="Times New Roman"/>
                <w:sz w:val="20"/>
                <w:szCs w:val="20"/>
              </w:rPr>
            </w:pPr>
          </w:p>
        </w:tc>
        <w:tc>
          <w:tcPr>
            <w:tcW w:w="51" w:type="pct"/>
            <w:vAlign w:val="center"/>
            <w:hideMark/>
          </w:tcPr>
          <w:p w14:paraId="06651E84" w14:textId="77777777" w:rsidR="00000000" w:rsidRDefault="003A1B5D">
            <w:pPr>
              <w:rPr>
                <w:rFonts w:eastAsia="Times New Roman"/>
                <w:sz w:val="20"/>
                <w:szCs w:val="20"/>
              </w:rPr>
            </w:pPr>
          </w:p>
        </w:tc>
        <w:tc>
          <w:tcPr>
            <w:tcW w:w="50" w:type="pct"/>
            <w:vAlign w:val="center"/>
            <w:hideMark/>
          </w:tcPr>
          <w:p w14:paraId="7050500B" w14:textId="77777777" w:rsidR="00000000" w:rsidRDefault="003A1B5D">
            <w:pPr>
              <w:rPr>
                <w:rFonts w:eastAsia="Times New Roman"/>
                <w:sz w:val="20"/>
                <w:szCs w:val="20"/>
              </w:rPr>
            </w:pPr>
          </w:p>
        </w:tc>
        <w:tc>
          <w:tcPr>
            <w:tcW w:w="386" w:type="pct"/>
            <w:vAlign w:val="center"/>
            <w:hideMark/>
          </w:tcPr>
          <w:p w14:paraId="541BA8A3" w14:textId="77777777" w:rsidR="00000000" w:rsidRDefault="003A1B5D">
            <w:pPr>
              <w:rPr>
                <w:rFonts w:eastAsia="Times New Roman"/>
                <w:sz w:val="20"/>
                <w:szCs w:val="20"/>
              </w:rPr>
            </w:pPr>
          </w:p>
        </w:tc>
        <w:tc>
          <w:tcPr>
            <w:tcW w:w="50" w:type="pct"/>
            <w:vAlign w:val="center"/>
            <w:hideMark/>
          </w:tcPr>
          <w:p w14:paraId="44214BC2" w14:textId="77777777" w:rsidR="00000000" w:rsidRDefault="003A1B5D">
            <w:pPr>
              <w:rPr>
                <w:rFonts w:eastAsia="Times New Roman"/>
                <w:sz w:val="20"/>
                <w:szCs w:val="20"/>
              </w:rPr>
            </w:pPr>
          </w:p>
        </w:tc>
        <w:tc>
          <w:tcPr>
            <w:tcW w:w="51" w:type="pct"/>
            <w:vAlign w:val="center"/>
            <w:hideMark/>
          </w:tcPr>
          <w:p w14:paraId="4C642373" w14:textId="77777777" w:rsidR="00000000" w:rsidRDefault="003A1B5D">
            <w:pPr>
              <w:rPr>
                <w:rFonts w:eastAsia="Times New Roman"/>
                <w:sz w:val="20"/>
                <w:szCs w:val="20"/>
              </w:rPr>
            </w:pPr>
          </w:p>
        </w:tc>
        <w:tc>
          <w:tcPr>
            <w:tcW w:w="50" w:type="pct"/>
            <w:vAlign w:val="center"/>
            <w:hideMark/>
          </w:tcPr>
          <w:p w14:paraId="38B0C1AD" w14:textId="77777777" w:rsidR="00000000" w:rsidRDefault="003A1B5D">
            <w:pPr>
              <w:rPr>
                <w:rFonts w:eastAsia="Times New Roman"/>
                <w:sz w:val="20"/>
                <w:szCs w:val="20"/>
              </w:rPr>
            </w:pPr>
          </w:p>
        </w:tc>
        <w:tc>
          <w:tcPr>
            <w:tcW w:w="400" w:type="pct"/>
            <w:vAlign w:val="center"/>
            <w:hideMark/>
          </w:tcPr>
          <w:p w14:paraId="7002EDF3" w14:textId="77777777" w:rsidR="00000000" w:rsidRDefault="003A1B5D">
            <w:pPr>
              <w:rPr>
                <w:rFonts w:eastAsia="Times New Roman"/>
                <w:sz w:val="20"/>
                <w:szCs w:val="20"/>
              </w:rPr>
            </w:pPr>
          </w:p>
        </w:tc>
        <w:tc>
          <w:tcPr>
            <w:tcW w:w="50" w:type="pct"/>
            <w:vAlign w:val="center"/>
            <w:hideMark/>
          </w:tcPr>
          <w:p w14:paraId="3B6F76E4" w14:textId="77777777" w:rsidR="00000000" w:rsidRDefault="003A1B5D">
            <w:pPr>
              <w:rPr>
                <w:rFonts w:eastAsia="Times New Roman"/>
                <w:sz w:val="20"/>
                <w:szCs w:val="20"/>
              </w:rPr>
            </w:pPr>
          </w:p>
        </w:tc>
        <w:tc>
          <w:tcPr>
            <w:tcW w:w="51" w:type="pct"/>
            <w:vAlign w:val="center"/>
            <w:hideMark/>
          </w:tcPr>
          <w:p w14:paraId="3E30ED28" w14:textId="77777777" w:rsidR="00000000" w:rsidRDefault="003A1B5D">
            <w:pPr>
              <w:rPr>
                <w:rFonts w:eastAsia="Times New Roman"/>
                <w:sz w:val="20"/>
                <w:szCs w:val="20"/>
              </w:rPr>
            </w:pPr>
          </w:p>
        </w:tc>
        <w:tc>
          <w:tcPr>
            <w:tcW w:w="50" w:type="pct"/>
            <w:vAlign w:val="center"/>
            <w:hideMark/>
          </w:tcPr>
          <w:p w14:paraId="7606F9AF" w14:textId="77777777" w:rsidR="00000000" w:rsidRDefault="003A1B5D">
            <w:pPr>
              <w:rPr>
                <w:rFonts w:eastAsia="Times New Roman"/>
                <w:sz w:val="20"/>
                <w:szCs w:val="20"/>
              </w:rPr>
            </w:pPr>
          </w:p>
        </w:tc>
        <w:tc>
          <w:tcPr>
            <w:tcW w:w="410" w:type="pct"/>
            <w:vAlign w:val="center"/>
            <w:hideMark/>
          </w:tcPr>
          <w:p w14:paraId="04A5ACD5" w14:textId="77777777" w:rsidR="00000000" w:rsidRDefault="003A1B5D">
            <w:pPr>
              <w:rPr>
                <w:rFonts w:eastAsia="Times New Roman"/>
                <w:sz w:val="20"/>
                <w:szCs w:val="20"/>
              </w:rPr>
            </w:pPr>
          </w:p>
        </w:tc>
        <w:tc>
          <w:tcPr>
            <w:tcW w:w="50" w:type="pct"/>
            <w:vAlign w:val="center"/>
            <w:hideMark/>
          </w:tcPr>
          <w:p w14:paraId="62E41D67" w14:textId="77777777" w:rsidR="00000000" w:rsidRDefault="003A1B5D">
            <w:pPr>
              <w:rPr>
                <w:rFonts w:eastAsia="Times New Roman"/>
                <w:sz w:val="20"/>
                <w:szCs w:val="20"/>
              </w:rPr>
            </w:pPr>
          </w:p>
        </w:tc>
      </w:tr>
      <w:tr w:rsidR="00000000" w14:paraId="7A741CE1" w14:textId="77777777">
        <w:trPr>
          <w:trHeight w:val="160"/>
          <w:tblCellSpacing w:w="15" w:type="dxa"/>
        </w:trPr>
        <w:tc>
          <w:tcPr>
            <w:tcW w:w="0" w:type="auto"/>
            <w:vAlign w:val="bottom"/>
            <w:hideMark/>
          </w:tcPr>
          <w:p w14:paraId="5880621B"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504080C5" w14:textId="77777777" w:rsidR="00000000" w:rsidRDefault="003A1B5D">
            <w:pPr>
              <w:pStyle w:val="a3"/>
              <w:spacing w:before="0" w:beforeAutospacing="0" w:after="0" w:afterAutospacing="0"/>
              <w:rPr>
                <w:sz w:val="16"/>
                <w:szCs w:val="16"/>
              </w:rPr>
            </w:pPr>
            <w:r>
              <w:rPr>
                <w:sz w:val="16"/>
                <w:szCs w:val="16"/>
              </w:rPr>
              <w:t> </w:t>
            </w:r>
          </w:p>
        </w:tc>
        <w:tc>
          <w:tcPr>
            <w:tcW w:w="0" w:type="auto"/>
            <w:gridSpan w:val="18"/>
            <w:vAlign w:val="bottom"/>
            <w:hideMark/>
          </w:tcPr>
          <w:p w14:paraId="5598F309" w14:textId="77777777" w:rsidR="00000000" w:rsidRDefault="003A1B5D">
            <w:pPr>
              <w:pStyle w:val="a3"/>
              <w:spacing w:before="0" w:beforeAutospacing="0" w:after="0" w:afterAutospacing="0"/>
              <w:jc w:val="center"/>
              <w:rPr>
                <w:sz w:val="16"/>
                <w:szCs w:val="16"/>
              </w:rPr>
            </w:pPr>
            <w:r>
              <w:rPr>
                <w:b/>
                <w:bCs/>
                <w:sz w:val="16"/>
                <w:szCs w:val="16"/>
              </w:rPr>
              <w:t>Stockholders' Equit</w:t>
            </w:r>
            <w:r>
              <w:rPr>
                <w:b/>
                <w:bCs/>
                <w:sz w:val="16"/>
                <w:szCs w:val="16"/>
              </w:rPr>
              <w:t>y</w:t>
            </w:r>
          </w:p>
        </w:tc>
        <w:tc>
          <w:tcPr>
            <w:tcW w:w="0" w:type="auto"/>
            <w:vAlign w:val="bottom"/>
            <w:hideMark/>
          </w:tcPr>
          <w:p w14:paraId="67B08891"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576243F9" w14:textId="77777777">
        <w:trPr>
          <w:trHeight w:val="160"/>
          <w:tblCellSpacing w:w="15" w:type="dxa"/>
        </w:trPr>
        <w:tc>
          <w:tcPr>
            <w:tcW w:w="0" w:type="auto"/>
            <w:vAlign w:val="bottom"/>
            <w:hideMark/>
          </w:tcPr>
          <w:p w14:paraId="5384EDC1"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2DA1F56F"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39516184"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0216D5A8"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410F3332"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7F2BE299"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51A10BD4"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2A4FB4C9"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4ED744A8" w14:textId="77777777" w:rsidR="00000000" w:rsidRDefault="003A1B5D">
            <w:pPr>
              <w:pStyle w:val="a3"/>
              <w:spacing w:before="0" w:beforeAutospacing="0" w:after="0" w:afterAutospacing="0"/>
              <w:jc w:val="center"/>
              <w:rPr>
                <w:sz w:val="16"/>
                <w:szCs w:val="16"/>
              </w:rPr>
            </w:pPr>
            <w:r>
              <w:rPr>
                <w:b/>
                <w:bCs/>
                <w:sz w:val="16"/>
                <w:szCs w:val="16"/>
              </w:rPr>
              <w:t>Additiona</w:t>
            </w:r>
            <w:r>
              <w:rPr>
                <w:b/>
                <w:bCs/>
                <w:sz w:val="16"/>
                <w:szCs w:val="16"/>
              </w:rPr>
              <w:t>l</w:t>
            </w:r>
          </w:p>
        </w:tc>
        <w:tc>
          <w:tcPr>
            <w:tcW w:w="0" w:type="auto"/>
            <w:vAlign w:val="bottom"/>
            <w:hideMark/>
          </w:tcPr>
          <w:p w14:paraId="3371BF5E"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2DC746ED"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0F8BA67"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7113E61E"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237011E6"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1D6B67EB" w14:textId="77777777" w:rsidR="00000000" w:rsidRDefault="003A1B5D">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14:paraId="3C7E6129"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789CF227" w14:textId="77777777">
        <w:trPr>
          <w:trHeight w:val="160"/>
          <w:tblCellSpacing w:w="15" w:type="dxa"/>
        </w:trPr>
        <w:tc>
          <w:tcPr>
            <w:tcW w:w="0" w:type="auto"/>
            <w:vAlign w:val="bottom"/>
            <w:hideMark/>
          </w:tcPr>
          <w:p w14:paraId="6FD69EBE"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1794BF75" w14:textId="77777777" w:rsidR="00000000" w:rsidRDefault="003A1B5D">
            <w:pPr>
              <w:pStyle w:val="a3"/>
              <w:spacing w:before="0" w:beforeAutospacing="0" w:after="0" w:afterAutospacing="0"/>
              <w:rPr>
                <w:sz w:val="16"/>
                <w:szCs w:val="16"/>
              </w:rPr>
            </w:pPr>
            <w:r>
              <w:rPr>
                <w:sz w:val="16"/>
                <w:szCs w:val="16"/>
              </w:rPr>
              <w:t> </w:t>
            </w:r>
          </w:p>
        </w:tc>
        <w:tc>
          <w:tcPr>
            <w:tcW w:w="0" w:type="auto"/>
            <w:gridSpan w:val="6"/>
            <w:vAlign w:val="bottom"/>
            <w:hideMark/>
          </w:tcPr>
          <w:p w14:paraId="4081BCA7" w14:textId="77777777" w:rsidR="00000000" w:rsidRDefault="003A1B5D">
            <w:pPr>
              <w:pStyle w:val="a3"/>
              <w:spacing w:before="0" w:beforeAutospacing="0" w:after="0" w:afterAutospacing="0"/>
              <w:jc w:val="center"/>
              <w:rPr>
                <w:sz w:val="16"/>
                <w:szCs w:val="16"/>
              </w:rPr>
            </w:pPr>
            <w:r>
              <w:rPr>
                <w:b/>
                <w:bCs/>
                <w:sz w:val="16"/>
                <w:szCs w:val="16"/>
              </w:rPr>
              <w:t>Common Stoc</w:t>
            </w:r>
            <w:r>
              <w:rPr>
                <w:b/>
                <w:bCs/>
                <w:sz w:val="16"/>
                <w:szCs w:val="16"/>
              </w:rPr>
              <w:t>k</w:t>
            </w:r>
          </w:p>
        </w:tc>
        <w:tc>
          <w:tcPr>
            <w:tcW w:w="0" w:type="auto"/>
            <w:vAlign w:val="bottom"/>
            <w:hideMark/>
          </w:tcPr>
          <w:p w14:paraId="4C2F21A4"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472A7BA7"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43D67ECC" w14:textId="77777777" w:rsidR="00000000" w:rsidRDefault="003A1B5D">
            <w:pPr>
              <w:pStyle w:val="a3"/>
              <w:spacing w:before="0" w:beforeAutospacing="0" w:after="0" w:afterAutospacing="0"/>
              <w:jc w:val="center"/>
              <w:rPr>
                <w:sz w:val="16"/>
                <w:szCs w:val="16"/>
              </w:rPr>
            </w:pPr>
            <w:r>
              <w:rPr>
                <w:b/>
                <w:bCs/>
                <w:sz w:val="16"/>
                <w:szCs w:val="16"/>
              </w:rPr>
              <w:t>Paid-i</w:t>
            </w:r>
            <w:r>
              <w:rPr>
                <w:b/>
                <w:bCs/>
                <w:sz w:val="16"/>
                <w:szCs w:val="16"/>
              </w:rPr>
              <w:t>n</w:t>
            </w:r>
          </w:p>
        </w:tc>
        <w:tc>
          <w:tcPr>
            <w:tcW w:w="0" w:type="auto"/>
            <w:vAlign w:val="bottom"/>
            <w:hideMark/>
          </w:tcPr>
          <w:p w14:paraId="16CB3CBE"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0DE5F654"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A27BBEC" w14:textId="77777777" w:rsidR="00000000" w:rsidRDefault="003A1B5D">
            <w:pPr>
              <w:pStyle w:val="a3"/>
              <w:spacing w:before="0" w:beforeAutospacing="0" w:after="0" w:afterAutospacing="0"/>
              <w:jc w:val="center"/>
              <w:rPr>
                <w:sz w:val="16"/>
                <w:szCs w:val="16"/>
              </w:rPr>
            </w:pPr>
            <w:r>
              <w:rPr>
                <w:b/>
                <w:bCs/>
                <w:sz w:val="16"/>
                <w:szCs w:val="16"/>
              </w:rPr>
              <w:t>Accumulate</w:t>
            </w:r>
            <w:r>
              <w:rPr>
                <w:b/>
                <w:bCs/>
                <w:sz w:val="16"/>
                <w:szCs w:val="16"/>
              </w:rPr>
              <w:t>d</w:t>
            </w:r>
          </w:p>
        </w:tc>
        <w:tc>
          <w:tcPr>
            <w:tcW w:w="0" w:type="auto"/>
            <w:vAlign w:val="bottom"/>
            <w:hideMark/>
          </w:tcPr>
          <w:p w14:paraId="71612A8B"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37AA0039"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0FD74993" w14:textId="77777777" w:rsidR="00000000" w:rsidRDefault="003A1B5D">
            <w:pPr>
              <w:pStyle w:val="a3"/>
              <w:spacing w:before="0" w:beforeAutospacing="0" w:after="0" w:afterAutospacing="0"/>
              <w:jc w:val="center"/>
              <w:rPr>
                <w:sz w:val="16"/>
                <w:szCs w:val="16"/>
              </w:rPr>
            </w:pPr>
            <w:r>
              <w:rPr>
                <w:b/>
                <w:bCs/>
                <w:sz w:val="16"/>
                <w:szCs w:val="16"/>
              </w:rPr>
              <w:t>Stockholders</w:t>
            </w:r>
            <w:r>
              <w:rPr>
                <w:b/>
                <w:bCs/>
                <w:sz w:val="16"/>
                <w:szCs w:val="16"/>
              </w:rPr>
              <w:t>'</w:t>
            </w:r>
          </w:p>
        </w:tc>
        <w:tc>
          <w:tcPr>
            <w:tcW w:w="0" w:type="auto"/>
            <w:vAlign w:val="bottom"/>
            <w:hideMark/>
          </w:tcPr>
          <w:p w14:paraId="512E4F16"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445D309C" w14:textId="77777777">
        <w:trPr>
          <w:trHeight w:val="160"/>
          <w:tblCellSpacing w:w="15" w:type="dxa"/>
        </w:trPr>
        <w:tc>
          <w:tcPr>
            <w:tcW w:w="0" w:type="auto"/>
            <w:vAlign w:val="bottom"/>
            <w:hideMark/>
          </w:tcPr>
          <w:p w14:paraId="3802C957"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5DF2DC28"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48F4C44C" w14:textId="77777777" w:rsidR="00000000" w:rsidRDefault="003A1B5D">
            <w:pPr>
              <w:pStyle w:val="a3"/>
              <w:spacing w:before="0" w:beforeAutospacing="0" w:after="0" w:afterAutospacing="0"/>
              <w:jc w:val="center"/>
              <w:rPr>
                <w:sz w:val="16"/>
                <w:szCs w:val="16"/>
              </w:rPr>
            </w:pPr>
            <w:r>
              <w:rPr>
                <w:b/>
                <w:bCs/>
                <w:sz w:val="16"/>
                <w:szCs w:val="16"/>
              </w:rPr>
              <w:t>Share</w:t>
            </w:r>
            <w:r>
              <w:rPr>
                <w:b/>
                <w:bCs/>
                <w:sz w:val="16"/>
                <w:szCs w:val="16"/>
              </w:rPr>
              <w:t>s</w:t>
            </w:r>
          </w:p>
        </w:tc>
        <w:tc>
          <w:tcPr>
            <w:tcW w:w="0" w:type="auto"/>
            <w:vAlign w:val="bottom"/>
            <w:hideMark/>
          </w:tcPr>
          <w:p w14:paraId="711B624F"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42977493"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475FF941" w14:textId="77777777" w:rsidR="00000000" w:rsidRDefault="003A1B5D">
            <w:pPr>
              <w:pStyle w:val="a3"/>
              <w:spacing w:before="0" w:beforeAutospacing="0" w:after="0" w:afterAutospacing="0"/>
              <w:jc w:val="center"/>
              <w:rPr>
                <w:sz w:val="16"/>
                <w:szCs w:val="16"/>
              </w:rPr>
            </w:pPr>
            <w:r>
              <w:rPr>
                <w:b/>
                <w:bCs/>
                <w:sz w:val="16"/>
                <w:szCs w:val="16"/>
              </w:rPr>
              <w:t>Par Valu</w:t>
            </w:r>
            <w:r>
              <w:rPr>
                <w:b/>
                <w:bCs/>
                <w:sz w:val="16"/>
                <w:szCs w:val="16"/>
              </w:rPr>
              <w:t>e</w:t>
            </w:r>
          </w:p>
        </w:tc>
        <w:tc>
          <w:tcPr>
            <w:tcW w:w="0" w:type="auto"/>
            <w:vAlign w:val="bottom"/>
            <w:hideMark/>
          </w:tcPr>
          <w:p w14:paraId="47EA01E3"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7757420B"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698DA55E" w14:textId="77777777" w:rsidR="00000000" w:rsidRDefault="003A1B5D">
            <w:pPr>
              <w:pStyle w:val="a3"/>
              <w:spacing w:before="0" w:beforeAutospacing="0" w:after="0" w:afterAutospacing="0"/>
              <w:jc w:val="center"/>
              <w:rPr>
                <w:sz w:val="16"/>
                <w:szCs w:val="16"/>
              </w:rPr>
            </w:pPr>
            <w:r>
              <w:rPr>
                <w:b/>
                <w:bCs/>
                <w:sz w:val="16"/>
                <w:szCs w:val="16"/>
              </w:rPr>
              <w:t>Capita</w:t>
            </w:r>
            <w:r>
              <w:rPr>
                <w:b/>
                <w:bCs/>
                <w:sz w:val="16"/>
                <w:szCs w:val="16"/>
              </w:rPr>
              <w:t>l</w:t>
            </w:r>
          </w:p>
        </w:tc>
        <w:tc>
          <w:tcPr>
            <w:tcW w:w="0" w:type="auto"/>
            <w:vAlign w:val="bottom"/>
            <w:hideMark/>
          </w:tcPr>
          <w:p w14:paraId="7A0DED46"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03548660"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CB3D2BC" w14:textId="77777777" w:rsidR="00000000" w:rsidRDefault="003A1B5D">
            <w:pPr>
              <w:pStyle w:val="a3"/>
              <w:spacing w:before="0" w:beforeAutospacing="0" w:after="0" w:afterAutospacing="0"/>
              <w:jc w:val="center"/>
              <w:rPr>
                <w:sz w:val="16"/>
                <w:szCs w:val="16"/>
              </w:rPr>
            </w:pPr>
            <w:r>
              <w:rPr>
                <w:b/>
                <w:bCs/>
                <w:sz w:val="16"/>
                <w:szCs w:val="16"/>
              </w:rPr>
              <w:t>Defici</w:t>
            </w:r>
            <w:r>
              <w:rPr>
                <w:b/>
                <w:bCs/>
                <w:sz w:val="16"/>
                <w:szCs w:val="16"/>
              </w:rPr>
              <w:t>t</w:t>
            </w:r>
          </w:p>
        </w:tc>
        <w:tc>
          <w:tcPr>
            <w:tcW w:w="0" w:type="auto"/>
            <w:vAlign w:val="bottom"/>
            <w:hideMark/>
          </w:tcPr>
          <w:p w14:paraId="79A86989"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4CE5AB8C"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1F30097" w14:textId="77777777" w:rsidR="00000000" w:rsidRDefault="003A1B5D">
            <w:pPr>
              <w:pStyle w:val="a3"/>
              <w:spacing w:before="0" w:beforeAutospacing="0" w:after="0" w:afterAutospacing="0"/>
              <w:jc w:val="center"/>
              <w:rPr>
                <w:sz w:val="16"/>
                <w:szCs w:val="16"/>
              </w:rPr>
            </w:pPr>
            <w:r>
              <w:rPr>
                <w:b/>
                <w:bCs/>
                <w:sz w:val="16"/>
                <w:szCs w:val="16"/>
              </w:rPr>
              <w:t>Equit</w:t>
            </w:r>
            <w:r>
              <w:rPr>
                <w:b/>
                <w:bCs/>
                <w:sz w:val="16"/>
                <w:szCs w:val="16"/>
              </w:rPr>
              <w:t>y</w:t>
            </w:r>
          </w:p>
        </w:tc>
        <w:tc>
          <w:tcPr>
            <w:tcW w:w="0" w:type="auto"/>
            <w:vAlign w:val="bottom"/>
            <w:hideMark/>
          </w:tcPr>
          <w:p w14:paraId="026A5576"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0BA71821" w14:textId="77777777">
        <w:trPr>
          <w:trHeight w:val="180"/>
          <w:tblCellSpacing w:w="15" w:type="dxa"/>
        </w:trPr>
        <w:tc>
          <w:tcPr>
            <w:tcW w:w="0" w:type="auto"/>
            <w:hideMark/>
          </w:tcPr>
          <w:p w14:paraId="461EB8F9" w14:textId="77777777" w:rsidR="00000000" w:rsidRDefault="003A1B5D">
            <w:pPr>
              <w:pStyle w:val="a3"/>
              <w:spacing w:before="0" w:beforeAutospacing="0" w:after="0" w:afterAutospacing="0"/>
              <w:rPr>
                <w:sz w:val="18"/>
                <w:szCs w:val="18"/>
              </w:rPr>
            </w:pPr>
            <w:r>
              <w:rPr>
                <w:sz w:val="18"/>
                <w:szCs w:val="18"/>
              </w:rPr>
              <w:t>Balance as of December 31, 202</w:t>
            </w:r>
            <w:r>
              <w:rPr>
                <w:sz w:val="18"/>
                <w:szCs w:val="18"/>
              </w:rPr>
              <w:t>1</w:t>
            </w:r>
          </w:p>
        </w:tc>
        <w:tc>
          <w:tcPr>
            <w:tcW w:w="0" w:type="auto"/>
            <w:vAlign w:val="bottom"/>
            <w:hideMark/>
          </w:tcPr>
          <w:p w14:paraId="23AB134F"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751071EC"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2EF5BBB" w14:textId="77777777" w:rsidR="00000000" w:rsidRDefault="003A1B5D">
            <w:pPr>
              <w:pStyle w:val="a3"/>
              <w:spacing w:before="0" w:beforeAutospacing="0" w:after="0" w:afterAutospacing="0"/>
              <w:jc w:val="right"/>
              <w:rPr>
                <w:sz w:val="20"/>
                <w:szCs w:val="20"/>
              </w:rPr>
            </w:pPr>
            <w:r>
              <w:rPr>
                <w:sz w:val="18"/>
                <w:szCs w:val="18"/>
              </w:rPr>
              <w:t>120,28</w:t>
            </w:r>
            <w:r>
              <w:rPr>
                <w:sz w:val="18"/>
                <w:szCs w:val="18"/>
              </w:rPr>
              <w:t>5</w:t>
            </w:r>
          </w:p>
        </w:tc>
        <w:tc>
          <w:tcPr>
            <w:tcW w:w="0" w:type="auto"/>
            <w:noWrap/>
            <w:vAlign w:val="bottom"/>
            <w:hideMark/>
          </w:tcPr>
          <w:p w14:paraId="039EC51E"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CFCBB81"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06B23921"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7E4664CD" w14:textId="77777777" w:rsidR="00000000" w:rsidRDefault="003A1B5D">
            <w:pPr>
              <w:pStyle w:val="a3"/>
              <w:spacing w:before="0" w:beforeAutospacing="0" w:after="0" w:afterAutospacing="0"/>
              <w:jc w:val="right"/>
              <w:rPr>
                <w:sz w:val="20"/>
                <w:szCs w:val="20"/>
              </w:rPr>
            </w:pPr>
            <w:r>
              <w:rPr>
                <w:sz w:val="18"/>
                <w:szCs w:val="18"/>
              </w:rPr>
              <w:t>1,20</w:t>
            </w:r>
            <w:r>
              <w:rPr>
                <w:sz w:val="18"/>
                <w:szCs w:val="18"/>
              </w:rPr>
              <w:t>3</w:t>
            </w:r>
          </w:p>
        </w:tc>
        <w:tc>
          <w:tcPr>
            <w:tcW w:w="0" w:type="auto"/>
            <w:noWrap/>
            <w:vAlign w:val="bottom"/>
            <w:hideMark/>
          </w:tcPr>
          <w:p w14:paraId="6D96070E"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F998438"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2F7233FB"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4B4103A4" w14:textId="77777777" w:rsidR="00000000" w:rsidRDefault="003A1B5D">
            <w:pPr>
              <w:pStyle w:val="a3"/>
              <w:spacing w:before="0" w:beforeAutospacing="0" w:after="0" w:afterAutospacing="0"/>
              <w:jc w:val="right"/>
              <w:rPr>
                <w:sz w:val="20"/>
                <w:szCs w:val="20"/>
              </w:rPr>
            </w:pPr>
            <w:r>
              <w:rPr>
                <w:sz w:val="18"/>
                <w:szCs w:val="18"/>
              </w:rPr>
              <w:t>1,869,95</w:t>
            </w:r>
            <w:r>
              <w:rPr>
                <w:sz w:val="18"/>
                <w:szCs w:val="18"/>
              </w:rPr>
              <w:t>5</w:t>
            </w:r>
          </w:p>
        </w:tc>
        <w:tc>
          <w:tcPr>
            <w:tcW w:w="0" w:type="auto"/>
            <w:noWrap/>
            <w:vAlign w:val="bottom"/>
            <w:hideMark/>
          </w:tcPr>
          <w:p w14:paraId="1835942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A817362"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333460ED"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7B773445" w14:textId="77777777" w:rsidR="00000000" w:rsidRDefault="003A1B5D">
            <w:pPr>
              <w:pStyle w:val="a3"/>
              <w:spacing w:before="0" w:beforeAutospacing="0" w:after="0" w:afterAutospacing="0"/>
              <w:jc w:val="right"/>
              <w:rPr>
                <w:sz w:val="20"/>
                <w:szCs w:val="20"/>
              </w:rPr>
            </w:pPr>
            <w:r>
              <w:rPr>
                <w:sz w:val="18"/>
                <w:szCs w:val="18"/>
              </w:rPr>
              <w:t>(</w:t>
            </w:r>
            <w:r>
              <w:rPr>
                <w:sz w:val="18"/>
                <w:szCs w:val="18"/>
              </w:rPr>
              <w:t>498,69</w:t>
            </w:r>
            <w:r>
              <w:rPr>
                <w:sz w:val="18"/>
                <w:szCs w:val="18"/>
              </w:rPr>
              <w:t>0</w:t>
            </w:r>
          </w:p>
        </w:tc>
        <w:tc>
          <w:tcPr>
            <w:tcW w:w="0" w:type="auto"/>
            <w:noWrap/>
            <w:vAlign w:val="bottom"/>
            <w:hideMark/>
          </w:tcPr>
          <w:p w14:paraId="271D228B"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23C3027E"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B436701"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33D352ED" w14:textId="77777777" w:rsidR="00000000" w:rsidRDefault="003A1B5D">
            <w:pPr>
              <w:pStyle w:val="a3"/>
              <w:spacing w:before="0" w:beforeAutospacing="0" w:after="0" w:afterAutospacing="0"/>
              <w:jc w:val="right"/>
              <w:rPr>
                <w:sz w:val="20"/>
                <w:szCs w:val="20"/>
              </w:rPr>
            </w:pPr>
            <w:r>
              <w:rPr>
                <w:sz w:val="18"/>
                <w:szCs w:val="18"/>
              </w:rPr>
              <w:t>1,372,46</w:t>
            </w:r>
            <w:r>
              <w:rPr>
                <w:sz w:val="18"/>
                <w:szCs w:val="18"/>
              </w:rPr>
              <w:t>8</w:t>
            </w:r>
          </w:p>
        </w:tc>
        <w:tc>
          <w:tcPr>
            <w:tcW w:w="0" w:type="auto"/>
            <w:noWrap/>
            <w:vAlign w:val="bottom"/>
            <w:hideMark/>
          </w:tcPr>
          <w:p w14:paraId="4D212577" w14:textId="77777777" w:rsidR="00000000" w:rsidRDefault="003A1B5D">
            <w:pPr>
              <w:pStyle w:val="a3"/>
              <w:spacing w:before="0" w:beforeAutospacing="0" w:after="0" w:afterAutospacing="0"/>
              <w:rPr>
                <w:sz w:val="18"/>
                <w:szCs w:val="18"/>
              </w:rPr>
            </w:pPr>
            <w:r>
              <w:rPr>
                <w:sz w:val="18"/>
                <w:szCs w:val="18"/>
              </w:rPr>
              <w:t> </w:t>
            </w:r>
          </w:p>
        </w:tc>
      </w:tr>
      <w:tr w:rsidR="00000000" w14:paraId="5B0788B7" w14:textId="77777777">
        <w:trPr>
          <w:trHeight w:val="180"/>
          <w:tblCellSpacing w:w="15" w:type="dxa"/>
        </w:trPr>
        <w:tc>
          <w:tcPr>
            <w:tcW w:w="0" w:type="auto"/>
            <w:hideMark/>
          </w:tcPr>
          <w:p w14:paraId="245571EC" w14:textId="77777777" w:rsidR="00000000" w:rsidRDefault="003A1B5D">
            <w:pPr>
              <w:pStyle w:val="a3"/>
              <w:spacing w:before="0" w:beforeAutospacing="0" w:after="0" w:afterAutospacing="0"/>
              <w:rPr>
                <w:sz w:val="18"/>
                <w:szCs w:val="18"/>
              </w:rPr>
            </w:pPr>
            <w:r>
              <w:rPr>
                <w:sz w:val="18"/>
                <w:szCs w:val="18"/>
              </w:rPr>
              <w:t>Net incom</w:t>
            </w:r>
            <w:r>
              <w:rPr>
                <w:sz w:val="18"/>
                <w:szCs w:val="18"/>
              </w:rPr>
              <w:t>e</w:t>
            </w:r>
          </w:p>
        </w:tc>
        <w:tc>
          <w:tcPr>
            <w:tcW w:w="0" w:type="auto"/>
            <w:vAlign w:val="bottom"/>
            <w:hideMark/>
          </w:tcPr>
          <w:p w14:paraId="7D002C98"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ABBB67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E538E6E"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468BE954"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0830D6B"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3EA6637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041A7EB"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41D39459"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CEEFA17"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26FD2371"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8456CDB"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7A6E005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9103AA9"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2EA747A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273A3FC" w14:textId="77777777" w:rsidR="00000000" w:rsidRDefault="003A1B5D">
            <w:pPr>
              <w:pStyle w:val="a3"/>
              <w:spacing w:before="0" w:beforeAutospacing="0" w:after="0" w:afterAutospacing="0"/>
              <w:jc w:val="right"/>
              <w:rPr>
                <w:sz w:val="20"/>
                <w:szCs w:val="20"/>
              </w:rPr>
            </w:pPr>
            <w:r>
              <w:rPr>
                <w:sz w:val="18"/>
                <w:szCs w:val="18"/>
              </w:rPr>
              <w:t>19,00</w:t>
            </w:r>
            <w:r>
              <w:rPr>
                <w:sz w:val="18"/>
                <w:szCs w:val="18"/>
              </w:rPr>
              <w:t>3</w:t>
            </w:r>
          </w:p>
        </w:tc>
        <w:tc>
          <w:tcPr>
            <w:tcW w:w="0" w:type="auto"/>
            <w:noWrap/>
            <w:vAlign w:val="bottom"/>
            <w:hideMark/>
          </w:tcPr>
          <w:p w14:paraId="0966D2BE"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8AF6E7B"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0D2E4C03"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426D513" w14:textId="77777777" w:rsidR="00000000" w:rsidRDefault="003A1B5D">
            <w:pPr>
              <w:pStyle w:val="a3"/>
              <w:spacing w:before="0" w:beforeAutospacing="0" w:after="0" w:afterAutospacing="0"/>
              <w:jc w:val="right"/>
              <w:rPr>
                <w:sz w:val="20"/>
                <w:szCs w:val="20"/>
              </w:rPr>
            </w:pPr>
            <w:r>
              <w:rPr>
                <w:sz w:val="18"/>
                <w:szCs w:val="18"/>
              </w:rPr>
              <w:t>19,00</w:t>
            </w:r>
            <w:r>
              <w:rPr>
                <w:sz w:val="18"/>
                <w:szCs w:val="18"/>
              </w:rPr>
              <w:t>3</w:t>
            </w:r>
          </w:p>
        </w:tc>
        <w:tc>
          <w:tcPr>
            <w:tcW w:w="0" w:type="auto"/>
            <w:noWrap/>
            <w:vAlign w:val="bottom"/>
            <w:hideMark/>
          </w:tcPr>
          <w:p w14:paraId="20C90668" w14:textId="77777777" w:rsidR="00000000" w:rsidRDefault="003A1B5D">
            <w:pPr>
              <w:pStyle w:val="a3"/>
              <w:spacing w:before="0" w:beforeAutospacing="0" w:after="0" w:afterAutospacing="0"/>
              <w:rPr>
                <w:sz w:val="18"/>
                <w:szCs w:val="18"/>
              </w:rPr>
            </w:pPr>
            <w:r>
              <w:rPr>
                <w:sz w:val="18"/>
                <w:szCs w:val="18"/>
              </w:rPr>
              <w:t> </w:t>
            </w:r>
          </w:p>
        </w:tc>
      </w:tr>
      <w:tr w:rsidR="00000000" w14:paraId="6A664AD0" w14:textId="77777777">
        <w:trPr>
          <w:trHeight w:val="180"/>
          <w:tblCellSpacing w:w="15" w:type="dxa"/>
        </w:trPr>
        <w:tc>
          <w:tcPr>
            <w:tcW w:w="0" w:type="auto"/>
            <w:hideMark/>
          </w:tcPr>
          <w:p w14:paraId="4B14B284" w14:textId="77777777" w:rsidR="00000000" w:rsidRDefault="003A1B5D">
            <w:pPr>
              <w:pStyle w:val="a3"/>
              <w:spacing w:before="0" w:beforeAutospacing="0" w:after="0" w:afterAutospacing="0"/>
              <w:rPr>
                <w:sz w:val="18"/>
                <w:szCs w:val="18"/>
              </w:rPr>
            </w:pPr>
            <w:r>
              <w:rPr>
                <w:sz w:val="18"/>
                <w:szCs w:val="18"/>
              </w:rPr>
              <w:t>Retirement of common stoc</w:t>
            </w:r>
            <w:r>
              <w:rPr>
                <w:sz w:val="18"/>
                <w:szCs w:val="18"/>
              </w:rPr>
              <w:t>k</w:t>
            </w:r>
          </w:p>
        </w:tc>
        <w:tc>
          <w:tcPr>
            <w:tcW w:w="0" w:type="auto"/>
            <w:vAlign w:val="bottom"/>
            <w:hideMark/>
          </w:tcPr>
          <w:p w14:paraId="74114A37"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56591F22"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40C3EA2" w14:textId="77777777" w:rsidR="00000000" w:rsidRDefault="003A1B5D">
            <w:pPr>
              <w:pStyle w:val="a3"/>
              <w:spacing w:before="0" w:beforeAutospacing="0" w:after="0" w:afterAutospacing="0"/>
              <w:jc w:val="right"/>
              <w:rPr>
                <w:sz w:val="20"/>
                <w:szCs w:val="20"/>
              </w:rPr>
            </w:pPr>
            <w:r>
              <w:rPr>
                <w:sz w:val="18"/>
                <w:szCs w:val="18"/>
              </w:rPr>
              <w:t>(</w:t>
            </w:r>
            <w:r>
              <w:rPr>
                <w:sz w:val="18"/>
                <w:szCs w:val="18"/>
              </w:rPr>
              <w:t>51</w:t>
            </w:r>
            <w:r>
              <w:rPr>
                <w:sz w:val="18"/>
                <w:szCs w:val="18"/>
              </w:rPr>
              <w:t>8</w:t>
            </w:r>
          </w:p>
        </w:tc>
        <w:tc>
          <w:tcPr>
            <w:tcW w:w="0" w:type="auto"/>
            <w:noWrap/>
            <w:vAlign w:val="bottom"/>
            <w:hideMark/>
          </w:tcPr>
          <w:p w14:paraId="54CB9A2D"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21E69B92"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26EB071C"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17C7333" w14:textId="77777777" w:rsidR="00000000" w:rsidRDefault="003A1B5D">
            <w:pPr>
              <w:pStyle w:val="a3"/>
              <w:spacing w:before="0" w:beforeAutospacing="0" w:after="0" w:afterAutospacing="0"/>
              <w:jc w:val="right"/>
              <w:rPr>
                <w:sz w:val="20"/>
                <w:szCs w:val="20"/>
              </w:rPr>
            </w:pPr>
            <w:r>
              <w:rPr>
                <w:sz w:val="18"/>
                <w:szCs w:val="18"/>
              </w:rPr>
              <w:t>(</w:t>
            </w:r>
            <w:r>
              <w:rPr>
                <w:sz w:val="18"/>
                <w:szCs w:val="18"/>
              </w:rPr>
              <w:t>5</w:t>
            </w:r>
          </w:p>
        </w:tc>
        <w:tc>
          <w:tcPr>
            <w:tcW w:w="0" w:type="auto"/>
            <w:noWrap/>
            <w:vAlign w:val="bottom"/>
            <w:hideMark/>
          </w:tcPr>
          <w:p w14:paraId="3E5C1D94"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6EE79D7D"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4691C5BC"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15BAAEA" w14:textId="77777777" w:rsidR="00000000" w:rsidRDefault="003A1B5D">
            <w:pPr>
              <w:pStyle w:val="a3"/>
              <w:spacing w:before="0" w:beforeAutospacing="0" w:after="0" w:afterAutospacing="0"/>
              <w:jc w:val="right"/>
              <w:rPr>
                <w:sz w:val="20"/>
                <w:szCs w:val="20"/>
              </w:rPr>
            </w:pPr>
            <w:r>
              <w:rPr>
                <w:sz w:val="18"/>
                <w:szCs w:val="18"/>
              </w:rPr>
              <w:t>(</w:t>
            </w:r>
            <w:r>
              <w:rPr>
                <w:sz w:val="18"/>
                <w:szCs w:val="18"/>
              </w:rPr>
              <w:t>5,13</w:t>
            </w:r>
            <w:r>
              <w:rPr>
                <w:sz w:val="18"/>
                <w:szCs w:val="18"/>
              </w:rPr>
              <w:t>9</w:t>
            </w:r>
          </w:p>
        </w:tc>
        <w:tc>
          <w:tcPr>
            <w:tcW w:w="0" w:type="auto"/>
            <w:noWrap/>
            <w:vAlign w:val="bottom"/>
            <w:hideMark/>
          </w:tcPr>
          <w:p w14:paraId="14B8C93F"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100D417E"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67963CD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9A7E0B1"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086393B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F266370"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2EC1B3FA"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8225410" w14:textId="77777777" w:rsidR="00000000" w:rsidRDefault="003A1B5D">
            <w:pPr>
              <w:pStyle w:val="a3"/>
              <w:spacing w:before="0" w:beforeAutospacing="0" w:after="0" w:afterAutospacing="0"/>
              <w:jc w:val="right"/>
              <w:rPr>
                <w:sz w:val="20"/>
                <w:szCs w:val="20"/>
              </w:rPr>
            </w:pPr>
            <w:r>
              <w:rPr>
                <w:sz w:val="18"/>
                <w:szCs w:val="18"/>
              </w:rPr>
              <w:t>(</w:t>
            </w:r>
            <w:r>
              <w:rPr>
                <w:sz w:val="18"/>
                <w:szCs w:val="18"/>
              </w:rPr>
              <w:t>5,14</w:t>
            </w:r>
            <w:r>
              <w:rPr>
                <w:sz w:val="18"/>
                <w:szCs w:val="18"/>
              </w:rPr>
              <w:t>4</w:t>
            </w:r>
          </w:p>
        </w:tc>
        <w:tc>
          <w:tcPr>
            <w:tcW w:w="0" w:type="auto"/>
            <w:noWrap/>
            <w:vAlign w:val="bottom"/>
            <w:hideMark/>
          </w:tcPr>
          <w:p w14:paraId="37FFC646" w14:textId="77777777" w:rsidR="00000000" w:rsidRDefault="003A1B5D">
            <w:pPr>
              <w:pStyle w:val="a3"/>
              <w:spacing w:before="0" w:beforeAutospacing="0" w:after="0" w:afterAutospacing="0"/>
              <w:rPr>
                <w:sz w:val="18"/>
                <w:szCs w:val="18"/>
              </w:rPr>
            </w:pPr>
            <w:r>
              <w:rPr>
                <w:sz w:val="18"/>
                <w:szCs w:val="18"/>
              </w:rPr>
              <w:t>)</w:t>
            </w:r>
          </w:p>
        </w:tc>
      </w:tr>
      <w:tr w:rsidR="00000000" w14:paraId="688A7C1F" w14:textId="77777777">
        <w:trPr>
          <w:trHeight w:val="180"/>
          <w:tblCellSpacing w:w="15" w:type="dxa"/>
        </w:trPr>
        <w:tc>
          <w:tcPr>
            <w:tcW w:w="0" w:type="auto"/>
            <w:hideMark/>
          </w:tcPr>
          <w:p w14:paraId="7150F02A" w14:textId="77777777" w:rsidR="00000000" w:rsidRDefault="003A1B5D">
            <w:pPr>
              <w:pStyle w:val="a3"/>
              <w:spacing w:before="0" w:beforeAutospacing="0" w:after="0" w:afterAutospacing="0"/>
              <w:rPr>
                <w:sz w:val="18"/>
                <w:szCs w:val="18"/>
              </w:rPr>
            </w:pPr>
            <w:r>
              <w:rPr>
                <w:sz w:val="18"/>
                <w:szCs w:val="18"/>
              </w:rPr>
              <w:t>Dividends on RSU</w:t>
            </w:r>
            <w:r>
              <w:rPr>
                <w:sz w:val="18"/>
                <w:szCs w:val="18"/>
              </w:rPr>
              <w:t>s</w:t>
            </w:r>
          </w:p>
        </w:tc>
        <w:tc>
          <w:tcPr>
            <w:tcW w:w="0" w:type="auto"/>
            <w:vAlign w:val="bottom"/>
            <w:hideMark/>
          </w:tcPr>
          <w:p w14:paraId="491A7CF5"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838AD0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152C035"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6EA482D9"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83CB79E"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C5CFAC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60C3CC3"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7E83FAB3"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8359A84"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2B758C9A"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79FB0D5"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244FC0C2"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2A2A31A"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5457E101"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A5FC4EB" w14:textId="77777777" w:rsidR="00000000" w:rsidRDefault="003A1B5D">
            <w:pPr>
              <w:pStyle w:val="a3"/>
              <w:spacing w:before="0" w:beforeAutospacing="0" w:after="0" w:afterAutospacing="0"/>
              <w:jc w:val="right"/>
              <w:rPr>
                <w:sz w:val="20"/>
                <w:szCs w:val="20"/>
              </w:rPr>
            </w:pPr>
            <w:r>
              <w:rPr>
                <w:sz w:val="18"/>
                <w:szCs w:val="18"/>
              </w:rPr>
              <w:t>(</w:t>
            </w:r>
            <w:r>
              <w:rPr>
                <w:sz w:val="18"/>
                <w:szCs w:val="18"/>
              </w:rPr>
              <w:t>7</w:t>
            </w:r>
            <w:r>
              <w:rPr>
                <w:sz w:val="18"/>
                <w:szCs w:val="18"/>
              </w:rPr>
              <w:t>7</w:t>
            </w:r>
          </w:p>
        </w:tc>
        <w:tc>
          <w:tcPr>
            <w:tcW w:w="0" w:type="auto"/>
            <w:noWrap/>
            <w:vAlign w:val="bottom"/>
            <w:hideMark/>
          </w:tcPr>
          <w:p w14:paraId="5712583E"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75D01970"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4B6CD28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8D4593C" w14:textId="77777777" w:rsidR="00000000" w:rsidRDefault="003A1B5D">
            <w:pPr>
              <w:pStyle w:val="a3"/>
              <w:spacing w:before="0" w:beforeAutospacing="0" w:after="0" w:afterAutospacing="0"/>
              <w:jc w:val="right"/>
              <w:rPr>
                <w:sz w:val="20"/>
                <w:szCs w:val="20"/>
              </w:rPr>
            </w:pPr>
            <w:r>
              <w:rPr>
                <w:sz w:val="18"/>
                <w:szCs w:val="18"/>
              </w:rPr>
              <w:t>(</w:t>
            </w:r>
            <w:r>
              <w:rPr>
                <w:sz w:val="18"/>
                <w:szCs w:val="18"/>
              </w:rPr>
              <w:t>7</w:t>
            </w:r>
            <w:r>
              <w:rPr>
                <w:sz w:val="18"/>
                <w:szCs w:val="18"/>
              </w:rPr>
              <w:t>7</w:t>
            </w:r>
          </w:p>
        </w:tc>
        <w:tc>
          <w:tcPr>
            <w:tcW w:w="0" w:type="auto"/>
            <w:noWrap/>
            <w:vAlign w:val="bottom"/>
            <w:hideMark/>
          </w:tcPr>
          <w:p w14:paraId="75701960" w14:textId="77777777" w:rsidR="00000000" w:rsidRDefault="003A1B5D">
            <w:pPr>
              <w:pStyle w:val="a3"/>
              <w:spacing w:before="0" w:beforeAutospacing="0" w:after="0" w:afterAutospacing="0"/>
              <w:rPr>
                <w:sz w:val="18"/>
                <w:szCs w:val="18"/>
              </w:rPr>
            </w:pPr>
            <w:r>
              <w:rPr>
                <w:sz w:val="18"/>
                <w:szCs w:val="18"/>
              </w:rPr>
              <w:t>)</w:t>
            </w:r>
          </w:p>
        </w:tc>
      </w:tr>
      <w:tr w:rsidR="00000000" w14:paraId="19502E7F" w14:textId="77777777">
        <w:trPr>
          <w:trHeight w:val="180"/>
          <w:tblCellSpacing w:w="15" w:type="dxa"/>
        </w:trPr>
        <w:tc>
          <w:tcPr>
            <w:tcW w:w="0" w:type="auto"/>
            <w:hideMark/>
          </w:tcPr>
          <w:p w14:paraId="23C8A208" w14:textId="77777777" w:rsidR="00000000" w:rsidRDefault="003A1B5D">
            <w:pPr>
              <w:pStyle w:val="a3"/>
              <w:spacing w:before="0" w:beforeAutospacing="0" w:after="0" w:afterAutospacing="0"/>
              <w:rPr>
                <w:sz w:val="18"/>
                <w:szCs w:val="18"/>
              </w:rPr>
            </w:pPr>
            <w:r>
              <w:rPr>
                <w:sz w:val="18"/>
                <w:szCs w:val="18"/>
              </w:rPr>
              <w:t>Restricted stock compensation, net of forfeiture</w:t>
            </w:r>
            <w:r>
              <w:rPr>
                <w:sz w:val="18"/>
                <w:szCs w:val="18"/>
              </w:rPr>
              <w:t>s</w:t>
            </w:r>
          </w:p>
        </w:tc>
        <w:tc>
          <w:tcPr>
            <w:tcW w:w="0" w:type="auto"/>
            <w:vAlign w:val="bottom"/>
            <w:hideMark/>
          </w:tcPr>
          <w:p w14:paraId="62FCCE8B"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78C88D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56A2129"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5386C3D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413CD71"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36BD6D0D"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C0D4F16"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459FBDC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C4083BD"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720ABA94"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0A4C690" w14:textId="77777777" w:rsidR="00000000" w:rsidRDefault="003A1B5D">
            <w:pPr>
              <w:pStyle w:val="a3"/>
              <w:spacing w:before="0" w:beforeAutospacing="0" w:after="0" w:afterAutospacing="0"/>
              <w:jc w:val="right"/>
              <w:rPr>
                <w:sz w:val="20"/>
                <w:szCs w:val="20"/>
              </w:rPr>
            </w:pPr>
            <w:r>
              <w:rPr>
                <w:sz w:val="18"/>
                <w:szCs w:val="18"/>
              </w:rPr>
              <w:t>5,26</w:t>
            </w:r>
            <w:r>
              <w:rPr>
                <w:sz w:val="18"/>
                <w:szCs w:val="18"/>
              </w:rPr>
              <w:t>7</w:t>
            </w:r>
          </w:p>
        </w:tc>
        <w:tc>
          <w:tcPr>
            <w:tcW w:w="0" w:type="auto"/>
            <w:noWrap/>
            <w:vAlign w:val="bottom"/>
            <w:hideMark/>
          </w:tcPr>
          <w:p w14:paraId="6C62537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328A4D8"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948B75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5ADE896"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4BC07884"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1DC385F"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686B54DF"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8A3F056" w14:textId="77777777" w:rsidR="00000000" w:rsidRDefault="003A1B5D">
            <w:pPr>
              <w:pStyle w:val="a3"/>
              <w:spacing w:before="0" w:beforeAutospacing="0" w:after="0" w:afterAutospacing="0"/>
              <w:jc w:val="right"/>
              <w:rPr>
                <w:sz w:val="20"/>
                <w:szCs w:val="20"/>
              </w:rPr>
            </w:pPr>
            <w:r>
              <w:rPr>
                <w:sz w:val="18"/>
                <w:szCs w:val="18"/>
              </w:rPr>
              <w:t>5,26</w:t>
            </w:r>
            <w:r>
              <w:rPr>
                <w:sz w:val="18"/>
                <w:szCs w:val="18"/>
              </w:rPr>
              <w:t>7</w:t>
            </w:r>
          </w:p>
        </w:tc>
        <w:tc>
          <w:tcPr>
            <w:tcW w:w="0" w:type="auto"/>
            <w:noWrap/>
            <w:vAlign w:val="bottom"/>
            <w:hideMark/>
          </w:tcPr>
          <w:p w14:paraId="444800B6" w14:textId="77777777" w:rsidR="00000000" w:rsidRDefault="003A1B5D">
            <w:pPr>
              <w:pStyle w:val="a3"/>
              <w:spacing w:before="0" w:beforeAutospacing="0" w:after="0" w:afterAutospacing="0"/>
              <w:rPr>
                <w:sz w:val="18"/>
                <w:szCs w:val="18"/>
              </w:rPr>
            </w:pPr>
            <w:r>
              <w:rPr>
                <w:sz w:val="18"/>
                <w:szCs w:val="18"/>
              </w:rPr>
              <w:t> </w:t>
            </w:r>
          </w:p>
        </w:tc>
      </w:tr>
      <w:tr w:rsidR="00000000" w14:paraId="49798256" w14:textId="77777777">
        <w:trPr>
          <w:trHeight w:val="180"/>
          <w:tblCellSpacing w:w="15" w:type="dxa"/>
        </w:trPr>
        <w:tc>
          <w:tcPr>
            <w:tcW w:w="0" w:type="auto"/>
            <w:hideMark/>
          </w:tcPr>
          <w:p w14:paraId="34147296" w14:textId="77777777" w:rsidR="00000000" w:rsidRDefault="003A1B5D">
            <w:pPr>
              <w:pStyle w:val="a3"/>
              <w:spacing w:before="0" w:beforeAutospacing="0" w:after="0" w:afterAutospacing="0"/>
              <w:rPr>
                <w:sz w:val="18"/>
                <w:szCs w:val="18"/>
              </w:rPr>
            </w:pPr>
            <w:r>
              <w:rPr>
                <w:sz w:val="18"/>
                <w:szCs w:val="18"/>
              </w:rPr>
              <w:t>Restricted stock grant</w:t>
            </w:r>
            <w:r>
              <w:rPr>
                <w:sz w:val="18"/>
                <w:szCs w:val="18"/>
              </w:rPr>
              <w:t>s</w:t>
            </w:r>
          </w:p>
        </w:tc>
        <w:tc>
          <w:tcPr>
            <w:tcW w:w="0" w:type="auto"/>
            <w:vAlign w:val="bottom"/>
            <w:hideMark/>
          </w:tcPr>
          <w:p w14:paraId="0F7CC407"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40790AB9"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E9D2E4D" w14:textId="77777777" w:rsidR="00000000" w:rsidRDefault="003A1B5D">
            <w:pPr>
              <w:pStyle w:val="a3"/>
              <w:spacing w:before="0" w:beforeAutospacing="0" w:after="0" w:afterAutospacing="0"/>
              <w:jc w:val="right"/>
              <w:rPr>
                <w:sz w:val="20"/>
                <w:szCs w:val="20"/>
              </w:rPr>
            </w:pPr>
            <w:r>
              <w:rPr>
                <w:sz w:val="18"/>
                <w:szCs w:val="18"/>
              </w:rPr>
              <w:t>1,81</w:t>
            </w:r>
            <w:r>
              <w:rPr>
                <w:sz w:val="18"/>
                <w:szCs w:val="18"/>
              </w:rPr>
              <w:t>9</w:t>
            </w:r>
          </w:p>
        </w:tc>
        <w:tc>
          <w:tcPr>
            <w:tcW w:w="0" w:type="auto"/>
            <w:noWrap/>
            <w:vAlign w:val="bottom"/>
            <w:hideMark/>
          </w:tcPr>
          <w:p w14:paraId="6F062AAB"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A9FD522"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40C072A9"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1FB9A28" w14:textId="77777777" w:rsidR="00000000" w:rsidRDefault="003A1B5D">
            <w:pPr>
              <w:pStyle w:val="a3"/>
              <w:spacing w:before="0" w:beforeAutospacing="0" w:after="0" w:afterAutospacing="0"/>
              <w:jc w:val="right"/>
              <w:rPr>
                <w:sz w:val="20"/>
                <w:szCs w:val="20"/>
              </w:rPr>
            </w:pPr>
            <w:r>
              <w:rPr>
                <w:sz w:val="18"/>
                <w:szCs w:val="18"/>
              </w:rPr>
              <w:t>1</w:t>
            </w:r>
            <w:r>
              <w:rPr>
                <w:sz w:val="18"/>
                <w:szCs w:val="18"/>
              </w:rPr>
              <w:t>8</w:t>
            </w:r>
          </w:p>
        </w:tc>
        <w:tc>
          <w:tcPr>
            <w:tcW w:w="0" w:type="auto"/>
            <w:noWrap/>
            <w:vAlign w:val="bottom"/>
            <w:hideMark/>
          </w:tcPr>
          <w:p w14:paraId="1C55C56D"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183B8B9"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555247AE"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094BA13" w14:textId="77777777" w:rsidR="00000000" w:rsidRDefault="003A1B5D">
            <w:pPr>
              <w:pStyle w:val="a3"/>
              <w:spacing w:before="0" w:beforeAutospacing="0" w:after="0" w:afterAutospacing="0"/>
              <w:jc w:val="right"/>
              <w:rPr>
                <w:sz w:val="20"/>
                <w:szCs w:val="20"/>
              </w:rPr>
            </w:pPr>
            <w:r>
              <w:rPr>
                <w:sz w:val="18"/>
                <w:szCs w:val="18"/>
              </w:rPr>
              <w:t>(</w:t>
            </w:r>
            <w:r>
              <w:rPr>
                <w:sz w:val="18"/>
                <w:szCs w:val="18"/>
              </w:rPr>
              <w:t>1</w:t>
            </w:r>
            <w:r>
              <w:rPr>
                <w:sz w:val="18"/>
                <w:szCs w:val="18"/>
              </w:rPr>
              <w:t>8</w:t>
            </w:r>
          </w:p>
        </w:tc>
        <w:tc>
          <w:tcPr>
            <w:tcW w:w="0" w:type="auto"/>
            <w:noWrap/>
            <w:vAlign w:val="bottom"/>
            <w:hideMark/>
          </w:tcPr>
          <w:p w14:paraId="74B338E6"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1A9AD322"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40A27154"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2E28346"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36D2F384"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5D4D5AF"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6116866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82EB924"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73817BDB" w14:textId="77777777" w:rsidR="00000000" w:rsidRDefault="003A1B5D">
            <w:pPr>
              <w:pStyle w:val="a3"/>
              <w:spacing w:before="0" w:beforeAutospacing="0" w:after="0" w:afterAutospacing="0"/>
              <w:rPr>
                <w:sz w:val="18"/>
                <w:szCs w:val="18"/>
              </w:rPr>
            </w:pPr>
            <w:r>
              <w:rPr>
                <w:sz w:val="18"/>
                <w:szCs w:val="18"/>
              </w:rPr>
              <w:t> </w:t>
            </w:r>
          </w:p>
        </w:tc>
      </w:tr>
      <w:tr w:rsidR="00000000" w14:paraId="152990C3" w14:textId="77777777">
        <w:trPr>
          <w:trHeight w:val="180"/>
          <w:tblCellSpacing w:w="15" w:type="dxa"/>
        </w:trPr>
        <w:tc>
          <w:tcPr>
            <w:tcW w:w="0" w:type="auto"/>
            <w:hideMark/>
          </w:tcPr>
          <w:p w14:paraId="5589E7CB" w14:textId="77777777" w:rsidR="00000000" w:rsidRDefault="003A1B5D">
            <w:pPr>
              <w:pStyle w:val="a3"/>
              <w:spacing w:before="0" w:beforeAutospacing="0" w:after="0" w:afterAutospacing="0"/>
              <w:rPr>
                <w:sz w:val="18"/>
                <w:szCs w:val="18"/>
              </w:rPr>
            </w:pPr>
            <w:r>
              <w:rPr>
                <w:sz w:val="18"/>
                <w:szCs w:val="18"/>
              </w:rPr>
              <w:t>Balance as of March 31, 202</w:t>
            </w:r>
            <w:r>
              <w:rPr>
                <w:sz w:val="18"/>
                <w:szCs w:val="18"/>
              </w:rPr>
              <w:t>2</w:t>
            </w:r>
          </w:p>
        </w:tc>
        <w:tc>
          <w:tcPr>
            <w:tcW w:w="0" w:type="auto"/>
            <w:vAlign w:val="bottom"/>
            <w:hideMark/>
          </w:tcPr>
          <w:p w14:paraId="268E4CAF"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3C20ABAB"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C668DA5" w14:textId="77777777" w:rsidR="00000000" w:rsidRDefault="003A1B5D">
            <w:pPr>
              <w:pStyle w:val="a3"/>
              <w:spacing w:before="0" w:beforeAutospacing="0" w:after="0" w:afterAutospacing="0"/>
              <w:jc w:val="right"/>
              <w:rPr>
                <w:sz w:val="20"/>
                <w:szCs w:val="20"/>
              </w:rPr>
            </w:pPr>
            <w:r>
              <w:rPr>
                <w:sz w:val="18"/>
                <w:szCs w:val="18"/>
              </w:rPr>
              <w:t>121,58</w:t>
            </w:r>
            <w:r>
              <w:rPr>
                <w:sz w:val="18"/>
                <w:szCs w:val="18"/>
              </w:rPr>
              <w:t>6</w:t>
            </w:r>
          </w:p>
        </w:tc>
        <w:tc>
          <w:tcPr>
            <w:tcW w:w="0" w:type="auto"/>
            <w:noWrap/>
            <w:vAlign w:val="bottom"/>
            <w:hideMark/>
          </w:tcPr>
          <w:p w14:paraId="1554DA92"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351CE88"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246D19CA"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088320E5" w14:textId="77777777" w:rsidR="00000000" w:rsidRDefault="003A1B5D">
            <w:pPr>
              <w:pStyle w:val="a3"/>
              <w:spacing w:before="0" w:beforeAutospacing="0" w:after="0" w:afterAutospacing="0"/>
              <w:jc w:val="right"/>
              <w:rPr>
                <w:sz w:val="20"/>
                <w:szCs w:val="20"/>
              </w:rPr>
            </w:pPr>
            <w:r>
              <w:rPr>
                <w:sz w:val="18"/>
                <w:szCs w:val="18"/>
              </w:rPr>
              <w:t>1,21</w:t>
            </w:r>
            <w:r>
              <w:rPr>
                <w:sz w:val="18"/>
                <w:szCs w:val="18"/>
              </w:rPr>
              <w:t>6</w:t>
            </w:r>
          </w:p>
        </w:tc>
        <w:tc>
          <w:tcPr>
            <w:tcW w:w="0" w:type="auto"/>
            <w:noWrap/>
            <w:vAlign w:val="bottom"/>
            <w:hideMark/>
          </w:tcPr>
          <w:p w14:paraId="2991A1BF"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2F6EAD6"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659BF466"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2AFBD309" w14:textId="77777777" w:rsidR="00000000" w:rsidRDefault="003A1B5D">
            <w:pPr>
              <w:pStyle w:val="a3"/>
              <w:spacing w:before="0" w:beforeAutospacing="0" w:after="0" w:afterAutospacing="0"/>
              <w:jc w:val="right"/>
              <w:rPr>
                <w:sz w:val="20"/>
                <w:szCs w:val="20"/>
              </w:rPr>
            </w:pPr>
            <w:r>
              <w:rPr>
                <w:sz w:val="18"/>
                <w:szCs w:val="18"/>
              </w:rPr>
              <w:t>1,870,06</w:t>
            </w:r>
            <w:r>
              <w:rPr>
                <w:sz w:val="18"/>
                <w:szCs w:val="18"/>
              </w:rPr>
              <w:t>5</w:t>
            </w:r>
          </w:p>
        </w:tc>
        <w:tc>
          <w:tcPr>
            <w:tcW w:w="0" w:type="auto"/>
            <w:noWrap/>
            <w:vAlign w:val="bottom"/>
            <w:hideMark/>
          </w:tcPr>
          <w:p w14:paraId="19DBBBEA"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DC4C9F7"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2184C6EC"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7DD01C6E" w14:textId="77777777" w:rsidR="00000000" w:rsidRDefault="003A1B5D">
            <w:pPr>
              <w:pStyle w:val="a3"/>
              <w:spacing w:before="0" w:beforeAutospacing="0" w:after="0" w:afterAutospacing="0"/>
              <w:jc w:val="right"/>
              <w:rPr>
                <w:sz w:val="20"/>
                <w:szCs w:val="20"/>
              </w:rPr>
            </w:pPr>
            <w:r>
              <w:rPr>
                <w:sz w:val="18"/>
                <w:szCs w:val="18"/>
              </w:rPr>
              <w:t>(</w:t>
            </w:r>
            <w:r>
              <w:rPr>
                <w:sz w:val="18"/>
                <w:szCs w:val="18"/>
              </w:rPr>
              <w:t>479,76</w:t>
            </w:r>
            <w:r>
              <w:rPr>
                <w:sz w:val="18"/>
                <w:szCs w:val="18"/>
              </w:rPr>
              <w:t>4</w:t>
            </w:r>
          </w:p>
        </w:tc>
        <w:tc>
          <w:tcPr>
            <w:tcW w:w="0" w:type="auto"/>
            <w:noWrap/>
            <w:vAlign w:val="bottom"/>
            <w:hideMark/>
          </w:tcPr>
          <w:p w14:paraId="33DF99DA"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241E1DA2"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326396BC"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319A7DB1" w14:textId="77777777" w:rsidR="00000000" w:rsidRDefault="003A1B5D">
            <w:pPr>
              <w:pStyle w:val="a3"/>
              <w:spacing w:before="0" w:beforeAutospacing="0" w:after="0" w:afterAutospacing="0"/>
              <w:jc w:val="right"/>
              <w:rPr>
                <w:sz w:val="20"/>
                <w:szCs w:val="20"/>
              </w:rPr>
            </w:pPr>
            <w:r>
              <w:rPr>
                <w:sz w:val="18"/>
                <w:szCs w:val="18"/>
              </w:rPr>
              <w:t>1,391,51</w:t>
            </w:r>
            <w:r>
              <w:rPr>
                <w:sz w:val="18"/>
                <w:szCs w:val="18"/>
              </w:rPr>
              <w:t>7</w:t>
            </w:r>
          </w:p>
        </w:tc>
        <w:tc>
          <w:tcPr>
            <w:tcW w:w="0" w:type="auto"/>
            <w:noWrap/>
            <w:vAlign w:val="bottom"/>
            <w:hideMark/>
          </w:tcPr>
          <w:p w14:paraId="0ED4CF83" w14:textId="77777777" w:rsidR="00000000" w:rsidRDefault="003A1B5D">
            <w:pPr>
              <w:pStyle w:val="a3"/>
              <w:spacing w:before="0" w:beforeAutospacing="0" w:after="0" w:afterAutospacing="0"/>
              <w:rPr>
                <w:sz w:val="18"/>
                <w:szCs w:val="18"/>
              </w:rPr>
            </w:pPr>
            <w:r>
              <w:rPr>
                <w:sz w:val="18"/>
                <w:szCs w:val="18"/>
              </w:rPr>
              <w:t> </w:t>
            </w:r>
          </w:p>
        </w:tc>
      </w:tr>
      <w:tr w:rsidR="00000000" w14:paraId="36B67F84" w14:textId="77777777">
        <w:trPr>
          <w:trHeight w:val="180"/>
          <w:tblCellSpacing w:w="15" w:type="dxa"/>
        </w:trPr>
        <w:tc>
          <w:tcPr>
            <w:tcW w:w="0" w:type="auto"/>
            <w:hideMark/>
          </w:tcPr>
          <w:p w14:paraId="76A336D8" w14:textId="77777777" w:rsidR="00000000" w:rsidRDefault="003A1B5D">
            <w:pPr>
              <w:pStyle w:val="a3"/>
              <w:spacing w:before="0" w:beforeAutospacing="0" w:after="0" w:afterAutospacing="0"/>
              <w:rPr>
                <w:sz w:val="18"/>
                <w:szCs w:val="18"/>
              </w:rPr>
            </w:pPr>
            <w:r>
              <w:rPr>
                <w:sz w:val="18"/>
                <w:szCs w:val="18"/>
              </w:rPr>
              <w:t>Net incom</w:t>
            </w:r>
            <w:r>
              <w:rPr>
                <w:sz w:val="18"/>
                <w:szCs w:val="18"/>
              </w:rPr>
              <w:t>e</w:t>
            </w:r>
          </w:p>
        </w:tc>
        <w:tc>
          <w:tcPr>
            <w:tcW w:w="0" w:type="auto"/>
            <w:vAlign w:val="bottom"/>
            <w:hideMark/>
          </w:tcPr>
          <w:p w14:paraId="6E7BEA89"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22E1838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07FB253"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7DE903A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F3DEDEA"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35DD1887"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E02C9E2"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4C07D0F2"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2E7B8D7"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6EAB03A4"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1B7AE3A"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6EA3C674"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C0132C0"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7504A4B9"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E303728" w14:textId="77777777" w:rsidR="00000000" w:rsidRDefault="003A1B5D">
            <w:pPr>
              <w:pStyle w:val="a3"/>
              <w:spacing w:before="0" w:beforeAutospacing="0" w:after="0" w:afterAutospacing="0"/>
              <w:jc w:val="right"/>
              <w:rPr>
                <w:sz w:val="20"/>
                <w:szCs w:val="20"/>
              </w:rPr>
            </w:pPr>
            <w:r>
              <w:rPr>
                <w:sz w:val="18"/>
                <w:szCs w:val="18"/>
              </w:rPr>
              <w:t>10,56</w:t>
            </w:r>
            <w:r>
              <w:rPr>
                <w:sz w:val="18"/>
                <w:szCs w:val="18"/>
              </w:rPr>
              <w:t>2</w:t>
            </w:r>
          </w:p>
        </w:tc>
        <w:tc>
          <w:tcPr>
            <w:tcW w:w="0" w:type="auto"/>
            <w:noWrap/>
            <w:vAlign w:val="bottom"/>
            <w:hideMark/>
          </w:tcPr>
          <w:p w14:paraId="2AC0CD61"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193BF88"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5C278E3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487843B" w14:textId="77777777" w:rsidR="00000000" w:rsidRDefault="003A1B5D">
            <w:pPr>
              <w:pStyle w:val="a3"/>
              <w:spacing w:before="0" w:beforeAutospacing="0" w:after="0" w:afterAutospacing="0"/>
              <w:jc w:val="right"/>
              <w:rPr>
                <w:sz w:val="20"/>
                <w:szCs w:val="20"/>
              </w:rPr>
            </w:pPr>
            <w:r>
              <w:rPr>
                <w:sz w:val="18"/>
                <w:szCs w:val="18"/>
              </w:rPr>
              <w:t>10,56</w:t>
            </w:r>
            <w:r>
              <w:rPr>
                <w:sz w:val="18"/>
                <w:szCs w:val="18"/>
              </w:rPr>
              <w:t>2</w:t>
            </w:r>
          </w:p>
        </w:tc>
        <w:tc>
          <w:tcPr>
            <w:tcW w:w="0" w:type="auto"/>
            <w:noWrap/>
            <w:vAlign w:val="bottom"/>
            <w:hideMark/>
          </w:tcPr>
          <w:p w14:paraId="0DE8CABD" w14:textId="77777777" w:rsidR="00000000" w:rsidRDefault="003A1B5D">
            <w:pPr>
              <w:pStyle w:val="a3"/>
              <w:spacing w:before="0" w:beforeAutospacing="0" w:after="0" w:afterAutospacing="0"/>
              <w:rPr>
                <w:sz w:val="18"/>
                <w:szCs w:val="18"/>
              </w:rPr>
            </w:pPr>
            <w:r>
              <w:rPr>
                <w:sz w:val="18"/>
                <w:szCs w:val="18"/>
              </w:rPr>
              <w:t> </w:t>
            </w:r>
          </w:p>
        </w:tc>
      </w:tr>
      <w:tr w:rsidR="00000000" w14:paraId="76D5109B" w14:textId="77777777">
        <w:trPr>
          <w:trHeight w:val="180"/>
          <w:tblCellSpacing w:w="15" w:type="dxa"/>
        </w:trPr>
        <w:tc>
          <w:tcPr>
            <w:tcW w:w="0" w:type="auto"/>
            <w:hideMark/>
          </w:tcPr>
          <w:p w14:paraId="1246B00A" w14:textId="77777777" w:rsidR="00000000" w:rsidRDefault="003A1B5D">
            <w:pPr>
              <w:pStyle w:val="a3"/>
              <w:spacing w:before="0" w:beforeAutospacing="0" w:after="0" w:afterAutospacing="0"/>
              <w:rPr>
                <w:sz w:val="18"/>
                <w:szCs w:val="18"/>
              </w:rPr>
            </w:pPr>
            <w:r>
              <w:rPr>
                <w:sz w:val="18"/>
                <w:szCs w:val="18"/>
              </w:rPr>
              <w:t>Retirement of common stoc</w:t>
            </w:r>
            <w:r>
              <w:rPr>
                <w:sz w:val="18"/>
                <w:szCs w:val="18"/>
              </w:rPr>
              <w:t>k</w:t>
            </w:r>
          </w:p>
        </w:tc>
        <w:tc>
          <w:tcPr>
            <w:tcW w:w="0" w:type="auto"/>
            <w:vAlign w:val="bottom"/>
            <w:hideMark/>
          </w:tcPr>
          <w:p w14:paraId="3CDC353E"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66F35B8B"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10BE367" w14:textId="77777777" w:rsidR="00000000" w:rsidRDefault="003A1B5D">
            <w:pPr>
              <w:pStyle w:val="a3"/>
              <w:spacing w:before="0" w:beforeAutospacing="0" w:after="0" w:afterAutospacing="0"/>
              <w:jc w:val="right"/>
              <w:rPr>
                <w:sz w:val="20"/>
                <w:szCs w:val="20"/>
              </w:rPr>
            </w:pPr>
            <w:r>
              <w:rPr>
                <w:sz w:val="18"/>
                <w:szCs w:val="18"/>
              </w:rPr>
              <w:t>(</w:t>
            </w:r>
            <w:r>
              <w:rPr>
                <w:sz w:val="18"/>
                <w:szCs w:val="18"/>
              </w:rPr>
              <w:t>2,98</w:t>
            </w:r>
            <w:r>
              <w:rPr>
                <w:sz w:val="18"/>
                <w:szCs w:val="18"/>
              </w:rPr>
              <w:t>5</w:t>
            </w:r>
          </w:p>
        </w:tc>
        <w:tc>
          <w:tcPr>
            <w:tcW w:w="0" w:type="auto"/>
            <w:noWrap/>
            <w:vAlign w:val="bottom"/>
            <w:hideMark/>
          </w:tcPr>
          <w:p w14:paraId="601F9C37"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37B8D3DB"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48A44549"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102DB5B" w14:textId="77777777" w:rsidR="00000000" w:rsidRDefault="003A1B5D">
            <w:pPr>
              <w:pStyle w:val="a3"/>
              <w:spacing w:before="0" w:beforeAutospacing="0" w:after="0" w:afterAutospacing="0"/>
              <w:jc w:val="right"/>
              <w:rPr>
                <w:sz w:val="20"/>
                <w:szCs w:val="20"/>
              </w:rPr>
            </w:pPr>
            <w:r>
              <w:rPr>
                <w:sz w:val="18"/>
                <w:szCs w:val="18"/>
              </w:rPr>
              <w:t>(</w:t>
            </w:r>
            <w:r>
              <w:rPr>
                <w:sz w:val="18"/>
                <w:szCs w:val="18"/>
              </w:rPr>
              <w:t>3</w:t>
            </w:r>
            <w:r>
              <w:rPr>
                <w:sz w:val="18"/>
                <w:szCs w:val="18"/>
              </w:rPr>
              <w:t>0</w:t>
            </w:r>
          </w:p>
        </w:tc>
        <w:tc>
          <w:tcPr>
            <w:tcW w:w="0" w:type="auto"/>
            <w:noWrap/>
            <w:vAlign w:val="bottom"/>
            <w:hideMark/>
          </w:tcPr>
          <w:p w14:paraId="45A62A18"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12A9B41C"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36F646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36B68CF" w14:textId="77777777" w:rsidR="00000000" w:rsidRDefault="003A1B5D">
            <w:pPr>
              <w:pStyle w:val="a3"/>
              <w:spacing w:before="0" w:beforeAutospacing="0" w:after="0" w:afterAutospacing="0"/>
              <w:jc w:val="right"/>
              <w:rPr>
                <w:sz w:val="20"/>
                <w:szCs w:val="20"/>
              </w:rPr>
            </w:pPr>
            <w:r>
              <w:rPr>
                <w:sz w:val="18"/>
                <w:szCs w:val="18"/>
              </w:rPr>
              <w:t>(</w:t>
            </w:r>
            <w:r>
              <w:rPr>
                <w:sz w:val="18"/>
                <w:szCs w:val="18"/>
              </w:rPr>
              <w:t>37,56</w:t>
            </w:r>
            <w:r>
              <w:rPr>
                <w:sz w:val="18"/>
                <w:szCs w:val="18"/>
              </w:rPr>
              <w:t>9</w:t>
            </w:r>
          </w:p>
        </w:tc>
        <w:tc>
          <w:tcPr>
            <w:tcW w:w="0" w:type="auto"/>
            <w:noWrap/>
            <w:vAlign w:val="bottom"/>
            <w:hideMark/>
          </w:tcPr>
          <w:p w14:paraId="3AA0992D"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3E21343B"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ADD8FF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0E85949"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2CB61099"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FA79792"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3B6E9BA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D560074" w14:textId="77777777" w:rsidR="00000000" w:rsidRDefault="003A1B5D">
            <w:pPr>
              <w:pStyle w:val="a3"/>
              <w:spacing w:before="0" w:beforeAutospacing="0" w:after="0" w:afterAutospacing="0"/>
              <w:jc w:val="right"/>
              <w:rPr>
                <w:sz w:val="20"/>
                <w:szCs w:val="20"/>
              </w:rPr>
            </w:pPr>
            <w:r>
              <w:rPr>
                <w:sz w:val="18"/>
                <w:szCs w:val="18"/>
              </w:rPr>
              <w:t>(</w:t>
            </w:r>
            <w:r>
              <w:rPr>
                <w:sz w:val="18"/>
                <w:szCs w:val="18"/>
              </w:rPr>
              <w:t>37,59</w:t>
            </w:r>
            <w:r>
              <w:rPr>
                <w:sz w:val="18"/>
                <w:szCs w:val="18"/>
              </w:rPr>
              <w:t>9</w:t>
            </w:r>
          </w:p>
        </w:tc>
        <w:tc>
          <w:tcPr>
            <w:tcW w:w="0" w:type="auto"/>
            <w:noWrap/>
            <w:vAlign w:val="bottom"/>
            <w:hideMark/>
          </w:tcPr>
          <w:p w14:paraId="075C311E" w14:textId="77777777" w:rsidR="00000000" w:rsidRDefault="003A1B5D">
            <w:pPr>
              <w:pStyle w:val="a3"/>
              <w:spacing w:before="0" w:beforeAutospacing="0" w:after="0" w:afterAutospacing="0"/>
              <w:rPr>
                <w:sz w:val="18"/>
                <w:szCs w:val="18"/>
              </w:rPr>
            </w:pPr>
            <w:r>
              <w:rPr>
                <w:sz w:val="18"/>
                <w:szCs w:val="18"/>
              </w:rPr>
              <w:t>)</w:t>
            </w:r>
          </w:p>
        </w:tc>
      </w:tr>
      <w:tr w:rsidR="00000000" w14:paraId="0223B595" w14:textId="77777777">
        <w:trPr>
          <w:trHeight w:val="180"/>
          <w:tblCellSpacing w:w="15" w:type="dxa"/>
        </w:trPr>
        <w:tc>
          <w:tcPr>
            <w:tcW w:w="0" w:type="auto"/>
            <w:hideMark/>
          </w:tcPr>
          <w:p w14:paraId="66EAF9CD" w14:textId="77777777" w:rsidR="00000000" w:rsidRDefault="003A1B5D">
            <w:pPr>
              <w:pStyle w:val="a3"/>
              <w:spacing w:before="0" w:beforeAutospacing="0" w:after="0" w:afterAutospacing="0"/>
              <w:rPr>
                <w:sz w:val="18"/>
                <w:szCs w:val="18"/>
              </w:rPr>
            </w:pPr>
            <w:r>
              <w:rPr>
                <w:sz w:val="18"/>
                <w:szCs w:val="18"/>
              </w:rPr>
              <w:t>Forfeiture of dividends on RSU</w:t>
            </w:r>
            <w:r>
              <w:rPr>
                <w:sz w:val="18"/>
                <w:szCs w:val="18"/>
              </w:rPr>
              <w:t>s</w:t>
            </w:r>
          </w:p>
        </w:tc>
        <w:tc>
          <w:tcPr>
            <w:tcW w:w="0" w:type="auto"/>
            <w:vAlign w:val="bottom"/>
            <w:hideMark/>
          </w:tcPr>
          <w:p w14:paraId="5F7E121A"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289471E"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779EAF1"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4B36FD5D"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7A2B327"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57BF94E4"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BBFD1BB"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38DDEA2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46C66FB"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3DB78759"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4D024D8"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00223F33"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CDF3B01"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5AE76709"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A68AC0B" w14:textId="77777777" w:rsidR="00000000" w:rsidRDefault="003A1B5D">
            <w:pPr>
              <w:pStyle w:val="a3"/>
              <w:spacing w:before="0" w:beforeAutospacing="0" w:after="0" w:afterAutospacing="0"/>
              <w:jc w:val="right"/>
              <w:rPr>
                <w:sz w:val="20"/>
                <w:szCs w:val="20"/>
              </w:rPr>
            </w:pPr>
            <w:r>
              <w:rPr>
                <w:sz w:val="18"/>
                <w:szCs w:val="18"/>
              </w:rPr>
              <w:t>7</w:t>
            </w:r>
          </w:p>
        </w:tc>
        <w:tc>
          <w:tcPr>
            <w:tcW w:w="0" w:type="auto"/>
            <w:noWrap/>
            <w:vAlign w:val="bottom"/>
            <w:hideMark/>
          </w:tcPr>
          <w:p w14:paraId="1C9D11CB"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0C04C85"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7C4477DC"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9B72230" w14:textId="77777777" w:rsidR="00000000" w:rsidRDefault="003A1B5D">
            <w:pPr>
              <w:pStyle w:val="a3"/>
              <w:spacing w:before="0" w:beforeAutospacing="0" w:after="0" w:afterAutospacing="0"/>
              <w:jc w:val="right"/>
              <w:rPr>
                <w:sz w:val="20"/>
                <w:szCs w:val="20"/>
              </w:rPr>
            </w:pPr>
            <w:r>
              <w:rPr>
                <w:sz w:val="18"/>
                <w:szCs w:val="18"/>
              </w:rPr>
              <w:t>7</w:t>
            </w:r>
          </w:p>
        </w:tc>
        <w:tc>
          <w:tcPr>
            <w:tcW w:w="0" w:type="auto"/>
            <w:noWrap/>
            <w:vAlign w:val="bottom"/>
            <w:hideMark/>
          </w:tcPr>
          <w:p w14:paraId="31A7819A" w14:textId="77777777" w:rsidR="00000000" w:rsidRDefault="003A1B5D">
            <w:pPr>
              <w:pStyle w:val="a3"/>
              <w:spacing w:before="0" w:beforeAutospacing="0" w:after="0" w:afterAutospacing="0"/>
              <w:rPr>
                <w:sz w:val="18"/>
                <w:szCs w:val="18"/>
              </w:rPr>
            </w:pPr>
            <w:r>
              <w:rPr>
                <w:sz w:val="18"/>
                <w:szCs w:val="18"/>
              </w:rPr>
              <w:t> </w:t>
            </w:r>
          </w:p>
        </w:tc>
      </w:tr>
      <w:tr w:rsidR="00000000" w14:paraId="2CC2406A" w14:textId="77777777">
        <w:trPr>
          <w:trHeight w:val="180"/>
          <w:tblCellSpacing w:w="15" w:type="dxa"/>
        </w:trPr>
        <w:tc>
          <w:tcPr>
            <w:tcW w:w="0" w:type="auto"/>
            <w:hideMark/>
          </w:tcPr>
          <w:p w14:paraId="2EF9D74B" w14:textId="77777777" w:rsidR="00000000" w:rsidRDefault="003A1B5D">
            <w:pPr>
              <w:pStyle w:val="a3"/>
              <w:spacing w:before="0" w:beforeAutospacing="0" w:after="0" w:afterAutospacing="0"/>
              <w:rPr>
                <w:sz w:val="18"/>
                <w:szCs w:val="18"/>
              </w:rPr>
            </w:pPr>
            <w:r>
              <w:rPr>
                <w:sz w:val="18"/>
                <w:szCs w:val="18"/>
              </w:rPr>
              <w:t>Restricted stock compensation, net of forfeiture</w:t>
            </w:r>
            <w:r>
              <w:rPr>
                <w:sz w:val="18"/>
                <w:szCs w:val="18"/>
              </w:rPr>
              <w:t>s</w:t>
            </w:r>
          </w:p>
        </w:tc>
        <w:tc>
          <w:tcPr>
            <w:tcW w:w="0" w:type="auto"/>
            <w:vAlign w:val="bottom"/>
            <w:hideMark/>
          </w:tcPr>
          <w:p w14:paraId="41C51AA3"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419BA72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B681EAC"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346D530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115E869"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2081F3F1"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4781854"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7E4A15B2"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B2F3CEE"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5E416C9F"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EF0FAD6" w14:textId="77777777" w:rsidR="00000000" w:rsidRDefault="003A1B5D">
            <w:pPr>
              <w:pStyle w:val="a3"/>
              <w:spacing w:before="0" w:beforeAutospacing="0" w:after="0" w:afterAutospacing="0"/>
              <w:jc w:val="right"/>
              <w:rPr>
                <w:sz w:val="20"/>
                <w:szCs w:val="20"/>
              </w:rPr>
            </w:pPr>
            <w:r>
              <w:rPr>
                <w:sz w:val="18"/>
                <w:szCs w:val="18"/>
              </w:rPr>
              <w:t>4,45</w:t>
            </w:r>
            <w:r>
              <w:rPr>
                <w:sz w:val="18"/>
                <w:szCs w:val="18"/>
              </w:rPr>
              <w:t>3</w:t>
            </w:r>
          </w:p>
        </w:tc>
        <w:tc>
          <w:tcPr>
            <w:tcW w:w="0" w:type="auto"/>
            <w:noWrap/>
            <w:vAlign w:val="bottom"/>
            <w:hideMark/>
          </w:tcPr>
          <w:p w14:paraId="4DD3ACDF"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C9BCBA4"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FE02A3F"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5C17A4C"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0A7D6D0F"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8CD9BD0"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52DF395A"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8A813C6" w14:textId="77777777" w:rsidR="00000000" w:rsidRDefault="003A1B5D">
            <w:pPr>
              <w:pStyle w:val="a3"/>
              <w:spacing w:before="0" w:beforeAutospacing="0" w:after="0" w:afterAutospacing="0"/>
              <w:jc w:val="right"/>
              <w:rPr>
                <w:sz w:val="20"/>
                <w:szCs w:val="20"/>
              </w:rPr>
            </w:pPr>
            <w:r>
              <w:rPr>
                <w:sz w:val="18"/>
                <w:szCs w:val="18"/>
              </w:rPr>
              <w:t>4,45</w:t>
            </w:r>
            <w:r>
              <w:rPr>
                <w:sz w:val="18"/>
                <w:szCs w:val="18"/>
              </w:rPr>
              <w:t>3</w:t>
            </w:r>
          </w:p>
        </w:tc>
        <w:tc>
          <w:tcPr>
            <w:tcW w:w="0" w:type="auto"/>
            <w:noWrap/>
            <w:vAlign w:val="bottom"/>
            <w:hideMark/>
          </w:tcPr>
          <w:p w14:paraId="430B8A37" w14:textId="77777777" w:rsidR="00000000" w:rsidRDefault="003A1B5D">
            <w:pPr>
              <w:pStyle w:val="a3"/>
              <w:spacing w:before="0" w:beforeAutospacing="0" w:after="0" w:afterAutospacing="0"/>
              <w:rPr>
                <w:sz w:val="18"/>
                <w:szCs w:val="18"/>
              </w:rPr>
            </w:pPr>
            <w:r>
              <w:rPr>
                <w:sz w:val="18"/>
                <w:szCs w:val="18"/>
              </w:rPr>
              <w:t> </w:t>
            </w:r>
          </w:p>
        </w:tc>
      </w:tr>
      <w:tr w:rsidR="00000000" w14:paraId="1379F1F9" w14:textId="77777777">
        <w:trPr>
          <w:trHeight w:val="180"/>
          <w:tblCellSpacing w:w="15" w:type="dxa"/>
        </w:trPr>
        <w:tc>
          <w:tcPr>
            <w:tcW w:w="0" w:type="auto"/>
            <w:hideMark/>
          </w:tcPr>
          <w:p w14:paraId="332DF395" w14:textId="77777777" w:rsidR="00000000" w:rsidRDefault="003A1B5D">
            <w:pPr>
              <w:pStyle w:val="a3"/>
              <w:spacing w:before="0" w:beforeAutospacing="0" w:after="0" w:afterAutospacing="0"/>
              <w:rPr>
                <w:sz w:val="18"/>
                <w:szCs w:val="18"/>
              </w:rPr>
            </w:pPr>
            <w:r>
              <w:rPr>
                <w:sz w:val="18"/>
                <w:szCs w:val="18"/>
              </w:rPr>
              <w:t>Restricted stock grant</w:t>
            </w:r>
            <w:r>
              <w:rPr>
                <w:sz w:val="18"/>
                <w:szCs w:val="18"/>
              </w:rPr>
              <w:t>s</w:t>
            </w:r>
          </w:p>
        </w:tc>
        <w:tc>
          <w:tcPr>
            <w:tcW w:w="0" w:type="auto"/>
            <w:vAlign w:val="bottom"/>
            <w:hideMark/>
          </w:tcPr>
          <w:p w14:paraId="04E66324"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575FE8C"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AB3099D" w14:textId="77777777" w:rsidR="00000000" w:rsidRDefault="003A1B5D">
            <w:pPr>
              <w:pStyle w:val="a3"/>
              <w:spacing w:before="0" w:beforeAutospacing="0" w:after="0" w:afterAutospacing="0"/>
              <w:jc w:val="right"/>
              <w:rPr>
                <w:sz w:val="20"/>
                <w:szCs w:val="20"/>
              </w:rPr>
            </w:pPr>
            <w:r>
              <w:rPr>
                <w:sz w:val="18"/>
                <w:szCs w:val="18"/>
              </w:rPr>
              <w:t>1</w:t>
            </w:r>
            <w:r>
              <w:rPr>
                <w:sz w:val="18"/>
                <w:szCs w:val="18"/>
              </w:rPr>
              <w:t>9</w:t>
            </w:r>
          </w:p>
        </w:tc>
        <w:tc>
          <w:tcPr>
            <w:tcW w:w="0" w:type="auto"/>
            <w:noWrap/>
            <w:vAlign w:val="bottom"/>
            <w:hideMark/>
          </w:tcPr>
          <w:p w14:paraId="7184B42F"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B015B59"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4E1A2AF1"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CEE2F93"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38A3F3F1"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4D240B7"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1096FFE"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21A3000"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31B049D7"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30D8EC7"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4A2B41AF"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883A4CC"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6D561839"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AEC3520"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72BECE2F"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CF8DECE"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128856E3" w14:textId="77777777" w:rsidR="00000000" w:rsidRDefault="003A1B5D">
            <w:pPr>
              <w:pStyle w:val="a3"/>
              <w:spacing w:before="0" w:beforeAutospacing="0" w:after="0" w:afterAutospacing="0"/>
              <w:rPr>
                <w:sz w:val="18"/>
                <w:szCs w:val="18"/>
              </w:rPr>
            </w:pPr>
            <w:r>
              <w:rPr>
                <w:sz w:val="18"/>
                <w:szCs w:val="18"/>
              </w:rPr>
              <w:t> </w:t>
            </w:r>
          </w:p>
        </w:tc>
      </w:tr>
      <w:tr w:rsidR="00000000" w14:paraId="48E4850C" w14:textId="77777777">
        <w:trPr>
          <w:trHeight w:val="180"/>
          <w:tblCellSpacing w:w="15" w:type="dxa"/>
        </w:trPr>
        <w:tc>
          <w:tcPr>
            <w:tcW w:w="0" w:type="auto"/>
            <w:hideMark/>
          </w:tcPr>
          <w:p w14:paraId="48449714" w14:textId="77777777" w:rsidR="00000000" w:rsidRDefault="003A1B5D">
            <w:pPr>
              <w:pStyle w:val="a3"/>
              <w:spacing w:before="0" w:beforeAutospacing="0" w:after="0" w:afterAutospacing="0"/>
              <w:rPr>
                <w:sz w:val="18"/>
                <w:szCs w:val="18"/>
              </w:rPr>
            </w:pPr>
            <w:r>
              <w:rPr>
                <w:sz w:val="18"/>
                <w:szCs w:val="18"/>
              </w:rPr>
              <w:t>Balance as of June 30, 202</w:t>
            </w:r>
            <w:r>
              <w:rPr>
                <w:sz w:val="18"/>
                <w:szCs w:val="18"/>
              </w:rPr>
              <w:t>2</w:t>
            </w:r>
          </w:p>
        </w:tc>
        <w:tc>
          <w:tcPr>
            <w:tcW w:w="0" w:type="auto"/>
            <w:vAlign w:val="bottom"/>
            <w:hideMark/>
          </w:tcPr>
          <w:p w14:paraId="0A64A7E5"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5289B68F"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82D78E6" w14:textId="77777777" w:rsidR="00000000" w:rsidRDefault="003A1B5D">
            <w:pPr>
              <w:pStyle w:val="a3"/>
              <w:spacing w:before="0" w:beforeAutospacing="0" w:after="0" w:afterAutospacing="0"/>
              <w:jc w:val="right"/>
              <w:rPr>
                <w:sz w:val="20"/>
                <w:szCs w:val="20"/>
              </w:rPr>
            </w:pPr>
            <w:r>
              <w:rPr>
                <w:sz w:val="18"/>
                <w:szCs w:val="18"/>
              </w:rPr>
              <w:t>118,62</w:t>
            </w:r>
            <w:r>
              <w:rPr>
                <w:sz w:val="18"/>
                <w:szCs w:val="18"/>
              </w:rPr>
              <w:t>0</w:t>
            </w:r>
          </w:p>
        </w:tc>
        <w:tc>
          <w:tcPr>
            <w:tcW w:w="0" w:type="auto"/>
            <w:noWrap/>
            <w:vAlign w:val="bottom"/>
            <w:hideMark/>
          </w:tcPr>
          <w:p w14:paraId="5383C713"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1791499"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D17EC41"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39CF35B5" w14:textId="77777777" w:rsidR="00000000" w:rsidRDefault="003A1B5D">
            <w:pPr>
              <w:pStyle w:val="a3"/>
              <w:spacing w:before="0" w:beforeAutospacing="0" w:after="0" w:afterAutospacing="0"/>
              <w:jc w:val="right"/>
              <w:rPr>
                <w:sz w:val="20"/>
                <w:szCs w:val="20"/>
              </w:rPr>
            </w:pPr>
            <w:r>
              <w:rPr>
                <w:sz w:val="18"/>
                <w:szCs w:val="18"/>
              </w:rPr>
              <w:t>1,18</w:t>
            </w:r>
            <w:r>
              <w:rPr>
                <w:sz w:val="18"/>
                <w:szCs w:val="18"/>
              </w:rPr>
              <w:t>6</w:t>
            </w:r>
          </w:p>
        </w:tc>
        <w:tc>
          <w:tcPr>
            <w:tcW w:w="0" w:type="auto"/>
            <w:noWrap/>
            <w:vAlign w:val="bottom"/>
            <w:hideMark/>
          </w:tcPr>
          <w:p w14:paraId="5D4C39A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04CBC8B"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2AEA0A85"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6FA26AFA" w14:textId="77777777" w:rsidR="00000000" w:rsidRDefault="003A1B5D">
            <w:pPr>
              <w:pStyle w:val="a3"/>
              <w:spacing w:before="0" w:beforeAutospacing="0" w:after="0" w:afterAutospacing="0"/>
              <w:jc w:val="right"/>
              <w:rPr>
                <w:sz w:val="20"/>
                <w:szCs w:val="20"/>
              </w:rPr>
            </w:pPr>
            <w:r>
              <w:rPr>
                <w:sz w:val="18"/>
                <w:szCs w:val="18"/>
              </w:rPr>
              <w:t>1,836,94</w:t>
            </w:r>
            <w:r>
              <w:rPr>
                <w:sz w:val="18"/>
                <w:szCs w:val="18"/>
              </w:rPr>
              <w:t>9</w:t>
            </w:r>
          </w:p>
        </w:tc>
        <w:tc>
          <w:tcPr>
            <w:tcW w:w="0" w:type="auto"/>
            <w:noWrap/>
            <w:vAlign w:val="bottom"/>
            <w:hideMark/>
          </w:tcPr>
          <w:p w14:paraId="44EEF0C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D97FB28"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6A8AE07B"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6CD2BC4D" w14:textId="77777777" w:rsidR="00000000" w:rsidRDefault="003A1B5D">
            <w:pPr>
              <w:pStyle w:val="a3"/>
              <w:spacing w:before="0" w:beforeAutospacing="0" w:after="0" w:afterAutospacing="0"/>
              <w:jc w:val="right"/>
              <w:rPr>
                <w:sz w:val="20"/>
                <w:szCs w:val="20"/>
              </w:rPr>
            </w:pPr>
            <w:r>
              <w:rPr>
                <w:sz w:val="18"/>
                <w:szCs w:val="18"/>
              </w:rPr>
              <w:t>(</w:t>
            </w:r>
            <w:r>
              <w:rPr>
                <w:sz w:val="18"/>
                <w:szCs w:val="18"/>
              </w:rPr>
              <w:t>469,19</w:t>
            </w:r>
            <w:r>
              <w:rPr>
                <w:sz w:val="18"/>
                <w:szCs w:val="18"/>
              </w:rPr>
              <w:t>5</w:t>
            </w:r>
          </w:p>
        </w:tc>
        <w:tc>
          <w:tcPr>
            <w:tcW w:w="0" w:type="auto"/>
            <w:noWrap/>
            <w:vAlign w:val="bottom"/>
            <w:hideMark/>
          </w:tcPr>
          <w:p w14:paraId="6B8ECC35"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603CFF5E"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F1DAB91"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504B9B2A" w14:textId="77777777" w:rsidR="00000000" w:rsidRDefault="003A1B5D">
            <w:pPr>
              <w:pStyle w:val="a3"/>
              <w:spacing w:before="0" w:beforeAutospacing="0" w:after="0" w:afterAutospacing="0"/>
              <w:jc w:val="right"/>
              <w:rPr>
                <w:sz w:val="20"/>
                <w:szCs w:val="20"/>
              </w:rPr>
            </w:pPr>
            <w:r>
              <w:rPr>
                <w:sz w:val="18"/>
                <w:szCs w:val="18"/>
              </w:rPr>
              <w:t>1,368,94</w:t>
            </w:r>
            <w:r>
              <w:rPr>
                <w:sz w:val="18"/>
                <w:szCs w:val="18"/>
              </w:rPr>
              <w:t>0</w:t>
            </w:r>
          </w:p>
        </w:tc>
        <w:tc>
          <w:tcPr>
            <w:tcW w:w="0" w:type="auto"/>
            <w:noWrap/>
            <w:vAlign w:val="bottom"/>
            <w:hideMark/>
          </w:tcPr>
          <w:p w14:paraId="7F8C6AA7" w14:textId="77777777" w:rsidR="00000000" w:rsidRDefault="003A1B5D">
            <w:pPr>
              <w:pStyle w:val="a3"/>
              <w:spacing w:before="0" w:beforeAutospacing="0" w:after="0" w:afterAutospacing="0"/>
              <w:rPr>
                <w:sz w:val="18"/>
                <w:szCs w:val="18"/>
              </w:rPr>
            </w:pPr>
            <w:r>
              <w:rPr>
                <w:sz w:val="18"/>
                <w:szCs w:val="18"/>
              </w:rPr>
              <w:t> </w:t>
            </w:r>
          </w:p>
        </w:tc>
      </w:tr>
      <w:tr w:rsidR="00000000" w14:paraId="007E1124" w14:textId="77777777">
        <w:trPr>
          <w:trHeight w:val="180"/>
          <w:tblCellSpacing w:w="15" w:type="dxa"/>
        </w:trPr>
        <w:tc>
          <w:tcPr>
            <w:tcW w:w="0" w:type="auto"/>
            <w:hideMark/>
          </w:tcPr>
          <w:p w14:paraId="01D10B49" w14:textId="77777777" w:rsidR="00000000" w:rsidRDefault="003A1B5D">
            <w:pPr>
              <w:pStyle w:val="a3"/>
              <w:spacing w:before="0" w:beforeAutospacing="0" w:after="0" w:afterAutospacing="0"/>
              <w:rPr>
                <w:sz w:val="18"/>
                <w:szCs w:val="18"/>
              </w:rPr>
            </w:pPr>
            <w:r>
              <w:rPr>
                <w:sz w:val="18"/>
                <w:szCs w:val="18"/>
              </w:rPr>
              <w:t>Net incom</w:t>
            </w:r>
            <w:r>
              <w:rPr>
                <w:sz w:val="18"/>
                <w:szCs w:val="18"/>
              </w:rPr>
              <w:t>e</w:t>
            </w:r>
          </w:p>
        </w:tc>
        <w:tc>
          <w:tcPr>
            <w:tcW w:w="0" w:type="auto"/>
            <w:vAlign w:val="bottom"/>
            <w:hideMark/>
          </w:tcPr>
          <w:p w14:paraId="4BAA8E8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92B259D"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74EF4F1"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6B17938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2834A95"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1D0F3F3"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82B5F23"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42ED927C"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F1969E7"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7D00880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86E53F9"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5B98478E"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BFDF317"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5863B7C2"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48D77CE" w14:textId="77777777" w:rsidR="00000000" w:rsidRDefault="003A1B5D">
            <w:pPr>
              <w:pStyle w:val="a3"/>
              <w:spacing w:before="0" w:beforeAutospacing="0" w:after="0" w:afterAutospacing="0"/>
              <w:jc w:val="right"/>
              <w:rPr>
                <w:sz w:val="20"/>
                <w:szCs w:val="20"/>
              </w:rPr>
            </w:pPr>
            <w:r>
              <w:rPr>
                <w:sz w:val="18"/>
                <w:szCs w:val="18"/>
              </w:rPr>
              <w:t>68,31</w:t>
            </w:r>
            <w:r>
              <w:rPr>
                <w:sz w:val="18"/>
                <w:szCs w:val="18"/>
              </w:rPr>
              <w:t>8</w:t>
            </w:r>
          </w:p>
        </w:tc>
        <w:tc>
          <w:tcPr>
            <w:tcW w:w="0" w:type="auto"/>
            <w:noWrap/>
            <w:vAlign w:val="bottom"/>
            <w:hideMark/>
          </w:tcPr>
          <w:p w14:paraId="4239C3A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D13786B"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2EFF74CB"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9305402" w14:textId="77777777" w:rsidR="00000000" w:rsidRDefault="003A1B5D">
            <w:pPr>
              <w:pStyle w:val="a3"/>
              <w:spacing w:before="0" w:beforeAutospacing="0" w:after="0" w:afterAutospacing="0"/>
              <w:jc w:val="right"/>
              <w:rPr>
                <w:sz w:val="20"/>
                <w:szCs w:val="20"/>
              </w:rPr>
            </w:pPr>
            <w:r>
              <w:rPr>
                <w:sz w:val="18"/>
                <w:szCs w:val="18"/>
              </w:rPr>
              <w:t>68,31</w:t>
            </w:r>
            <w:r>
              <w:rPr>
                <w:sz w:val="18"/>
                <w:szCs w:val="18"/>
              </w:rPr>
              <w:t>8</w:t>
            </w:r>
          </w:p>
        </w:tc>
        <w:tc>
          <w:tcPr>
            <w:tcW w:w="0" w:type="auto"/>
            <w:noWrap/>
            <w:vAlign w:val="bottom"/>
            <w:hideMark/>
          </w:tcPr>
          <w:p w14:paraId="6E139668" w14:textId="77777777" w:rsidR="00000000" w:rsidRDefault="003A1B5D">
            <w:pPr>
              <w:pStyle w:val="a3"/>
              <w:spacing w:before="0" w:beforeAutospacing="0" w:after="0" w:afterAutospacing="0"/>
              <w:rPr>
                <w:sz w:val="18"/>
                <w:szCs w:val="18"/>
              </w:rPr>
            </w:pPr>
            <w:r>
              <w:rPr>
                <w:sz w:val="18"/>
                <w:szCs w:val="18"/>
              </w:rPr>
              <w:t> </w:t>
            </w:r>
          </w:p>
        </w:tc>
      </w:tr>
      <w:tr w:rsidR="00000000" w14:paraId="16E1A141" w14:textId="77777777">
        <w:trPr>
          <w:trHeight w:val="180"/>
          <w:tblCellSpacing w:w="15" w:type="dxa"/>
        </w:trPr>
        <w:tc>
          <w:tcPr>
            <w:tcW w:w="0" w:type="auto"/>
            <w:hideMark/>
          </w:tcPr>
          <w:p w14:paraId="7F644134" w14:textId="77777777" w:rsidR="00000000" w:rsidRDefault="003A1B5D">
            <w:pPr>
              <w:pStyle w:val="a3"/>
              <w:spacing w:before="0" w:beforeAutospacing="0" w:after="0" w:afterAutospacing="0"/>
              <w:rPr>
                <w:sz w:val="18"/>
                <w:szCs w:val="18"/>
              </w:rPr>
            </w:pPr>
            <w:r>
              <w:rPr>
                <w:sz w:val="18"/>
                <w:szCs w:val="18"/>
              </w:rPr>
              <w:t>Retirement of common stoc</w:t>
            </w:r>
            <w:r>
              <w:rPr>
                <w:sz w:val="18"/>
                <w:szCs w:val="18"/>
              </w:rPr>
              <w:t>k</w:t>
            </w:r>
          </w:p>
        </w:tc>
        <w:tc>
          <w:tcPr>
            <w:tcW w:w="0" w:type="auto"/>
            <w:vAlign w:val="bottom"/>
            <w:hideMark/>
          </w:tcPr>
          <w:p w14:paraId="442671C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1E70D4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7F407B2" w14:textId="77777777" w:rsidR="00000000" w:rsidRDefault="003A1B5D">
            <w:pPr>
              <w:pStyle w:val="a3"/>
              <w:spacing w:before="0" w:beforeAutospacing="0" w:after="0" w:afterAutospacing="0"/>
              <w:jc w:val="right"/>
              <w:rPr>
                <w:sz w:val="20"/>
                <w:szCs w:val="20"/>
              </w:rPr>
            </w:pPr>
            <w:r>
              <w:rPr>
                <w:sz w:val="18"/>
                <w:szCs w:val="18"/>
              </w:rPr>
              <w:t>(</w:t>
            </w:r>
            <w:r>
              <w:rPr>
                <w:sz w:val="18"/>
                <w:szCs w:val="18"/>
              </w:rPr>
              <w:t>3,63</w:t>
            </w:r>
            <w:r>
              <w:rPr>
                <w:sz w:val="18"/>
                <w:szCs w:val="18"/>
              </w:rPr>
              <w:t>5</w:t>
            </w:r>
          </w:p>
        </w:tc>
        <w:tc>
          <w:tcPr>
            <w:tcW w:w="0" w:type="auto"/>
            <w:noWrap/>
            <w:vAlign w:val="bottom"/>
            <w:hideMark/>
          </w:tcPr>
          <w:p w14:paraId="17D82164"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5985B81E"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79F538FA"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F97C61B" w14:textId="77777777" w:rsidR="00000000" w:rsidRDefault="003A1B5D">
            <w:pPr>
              <w:pStyle w:val="a3"/>
              <w:spacing w:before="0" w:beforeAutospacing="0" w:after="0" w:afterAutospacing="0"/>
              <w:jc w:val="right"/>
              <w:rPr>
                <w:sz w:val="20"/>
                <w:szCs w:val="20"/>
              </w:rPr>
            </w:pPr>
            <w:r>
              <w:rPr>
                <w:sz w:val="18"/>
                <w:szCs w:val="18"/>
              </w:rPr>
              <w:t>(</w:t>
            </w:r>
            <w:r>
              <w:rPr>
                <w:sz w:val="18"/>
                <w:szCs w:val="18"/>
              </w:rPr>
              <w:t>3</w:t>
            </w:r>
            <w:r>
              <w:rPr>
                <w:sz w:val="18"/>
                <w:szCs w:val="18"/>
              </w:rPr>
              <w:t>6</w:t>
            </w:r>
          </w:p>
        </w:tc>
        <w:tc>
          <w:tcPr>
            <w:tcW w:w="0" w:type="auto"/>
            <w:noWrap/>
            <w:vAlign w:val="bottom"/>
            <w:hideMark/>
          </w:tcPr>
          <w:p w14:paraId="0C97DA3F"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389C4D99"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5F59AE9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E8B9FB0" w14:textId="77777777" w:rsidR="00000000" w:rsidRDefault="003A1B5D">
            <w:pPr>
              <w:pStyle w:val="a3"/>
              <w:spacing w:before="0" w:beforeAutospacing="0" w:after="0" w:afterAutospacing="0"/>
              <w:jc w:val="right"/>
              <w:rPr>
                <w:sz w:val="20"/>
                <w:szCs w:val="20"/>
              </w:rPr>
            </w:pPr>
            <w:r>
              <w:rPr>
                <w:sz w:val="18"/>
                <w:szCs w:val="18"/>
              </w:rPr>
              <w:t>(</w:t>
            </w:r>
            <w:r>
              <w:rPr>
                <w:sz w:val="18"/>
                <w:szCs w:val="18"/>
              </w:rPr>
              <w:t>37,06</w:t>
            </w:r>
            <w:r>
              <w:rPr>
                <w:sz w:val="18"/>
                <w:szCs w:val="18"/>
              </w:rPr>
              <w:t>9</w:t>
            </w:r>
          </w:p>
        </w:tc>
        <w:tc>
          <w:tcPr>
            <w:tcW w:w="0" w:type="auto"/>
            <w:noWrap/>
            <w:vAlign w:val="bottom"/>
            <w:hideMark/>
          </w:tcPr>
          <w:p w14:paraId="1D79EBB2"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6953CD73"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4EFDA10C"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3183541"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02BFEE09"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81B86A5"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7309245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0C3D128" w14:textId="77777777" w:rsidR="00000000" w:rsidRDefault="003A1B5D">
            <w:pPr>
              <w:pStyle w:val="a3"/>
              <w:spacing w:before="0" w:beforeAutospacing="0" w:after="0" w:afterAutospacing="0"/>
              <w:jc w:val="right"/>
              <w:rPr>
                <w:sz w:val="20"/>
                <w:szCs w:val="20"/>
              </w:rPr>
            </w:pPr>
            <w:r>
              <w:rPr>
                <w:sz w:val="18"/>
                <w:szCs w:val="18"/>
              </w:rPr>
              <w:t>(</w:t>
            </w:r>
            <w:r>
              <w:rPr>
                <w:sz w:val="18"/>
                <w:szCs w:val="18"/>
              </w:rPr>
              <w:t>37,10</w:t>
            </w:r>
            <w:r>
              <w:rPr>
                <w:sz w:val="18"/>
                <w:szCs w:val="18"/>
              </w:rPr>
              <w:t>5</w:t>
            </w:r>
          </w:p>
        </w:tc>
        <w:tc>
          <w:tcPr>
            <w:tcW w:w="0" w:type="auto"/>
            <w:noWrap/>
            <w:vAlign w:val="bottom"/>
            <w:hideMark/>
          </w:tcPr>
          <w:p w14:paraId="333BC42C" w14:textId="77777777" w:rsidR="00000000" w:rsidRDefault="003A1B5D">
            <w:pPr>
              <w:pStyle w:val="a3"/>
              <w:spacing w:before="0" w:beforeAutospacing="0" w:after="0" w:afterAutospacing="0"/>
              <w:rPr>
                <w:sz w:val="18"/>
                <w:szCs w:val="18"/>
              </w:rPr>
            </w:pPr>
            <w:r>
              <w:rPr>
                <w:sz w:val="18"/>
                <w:szCs w:val="18"/>
              </w:rPr>
              <w:t>)</w:t>
            </w:r>
          </w:p>
        </w:tc>
      </w:tr>
      <w:tr w:rsidR="00000000" w14:paraId="00D5B3B1" w14:textId="77777777">
        <w:trPr>
          <w:trHeight w:val="180"/>
          <w:tblCellSpacing w:w="15" w:type="dxa"/>
        </w:trPr>
        <w:tc>
          <w:tcPr>
            <w:tcW w:w="0" w:type="auto"/>
            <w:hideMark/>
          </w:tcPr>
          <w:p w14:paraId="68F40936" w14:textId="77777777" w:rsidR="00000000" w:rsidRDefault="003A1B5D">
            <w:pPr>
              <w:pStyle w:val="a3"/>
              <w:spacing w:before="0" w:beforeAutospacing="0" w:after="0" w:afterAutospacing="0"/>
              <w:rPr>
                <w:sz w:val="18"/>
                <w:szCs w:val="18"/>
              </w:rPr>
            </w:pPr>
            <w:r>
              <w:rPr>
                <w:sz w:val="18"/>
                <w:szCs w:val="18"/>
              </w:rPr>
              <w:t>Forfeiture of dividends on RSU</w:t>
            </w:r>
            <w:r>
              <w:rPr>
                <w:sz w:val="18"/>
                <w:szCs w:val="18"/>
              </w:rPr>
              <w:t>s</w:t>
            </w:r>
          </w:p>
        </w:tc>
        <w:tc>
          <w:tcPr>
            <w:tcW w:w="0" w:type="auto"/>
            <w:vAlign w:val="bottom"/>
            <w:hideMark/>
          </w:tcPr>
          <w:p w14:paraId="75124B3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9DC345A"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FD14386"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4A185BEC"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38B4A79"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31B4C05A"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E43FF9A"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11B1BF0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AF9D0E5"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CCFD63C"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C5A64C9"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52D9343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1B4B024"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3BD63B9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4B88930" w14:textId="77777777" w:rsidR="00000000" w:rsidRDefault="003A1B5D">
            <w:pPr>
              <w:pStyle w:val="a3"/>
              <w:spacing w:before="0" w:beforeAutospacing="0" w:after="0" w:afterAutospacing="0"/>
              <w:jc w:val="right"/>
              <w:rPr>
                <w:sz w:val="20"/>
                <w:szCs w:val="20"/>
              </w:rPr>
            </w:pPr>
            <w:r>
              <w:rPr>
                <w:sz w:val="18"/>
                <w:szCs w:val="18"/>
              </w:rPr>
              <w:t>3</w:t>
            </w:r>
            <w:r>
              <w:rPr>
                <w:sz w:val="18"/>
                <w:szCs w:val="18"/>
              </w:rPr>
              <w:t>5</w:t>
            </w:r>
          </w:p>
        </w:tc>
        <w:tc>
          <w:tcPr>
            <w:tcW w:w="0" w:type="auto"/>
            <w:noWrap/>
            <w:vAlign w:val="bottom"/>
            <w:hideMark/>
          </w:tcPr>
          <w:p w14:paraId="5673C9E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315B075"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621F56E9"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75623C0" w14:textId="77777777" w:rsidR="00000000" w:rsidRDefault="003A1B5D">
            <w:pPr>
              <w:pStyle w:val="a3"/>
              <w:spacing w:before="0" w:beforeAutospacing="0" w:after="0" w:afterAutospacing="0"/>
              <w:jc w:val="right"/>
              <w:rPr>
                <w:sz w:val="20"/>
                <w:szCs w:val="20"/>
              </w:rPr>
            </w:pPr>
            <w:r>
              <w:rPr>
                <w:sz w:val="18"/>
                <w:szCs w:val="18"/>
              </w:rPr>
              <w:t>3</w:t>
            </w:r>
            <w:r>
              <w:rPr>
                <w:sz w:val="18"/>
                <w:szCs w:val="18"/>
              </w:rPr>
              <w:t>5</w:t>
            </w:r>
          </w:p>
        </w:tc>
        <w:tc>
          <w:tcPr>
            <w:tcW w:w="0" w:type="auto"/>
            <w:noWrap/>
            <w:vAlign w:val="bottom"/>
            <w:hideMark/>
          </w:tcPr>
          <w:p w14:paraId="6EA6674C" w14:textId="77777777" w:rsidR="00000000" w:rsidRDefault="003A1B5D">
            <w:pPr>
              <w:pStyle w:val="a3"/>
              <w:spacing w:before="0" w:beforeAutospacing="0" w:after="0" w:afterAutospacing="0"/>
              <w:rPr>
                <w:sz w:val="18"/>
                <w:szCs w:val="18"/>
              </w:rPr>
            </w:pPr>
            <w:r>
              <w:rPr>
                <w:sz w:val="18"/>
                <w:szCs w:val="18"/>
              </w:rPr>
              <w:t> </w:t>
            </w:r>
          </w:p>
        </w:tc>
      </w:tr>
      <w:tr w:rsidR="00000000" w14:paraId="370CC356" w14:textId="77777777">
        <w:trPr>
          <w:trHeight w:val="180"/>
          <w:tblCellSpacing w:w="15" w:type="dxa"/>
        </w:trPr>
        <w:tc>
          <w:tcPr>
            <w:tcW w:w="0" w:type="auto"/>
            <w:hideMark/>
          </w:tcPr>
          <w:p w14:paraId="215B4221" w14:textId="77777777" w:rsidR="00000000" w:rsidRDefault="003A1B5D">
            <w:pPr>
              <w:pStyle w:val="a3"/>
              <w:spacing w:before="0" w:beforeAutospacing="0" w:after="0" w:afterAutospacing="0"/>
              <w:rPr>
                <w:sz w:val="18"/>
                <w:szCs w:val="18"/>
              </w:rPr>
            </w:pPr>
            <w:r>
              <w:rPr>
                <w:sz w:val="18"/>
                <w:szCs w:val="18"/>
              </w:rPr>
              <w:t>Restricted stock compensation, net of forfeiture</w:t>
            </w:r>
            <w:r>
              <w:rPr>
                <w:sz w:val="18"/>
                <w:szCs w:val="18"/>
              </w:rPr>
              <w:t>s</w:t>
            </w:r>
          </w:p>
        </w:tc>
        <w:tc>
          <w:tcPr>
            <w:tcW w:w="0" w:type="auto"/>
            <w:vAlign w:val="bottom"/>
            <w:hideMark/>
          </w:tcPr>
          <w:p w14:paraId="4504A1A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DB9D1A7"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CACD753"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4DCD54F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941119F"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304DD9B4"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5A5992C"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2CF1EB1A"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7D50E2C"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238DA40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BD94AB3" w14:textId="77777777" w:rsidR="00000000" w:rsidRDefault="003A1B5D">
            <w:pPr>
              <w:pStyle w:val="a3"/>
              <w:spacing w:before="0" w:beforeAutospacing="0" w:after="0" w:afterAutospacing="0"/>
              <w:jc w:val="right"/>
              <w:rPr>
                <w:sz w:val="20"/>
                <w:szCs w:val="20"/>
              </w:rPr>
            </w:pPr>
            <w:r>
              <w:rPr>
                <w:sz w:val="18"/>
                <w:szCs w:val="18"/>
              </w:rPr>
              <w:t>1,98</w:t>
            </w:r>
            <w:r>
              <w:rPr>
                <w:sz w:val="18"/>
                <w:szCs w:val="18"/>
              </w:rPr>
              <w:t>7</w:t>
            </w:r>
          </w:p>
        </w:tc>
        <w:tc>
          <w:tcPr>
            <w:tcW w:w="0" w:type="auto"/>
            <w:noWrap/>
            <w:vAlign w:val="bottom"/>
            <w:hideMark/>
          </w:tcPr>
          <w:p w14:paraId="2A137F6F"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90C86F6"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0A269B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1BDEC2A"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1E19F5EE"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4FC756A"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4431481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1A65E83" w14:textId="77777777" w:rsidR="00000000" w:rsidRDefault="003A1B5D">
            <w:pPr>
              <w:pStyle w:val="a3"/>
              <w:spacing w:before="0" w:beforeAutospacing="0" w:after="0" w:afterAutospacing="0"/>
              <w:jc w:val="right"/>
              <w:rPr>
                <w:sz w:val="20"/>
                <w:szCs w:val="20"/>
              </w:rPr>
            </w:pPr>
            <w:r>
              <w:rPr>
                <w:sz w:val="18"/>
                <w:szCs w:val="18"/>
              </w:rPr>
              <w:t>1,98</w:t>
            </w:r>
            <w:r>
              <w:rPr>
                <w:sz w:val="18"/>
                <w:szCs w:val="18"/>
              </w:rPr>
              <w:t>7</w:t>
            </w:r>
          </w:p>
        </w:tc>
        <w:tc>
          <w:tcPr>
            <w:tcW w:w="0" w:type="auto"/>
            <w:noWrap/>
            <w:vAlign w:val="bottom"/>
            <w:hideMark/>
          </w:tcPr>
          <w:p w14:paraId="5684931E" w14:textId="77777777" w:rsidR="00000000" w:rsidRDefault="003A1B5D">
            <w:pPr>
              <w:pStyle w:val="a3"/>
              <w:spacing w:before="0" w:beforeAutospacing="0" w:after="0" w:afterAutospacing="0"/>
              <w:rPr>
                <w:sz w:val="18"/>
                <w:szCs w:val="18"/>
              </w:rPr>
            </w:pPr>
            <w:r>
              <w:rPr>
                <w:sz w:val="18"/>
                <w:szCs w:val="18"/>
              </w:rPr>
              <w:t> </w:t>
            </w:r>
          </w:p>
        </w:tc>
      </w:tr>
      <w:tr w:rsidR="00000000" w14:paraId="74105F27" w14:textId="77777777">
        <w:trPr>
          <w:trHeight w:val="180"/>
          <w:tblCellSpacing w:w="15" w:type="dxa"/>
        </w:trPr>
        <w:tc>
          <w:tcPr>
            <w:tcW w:w="0" w:type="auto"/>
            <w:hideMark/>
          </w:tcPr>
          <w:p w14:paraId="7FAE811F" w14:textId="77777777" w:rsidR="00000000" w:rsidRDefault="003A1B5D">
            <w:pPr>
              <w:pStyle w:val="a3"/>
              <w:spacing w:before="0" w:beforeAutospacing="0" w:after="0" w:afterAutospacing="0"/>
              <w:rPr>
                <w:sz w:val="18"/>
                <w:szCs w:val="18"/>
              </w:rPr>
            </w:pPr>
            <w:r>
              <w:rPr>
                <w:sz w:val="18"/>
                <w:szCs w:val="18"/>
              </w:rPr>
              <w:t>Restricted stock grant</w:t>
            </w:r>
            <w:r>
              <w:rPr>
                <w:sz w:val="18"/>
                <w:szCs w:val="18"/>
              </w:rPr>
              <w:t>s</w:t>
            </w:r>
          </w:p>
        </w:tc>
        <w:tc>
          <w:tcPr>
            <w:tcW w:w="0" w:type="auto"/>
            <w:vAlign w:val="bottom"/>
            <w:hideMark/>
          </w:tcPr>
          <w:p w14:paraId="649C7C0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24EAC19"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F2D2494" w14:textId="77777777" w:rsidR="00000000" w:rsidRDefault="003A1B5D">
            <w:pPr>
              <w:pStyle w:val="a3"/>
              <w:spacing w:before="0" w:beforeAutospacing="0" w:after="0" w:afterAutospacing="0"/>
              <w:jc w:val="right"/>
              <w:rPr>
                <w:sz w:val="20"/>
                <w:szCs w:val="20"/>
              </w:rPr>
            </w:pPr>
            <w:r>
              <w:rPr>
                <w:sz w:val="18"/>
                <w:szCs w:val="18"/>
              </w:rPr>
              <w:t>(</w:t>
            </w:r>
            <w:r>
              <w:rPr>
                <w:sz w:val="18"/>
                <w:szCs w:val="18"/>
              </w:rPr>
              <w:t>4</w:t>
            </w:r>
          </w:p>
        </w:tc>
        <w:tc>
          <w:tcPr>
            <w:tcW w:w="0" w:type="auto"/>
            <w:noWrap/>
            <w:vAlign w:val="bottom"/>
            <w:hideMark/>
          </w:tcPr>
          <w:p w14:paraId="01E13862"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383CA965"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A3B5E77"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2A3AC63"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7C190B6E"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7D88760"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78CE56FF"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EEC6EC6"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6F62586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AE64348"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5EAFEF4E"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E7C6E7C"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26A75B2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D607AF2"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79599451"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C9BD1BF"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00CA8301" w14:textId="77777777" w:rsidR="00000000" w:rsidRDefault="003A1B5D">
            <w:pPr>
              <w:pStyle w:val="a3"/>
              <w:spacing w:before="0" w:beforeAutospacing="0" w:after="0" w:afterAutospacing="0"/>
              <w:rPr>
                <w:sz w:val="18"/>
                <w:szCs w:val="18"/>
              </w:rPr>
            </w:pPr>
            <w:r>
              <w:rPr>
                <w:sz w:val="18"/>
                <w:szCs w:val="18"/>
              </w:rPr>
              <w:t> </w:t>
            </w:r>
          </w:p>
        </w:tc>
      </w:tr>
      <w:tr w:rsidR="00000000" w14:paraId="5F68A147" w14:textId="77777777">
        <w:trPr>
          <w:trHeight w:val="180"/>
          <w:tblCellSpacing w:w="15" w:type="dxa"/>
        </w:trPr>
        <w:tc>
          <w:tcPr>
            <w:tcW w:w="0" w:type="auto"/>
            <w:hideMark/>
          </w:tcPr>
          <w:p w14:paraId="331F584D" w14:textId="77777777" w:rsidR="00000000" w:rsidRDefault="003A1B5D">
            <w:pPr>
              <w:pStyle w:val="a3"/>
              <w:spacing w:before="0" w:beforeAutospacing="0" w:after="0" w:afterAutospacing="0"/>
              <w:rPr>
                <w:sz w:val="18"/>
                <w:szCs w:val="18"/>
              </w:rPr>
            </w:pPr>
            <w:r>
              <w:rPr>
                <w:b/>
                <w:bCs/>
                <w:sz w:val="18"/>
                <w:szCs w:val="18"/>
              </w:rPr>
              <w:t>Balance as of September 30, 202</w:t>
            </w:r>
            <w:r>
              <w:rPr>
                <w:b/>
                <w:bCs/>
                <w:sz w:val="18"/>
                <w:szCs w:val="18"/>
              </w:rPr>
              <w:t>2</w:t>
            </w:r>
          </w:p>
        </w:tc>
        <w:tc>
          <w:tcPr>
            <w:tcW w:w="0" w:type="auto"/>
            <w:vAlign w:val="bottom"/>
            <w:hideMark/>
          </w:tcPr>
          <w:p w14:paraId="548B4E0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F3D2407"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79C174D" w14:textId="77777777" w:rsidR="00000000" w:rsidRDefault="003A1B5D">
            <w:pPr>
              <w:pStyle w:val="a3"/>
              <w:spacing w:before="0" w:beforeAutospacing="0" w:after="0" w:afterAutospacing="0"/>
              <w:jc w:val="right"/>
              <w:rPr>
                <w:sz w:val="20"/>
                <w:szCs w:val="20"/>
              </w:rPr>
            </w:pPr>
            <w:r>
              <w:rPr>
                <w:b/>
                <w:bCs/>
                <w:sz w:val="18"/>
                <w:szCs w:val="18"/>
              </w:rPr>
              <w:t>114,98</w:t>
            </w:r>
            <w:r>
              <w:rPr>
                <w:b/>
                <w:bCs/>
                <w:sz w:val="18"/>
                <w:szCs w:val="18"/>
              </w:rPr>
              <w:t>1</w:t>
            </w:r>
          </w:p>
        </w:tc>
        <w:tc>
          <w:tcPr>
            <w:tcW w:w="0" w:type="auto"/>
            <w:noWrap/>
            <w:vAlign w:val="bottom"/>
            <w:hideMark/>
          </w:tcPr>
          <w:p w14:paraId="6A36E16D"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673077C"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5F307AD" w14:textId="77777777" w:rsidR="00000000" w:rsidRDefault="003A1B5D">
            <w:pPr>
              <w:pStyle w:val="a3"/>
              <w:spacing w:before="0" w:beforeAutospacing="0" w:after="0" w:afterAutospacing="0"/>
              <w:rPr>
                <w:sz w:val="18"/>
                <w:szCs w:val="18"/>
              </w:rPr>
            </w:pPr>
            <w:r>
              <w:rPr>
                <w:b/>
                <w:bCs/>
                <w:sz w:val="18"/>
                <w:szCs w:val="18"/>
              </w:rPr>
              <w:t>$</w:t>
            </w:r>
          </w:p>
        </w:tc>
        <w:tc>
          <w:tcPr>
            <w:tcW w:w="0" w:type="auto"/>
            <w:vAlign w:val="bottom"/>
            <w:hideMark/>
          </w:tcPr>
          <w:p w14:paraId="277A3358" w14:textId="77777777" w:rsidR="00000000" w:rsidRDefault="003A1B5D">
            <w:pPr>
              <w:pStyle w:val="a3"/>
              <w:spacing w:before="0" w:beforeAutospacing="0" w:after="0" w:afterAutospacing="0"/>
              <w:jc w:val="right"/>
              <w:rPr>
                <w:sz w:val="20"/>
                <w:szCs w:val="20"/>
              </w:rPr>
            </w:pPr>
            <w:r>
              <w:rPr>
                <w:b/>
                <w:bCs/>
                <w:sz w:val="18"/>
                <w:szCs w:val="18"/>
              </w:rPr>
              <w:t>1,15</w:t>
            </w:r>
            <w:r>
              <w:rPr>
                <w:b/>
                <w:bCs/>
                <w:sz w:val="18"/>
                <w:szCs w:val="18"/>
              </w:rPr>
              <w:t>0</w:t>
            </w:r>
          </w:p>
        </w:tc>
        <w:tc>
          <w:tcPr>
            <w:tcW w:w="0" w:type="auto"/>
            <w:noWrap/>
            <w:vAlign w:val="bottom"/>
            <w:hideMark/>
          </w:tcPr>
          <w:p w14:paraId="161072FD"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0181A59"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7B771EC" w14:textId="77777777" w:rsidR="00000000" w:rsidRDefault="003A1B5D">
            <w:pPr>
              <w:pStyle w:val="a3"/>
              <w:spacing w:before="0" w:beforeAutospacing="0" w:after="0" w:afterAutospacing="0"/>
              <w:rPr>
                <w:sz w:val="18"/>
                <w:szCs w:val="18"/>
              </w:rPr>
            </w:pPr>
            <w:r>
              <w:rPr>
                <w:b/>
                <w:bCs/>
                <w:sz w:val="18"/>
                <w:szCs w:val="18"/>
              </w:rPr>
              <w:t>$</w:t>
            </w:r>
          </w:p>
        </w:tc>
        <w:tc>
          <w:tcPr>
            <w:tcW w:w="0" w:type="auto"/>
            <w:vAlign w:val="bottom"/>
            <w:hideMark/>
          </w:tcPr>
          <w:p w14:paraId="239A16F2" w14:textId="77777777" w:rsidR="00000000" w:rsidRDefault="003A1B5D">
            <w:pPr>
              <w:pStyle w:val="a3"/>
              <w:spacing w:before="0" w:beforeAutospacing="0" w:after="0" w:afterAutospacing="0"/>
              <w:jc w:val="right"/>
              <w:rPr>
                <w:sz w:val="20"/>
                <w:szCs w:val="20"/>
              </w:rPr>
            </w:pPr>
            <w:r>
              <w:rPr>
                <w:b/>
                <w:bCs/>
                <w:sz w:val="18"/>
                <w:szCs w:val="18"/>
              </w:rPr>
              <w:t>1,801,86</w:t>
            </w:r>
            <w:r>
              <w:rPr>
                <w:b/>
                <w:bCs/>
                <w:sz w:val="18"/>
                <w:szCs w:val="18"/>
              </w:rPr>
              <w:t>7</w:t>
            </w:r>
          </w:p>
        </w:tc>
        <w:tc>
          <w:tcPr>
            <w:tcW w:w="0" w:type="auto"/>
            <w:noWrap/>
            <w:vAlign w:val="bottom"/>
            <w:hideMark/>
          </w:tcPr>
          <w:p w14:paraId="696EFBD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1C003E0"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E619EFD" w14:textId="77777777" w:rsidR="00000000" w:rsidRDefault="003A1B5D">
            <w:pPr>
              <w:pStyle w:val="a3"/>
              <w:spacing w:before="0" w:beforeAutospacing="0" w:after="0" w:afterAutospacing="0"/>
              <w:rPr>
                <w:sz w:val="18"/>
                <w:szCs w:val="18"/>
              </w:rPr>
            </w:pPr>
            <w:r>
              <w:rPr>
                <w:b/>
                <w:bCs/>
                <w:sz w:val="18"/>
                <w:szCs w:val="18"/>
              </w:rPr>
              <w:t>$</w:t>
            </w:r>
          </w:p>
        </w:tc>
        <w:tc>
          <w:tcPr>
            <w:tcW w:w="0" w:type="auto"/>
            <w:vAlign w:val="bottom"/>
            <w:hideMark/>
          </w:tcPr>
          <w:p w14:paraId="221D17FE" w14:textId="77777777" w:rsidR="00000000" w:rsidRDefault="003A1B5D">
            <w:pPr>
              <w:pStyle w:val="a3"/>
              <w:spacing w:before="0" w:beforeAutospacing="0" w:after="0" w:afterAutospacing="0"/>
              <w:jc w:val="right"/>
              <w:rPr>
                <w:sz w:val="20"/>
                <w:szCs w:val="20"/>
              </w:rPr>
            </w:pPr>
            <w:r>
              <w:rPr>
                <w:b/>
                <w:bCs/>
                <w:sz w:val="18"/>
                <w:szCs w:val="18"/>
              </w:rPr>
              <w:t>(</w:t>
            </w:r>
            <w:r>
              <w:rPr>
                <w:b/>
                <w:bCs/>
                <w:sz w:val="18"/>
                <w:szCs w:val="18"/>
              </w:rPr>
              <w:t>400,84</w:t>
            </w:r>
            <w:r>
              <w:rPr>
                <w:b/>
                <w:bCs/>
                <w:sz w:val="18"/>
                <w:szCs w:val="18"/>
              </w:rPr>
              <w:t>2</w:t>
            </w:r>
          </w:p>
        </w:tc>
        <w:tc>
          <w:tcPr>
            <w:tcW w:w="0" w:type="auto"/>
            <w:noWrap/>
            <w:vAlign w:val="bottom"/>
            <w:hideMark/>
          </w:tcPr>
          <w:p w14:paraId="512E3B12" w14:textId="77777777" w:rsidR="00000000" w:rsidRDefault="003A1B5D">
            <w:pPr>
              <w:pStyle w:val="a3"/>
              <w:spacing w:before="0" w:beforeAutospacing="0" w:after="0" w:afterAutospacing="0"/>
              <w:rPr>
                <w:sz w:val="18"/>
                <w:szCs w:val="18"/>
              </w:rPr>
            </w:pPr>
            <w:r>
              <w:rPr>
                <w:b/>
                <w:bCs/>
                <w:sz w:val="18"/>
                <w:szCs w:val="18"/>
              </w:rPr>
              <w:t>)</w:t>
            </w:r>
          </w:p>
        </w:tc>
        <w:tc>
          <w:tcPr>
            <w:tcW w:w="0" w:type="auto"/>
            <w:vAlign w:val="bottom"/>
            <w:hideMark/>
          </w:tcPr>
          <w:p w14:paraId="759D0C89"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24F6CC4C" w14:textId="77777777" w:rsidR="00000000" w:rsidRDefault="003A1B5D">
            <w:pPr>
              <w:pStyle w:val="a3"/>
              <w:spacing w:before="0" w:beforeAutospacing="0" w:after="0" w:afterAutospacing="0"/>
              <w:rPr>
                <w:sz w:val="18"/>
                <w:szCs w:val="18"/>
              </w:rPr>
            </w:pPr>
            <w:r>
              <w:rPr>
                <w:b/>
                <w:bCs/>
                <w:sz w:val="18"/>
                <w:szCs w:val="18"/>
              </w:rPr>
              <w:t>$</w:t>
            </w:r>
          </w:p>
        </w:tc>
        <w:tc>
          <w:tcPr>
            <w:tcW w:w="0" w:type="auto"/>
            <w:vAlign w:val="bottom"/>
            <w:hideMark/>
          </w:tcPr>
          <w:p w14:paraId="2B084213" w14:textId="77777777" w:rsidR="00000000" w:rsidRDefault="003A1B5D">
            <w:pPr>
              <w:pStyle w:val="a3"/>
              <w:spacing w:before="0" w:beforeAutospacing="0" w:after="0" w:afterAutospacing="0"/>
              <w:jc w:val="right"/>
              <w:rPr>
                <w:sz w:val="20"/>
                <w:szCs w:val="20"/>
              </w:rPr>
            </w:pPr>
            <w:r>
              <w:rPr>
                <w:b/>
                <w:bCs/>
                <w:sz w:val="18"/>
                <w:szCs w:val="18"/>
              </w:rPr>
              <w:t>1,402,17</w:t>
            </w:r>
            <w:r>
              <w:rPr>
                <w:b/>
                <w:bCs/>
                <w:sz w:val="18"/>
                <w:szCs w:val="18"/>
              </w:rPr>
              <w:t>5</w:t>
            </w:r>
          </w:p>
        </w:tc>
        <w:tc>
          <w:tcPr>
            <w:tcW w:w="0" w:type="auto"/>
            <w:noWrap/>
            <w:vAlign w:val="bottom"/>
            <w:hideMark/>
          </w:tcPr>
          <w:p w14:paraId="76DB8ACC" w14:textId="77777777" w:rsidR="00000000" w:rsidRDefault="003A1B5D">
            <w:pPr>
              <w:pStyle w:val="a3"/>
              <w:spacing w:before="0" w:beforeAutospacing="0" w:after="0" w:afterAutospacing="0"/>
              <w:rPr>
                <w:sz w:val="18"/>
                <w:szCs w:val="18"/>
              </w:rPr>
            </w:pPr>
            <w:r>
              <w:rPr>
                <w:sz w:val="18"/>
                <w:szCs w:val="18"/>
              </w:rPr>
              <w:t> </w:t>
            </w:r>
          </w:p>
        </w:tc>
      </w:tr>
    </w:tbl>
    <w:p w14:paraId="4C0013A8" w14:textId="77777777" w:rsidR="00000000" w:rsidRDefault="003A1B5D">
      <w:pPr>
        <w:pStyle w:val="a3"/>
        <w:spacing w:before="0" w:beforeAutospacing="0" w:after="0" w:afterAutospacing="0"/>
        <w:rPr>
          <w:sz w:val="20"/>
          <w:szCs w:val="20"/>
        </w:rPr>
      </w:pPr>
      <w:r>
        <w:rPr>
          <w:sz w:val="20"/>
          <w:szCs w:val="20"/>
        </w:rPr>
        <w:t> </w:t>
      </w:r>
    </w:p>
    <w:p w14:paraId="39FEFF54" w14:textId="77777777" w:rsidR="00000000" w:rsidRDefault="003A1B5D">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14:paraId="0696178E" w14:textId="77777777" w:rsidR="00000000" w:rsidRDefault="003A1B5D">
      <w:pPr>
        <w:pStyle w:val="a3"/>
        <w:spacing w:before="0" w:beforeAutospacing="0" w:after="0" w:afterAutospacing="0"/>
        <w:rPr>
          <w:sz w:val="20"/>
          <w:szCs w:val="20"/>
        </w:rPr>
      </w:pPr>
      <w:r>
        <w:rPr>
          <w:sz w:val="20"/>
          <w:szCs w:val="20"/>
        </w:rPr>
        <w:t> </w:t>
      </w:r>
    </w:p>
    <w:p w14:paraId="4712547D" w14:textId="77777777" w:rsidR="00000000" w:rsidRDefault="003A1B5D">
      <w:pPr>
        <w:pStyle w:val="a3"/>
        <w:spacing w:before="240" w:beforeAutospacing="0" w:after="0" w:afterAutospacing="0"/>
        <w:jc w:val="center"/>
        <w:rPr>
          <w:sz w:val="20"/>
          <w:szCs w:val="20"/>
        </w:rPr>
      </w:pPr>
      <w:r>
        <w:rPr>
          <w:sz w:val="20"/>
          <w:szCs w:val="20"/>
        </w:rPr>
        <w:t>4</w:t>
      </w:r>
    </w:p>
    <w:p w14:paraId="25401834" w14:textId="77777777" w:rsidR="00000000" w:rsidRDefault="003A1B5D">
      <w:pPr>
        <w:rPr>
          <w:rFonts w:eastAsia="Times New Roman"/>
        </w:rPr>
      </w:pPr>
      <w:r>
        <w:rPr>
          <w:rFonts w:eastAsia="Times New Roman"/>
        </w:rPr>
        <w:pict w14:anchorId="221088DD">
          <v:rect id="_x0000_i1030" style="width:0;height:1.5pt" o:hralign="center" o:hrstd="t" o:hr="t" fillcolor="#a0a0a0" stroked="f"/>
        </w:pict>
      </w:r>
    </w:p>
    <w:p w14:paraId="26ED3FBC" w14:textId="77777777" w:rsidR="00000000" w:rsidRDefault="003A1B5D">
      <w:pPr>
        <w:pStyle w:val="a3"/>
        <w:spacing w:before="0" w:beforeAutospacing="0" w:after="0" w:afterAutospacing="0"/>
        <w:rPr>
          <w:sz w:val="20"/>
          <w:szCs w:val="20"/>
        </w:rPr>
      </w:pPr>
      <w:r>
        <w:rPr>
          <w:sz w:val="20"/>
          <w:szCs w:val="20"/>
        </w:rPr>
        <w:t> </w:t>
      </w:r>
    </w:p>
    <w:p w14:paraId="76B2D5A7" w14:textId="77777777" w:rsidR="00000000" w:rsidRDefault="003A1B5D">
      <w:pPr>
        <w:pStyle w:val="a3"/>
        <w:spacing w:before="0" w:beforeAutospacing="0" w:after="0" w:afterAutospacing="0"/>
        <w:jc w:val="center"/>
        <w:rPr>
          <w:sz w:val="20"/>
          <w:szCs w:val="20"/>
        </w:rPr>
      </w:pPr>
      <w:r>
        <w:rPr>
          <w:b/>
          <w:bCs/>
          <w:sz w:val="20"/>
          <w:szCs w:val="20"/>
        </w:rPr>
        <w:t>CORECIVIC, INC. AND SUBSIDIARIE</w:t>
      </w:r>
      <w:r>
        <w:rPr>
          <w:b/>
          <w:bCs/>
          <w:sz w:val="20"/>
          <w:szCs w:val="20"/>
        </w:rPr>
        <w:t>S</w:t>
      </w:r>
    </w:p>
    <w:p w14:paraId="45BB5703" w14:textId="77777777" w:rsidR="00000000" w:rsidRDefault="003A1B5D">
      <w:pPr>
        <w:pStyle w:val="a3"/>
        <w:spacing w:before="0" w:beforeAutospacing="0" w:after="0" w:afterAutospacing="0"/>
        <w:jc w:val="center"/>
        <w:rPr>
          <w:sz w:val="20"/>
          <w:szCs w:val="20"/>
        </w:rPr>
      </w:pPr>
      <w:r>
        <w:rPr>
          <w:b/>
          <w:bCs/>
          <w:sz w:val="20"/>
          <w:szCs w:val="20"/>
        </w:rPr>
        <w:t>CONSOLIDATED STATEME</w:t>
      </w:r>
      <w:r>
        <w:rPr>
          <w:b/>
          <w:bCs/>
          <w:sz w:val="20"/>
          <w:szCs w:val="20"/>
        </w:rPr>
        <w:t>N</w:t>
      </w:r>
      <w:r>
        <w:rPr>
          <w:b/>
          <w:bCs/>
          <w:sz w:val="20"/>
          <w:szCs w:val="20"/>
        </w:rPr>
        <w:t>T OF STOCKHOLDERS' EQUIT</w:t>
      </w:r>
      <w:r>
        <w:rPr>
          <w:b/>
          <w:bCs/>
          <w:sz w:val="20"/>
          <w:szCs w:val="20"/>
        </w:rPr>
        <w:t>Y</w:t>
      </w:r>
    </w:p>
    <w:p w14:paraId="3F05E4EF" w14:textId="77777777" w:rsidR="00000000" w:rsidRDefault="003A1B5D">
      <w:pPr>
        <w:pStyle w:val="a3"/>
        <w:spacing w:before="0" w:beforeAutospacing="0" w:after="0" w:afterAutospacing="0"/>
        <w:jc w:val="center"/>
        <w:rPr>
          <w:sz w:val="20"/>
          <w:szCs w:val="20"/>
        </w:rPr>
      </w:pPr>
      <w:r>
        <w:rPr>
          <w:b/>
          <w:bCs/>
          <w:sz w:val="20"/>
          <w:szCs w:val="20"/>
        </w:rPr>
        <w:t>FOR THE QUARTERLY PERIODS ENDED SEPTEMBER 30, 202</w:t>
      </w:r>
      <w:r>
        <w:rPr>
          <w:b/>
          <w:bCs/>
          <w:sz w:val="20"/>
          <w:szCs w:val="20"/>
        </w:rPr>
        <w:t>1</w:t>
      </w:r>
    </w:p>
    <w:p w14:paraId="602C6C4E" w14:textId="77777777" w:rsidR="00000000" w:rsidRDefault="003A1B5D">
      <w:pPr>
        <w:pStyle w:val="a3"/>
        <w:spacing w:before="0" w:beforeAutospacing="0" w:after="0" w:afterAutospacing="0"/>
        <w:jc w:val="center"/>
        <w:rPr>
          <w:sz w:val="20"/>
          <w:szCs w:val="20"/>
        </w:rPr>
      </w:pPr>
      <w:r>
        <w:rPr>
          <w:sz w:val="20"/>
          <w:szCs w:val="20"/>
        </w:rPr>
        <w:t>(UNAUDITED AND AMOUNTS IN THOUSANDS</w:t>
      </w:r>
      <w:r>
        <w:rPr>
          <w:sz w:val="20"/>
          <w:szCs w:val="20"/>
        </w:rPr>
        <w:t>)</w:t>
      </w:r>
    </w:p>
    <w:p w14:paraId="2343D11E" w14:textId="77777777" w:rsidR="00000000" w:rsidRDefault="003A1B5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0"/>
        <w:gridCol w:w="105"/>
        <w:gridCol w:w="105"/>
        <w:gridCol w:w="645"/>
        <w:gridCol w:w="120"/>
        <w:gridCol w:w="105"/>
        <w:gridCol w:w="150"/>
        <w:gridCol w:w="465"/>
        <w:gridCol w:w="120"/>
        <w:gridCol w:w="105"/>
        <w:gridCol w:w="150"/>
        <w:gridCol w:w="780"/>
        <w:gridCol w:w="120"/>
        <w:gridCol w:w="105"/>
        <w:gridCol w:w="151"/>
        <w:gridCol w:w="823"/>
        <w:gridCol w:w="120"/>
        <w:gridCol w:w="105"/>
        <w:gridCol w:w="151"/>
        <w:gridCol w:w="855"/>
        <w:gridCol w:w="120"/>
        <w:gridCol w:w="105"/>
        <w:gridCol w:w="152"/>
        <w:gridCol w:w="740"/>
        <w:gridCol w:w="120"/>
        <w:gridCol w:w="110"/>
        <w:gridCol w:w="160"/>
        <w:gridCol w:w="860"/>
        <w:gridCol w:w="142"/>
      </w:tblGrid>
      <w:tr w:rsidR="00000000" w14:paraId="3C6DEE59" w14:textId="77777777">
        <w:trPr>
          <w:tblCellSpacing w:w="15" w:type="dxa"/>
        </w:trPr>
        <w:tc>
          <w:tcPr>
            <w:tcW w:w="1679" w:type="pct"/>
            <w:vAlign w:val="center"/>
            <w:hideMark/>
          </w:tcPr>
          <w:p w14:paraId="7BBA2B22" w14:textId="77777777" w:rsidR="00000000" w:rsidRDefault="003A1B5D">
            <w:pPr>
              <w:rPr>
                <w:sz w:val="20"/>
                <w:szCs w:val="20"/>
              </w:rPr>
            </w:pPr>
          </w:p>
        </w:tc>
        <w:tc>
          <w:tcPr>
            <w:tcW w:w="45" w:type="pct"/>
            <w:vAlign w:val="center"/>
            <w:hideMark/>
          </w:tcPr>
          <w:p w14:paraId="3015C33E" w14:textId="77777777" w:rsidR="00000000" w:rsidRDefault="003A1B5D">
            <w:pPr>
              <w:rPr>
                <w:rFonts w:eastAsia="Times New Roman"/>
                <w:sz w:val="20"/>
                <w:szCs w:val="20"/>
              </w:rPr>
            </w:pPr>
          </w:p>
        </w:tc>
        <w:tc>
          <w:tcPr>
            <w:tcW w:w="50" w:type="pct"/>
            <w:vAlign w:val="center"/>
            <w:hideMark/>
          </w:tcPr>
          <w:p w14:paraId="4DF00028" w14:textId="77777777" w:rsidR="00000000" w:rsidRDefault="003A1B5D">
            <w:pPr>
              <w:rPr>
                <w:rFonts w:eastAsia="Times New Roman"/>
                <w:sz w:val="20"/>
                <w:szCs w:val="20"/>
              </w:rPr>
            </w:pPr>
          </w:p>
        </w:tc>
        <w:tc>
          <w:tcPr>
            <w:tcW w:w="247" w:type="pct"/>
            <w:vAlign w:val="center"/>
            <w:hideMark/>
          </w:tcPr>
          <w:p w14:paraId="0B42E82F" w14:textId="77777777" w:rsidR="00000000" w:rsidRDefault="003A1B5D">
            <w:pPr>
              <w:rPr>
                <w:rFonts w:eastAsia="Times New Roman"/>
                <w:sz w:val="20"/>
                <w:szCs w:val="20"/>
              </w:rPr>
            </w:pPr>
          </w:p>
        </w:tc>
        <w:tc>
          <w:tcPr>
            <w:tcW w:w="50" w:type="pct"/>
            <w:vAlign w:val="center"/>
            <w:hideMark/>
          </w:tcPr>
          <w:p w14:paraId="20D20AE6" w14:textId="77777777" w:rsidR="00000000" w:rsidRDefault="003A1B5D">
            <w:pPr>
              <w:rPr>
                <w:rFonts w:eastAsia="Times New Roman"/>
                <w:sz w:val="20"/>
                <w:szCs w:val="20"/>
              </w:rPr>
            </w:pPr>
          </w:p>
        </w:tc>
        <w:tc>
          <w:tcPr>
            <w:tcW w:w="45" w:type="pct"/>
            <w:vAlign w:val="center"/>
            <w:hideMark/>
          </w:tcPr>
          <w:p w14:paraId="34F8D965" w14:textId="77777777" w:rsidR="00000000" w:rsidRDefault="003A1B5D">
            <w:pPr>
              <w:rPr>
                <w:rFonts w:eastAsia="Times New Roman"/>
                <w:sz w:val="20"/>
                <w:szCs w:val="20"/>
              </w:rPr>
            </w:pPr>
          </w:p>
        </w:tc>
        <w:tc>
          <w:tcPr>
            <w:tcW w:w="50" w:type="pct"/>
            <w:vAlign w:val="center"/>
            <w:hideMark/>
          </w:tcPr>
          <w:p w14:paraId="49B8C83D" w14:textId="77777777" w:rsidR="00000000" w:rsidRDefault="003A1B5D">
            <w:pPr>
              <w:rPr>
                <w:rFonts w:eastAsia="Times New Roman"/>
                <w:sz w:val="20"/>
                <w:szCs w:val="20"/>
              </w:rPr>
            </w:pPr>
          </w:p>
        </w:tc>
        <w:tc>
          <w:tcPr>
            <w:tcW w:w="315" w:type="pct"/>
            <w:vAlign w:val="center"/>
            <w:hideMark/>
          </w:tcPr>
          <w:p w14:paraId="50E6B01D" w14:textId="77777777" w:rsidR="00000000" w:rsidRDefault="003A1B5D">
            <w:pPr>
              <w:rPr>
                <w:rFonts w:eastAsia="Times New Roman"/>
                <w:sz w:val="20"/>
                <w:szCs w:val="20"/>
              </w:rPr>
            </w:pPr>
          </w:p>
        </w:tc>
        <w:tc>
          <w:tcPr>
            <w:tcW w:w="50" w:type="pct"/>
            <w:vAlign w:val="center"/>
            <w:hideMark/>
          </w:tcPr>
          <w:p w14:paraId="3CFF2E37" w14:textId="77777777" w:rsidR="00000000" w:rsidRDefault="003A1B5D">
            <w:pPr>
              <w:rPr>
                <w:rFonts w:eastAsia="Times New Roman"/>
                <w:sz w:val="20"/>
                <w:szCs w:val="20"/>
              </w:rPr>
            </w:pPr>
          </w:p>
        </w:tc>
        <w:tc>
          <w:tcPr>
            <w:tcW w:w="45" w:type="pct"/>
            <w:vAlign w:val="center"/>
            <w:hideMark/>
          </w:tcPr>
          <w:p w14:paraId="249CBA1E" w14:textId="77777777" w:rsidR="00000000" w:rsidRDefault="003A1B5D">
            <w:pPr>
              <w:rPr>
                <w:rFonts w:eastAsia="Times New Roman"/>
                <w:sz w:val="20"/>
                <w:szCs w:val="20"/>
              </w:rPr>
            </w:pPr>
          </w:p>
        </w:tc>
        <w:tc>
          <w:tcPr>
            <w:tcW w:w="50" w:type="pct"/>
            <w:vAlign w:val="center"/>
            <w:hideMark/>
          </w:tcPr>
          <w:p w14:paraId="2B9CC4FA" w14:textId="77777777" w:rsidR="00000000" w:rsidRDefault="003A1B5D">
            <w:pPr>
              <w:rPr>
                <w:rFonts w:eastAsia="Times New Roman"/>
                <w:sz w:val="20"/>
                <w:szCs w:val="20"/>
              </w:rPr>
            </w:pPr>
          </w:p>
        </w:tc>
        <w:tc>
          <w:tcPr>
            <w:tcW w:w="311" w:type="pct"/>
            <w:vAlign w:val="center"/>
            <w:hideMark/>
          </w:tcPr>
          <w:p w14:paraId="383D6783" w14:textId="77777777" w:rsidR="00000000" w:rsidRDefault="003A1B5D">
            <w:pPr>
              <w:rPr>
                <w:rFonts w:eastAsia="Times New Roman"/>
                <w:sz w:val="20"/>
                <w:szCs w:val="20"/>
              </w:rPr>
            </w:pPr>
          </w:p>
        </w:tc>
        <w:tc>
          <w:tcPr>
            <w:tcW w:w="50" w:type="pct"/>
            <w:vAlign w:val="center"/>
            <w:hideMark/>
          </w:tcPr>
          <w:p w14:paraId="26B8EB60" w14:textId="77777777" w:rsidR="00000000" w:rsidRDefault="003A1B5D">
            <w:pPr>
              <w:rPr>
                <w:rFonts w:eastAsia="Times New Roman"/>
                <w:sz w:val="20"/>
                <w:szCs w:val="20"/>
              </w:rPr>
            </w:pPr>
          </w:p>
        </w:tc>
        <w:tc>
          <w:tcPr>
            <w:tcW w:w="45" w:type="pct"/>
            <w:vAlign w:val="center"/>
            <w:hideMark/>
          </w:tcPr>
          <w:p w14:paraId="1F2A9319" w14:textId="77777777" w:rsidR="00000000" w:rsidRDefault="003A1B5D">
            <w:pPr>
              <w:rPr>
                <w:rFonts w:eastAsia="Times New Roman"/>
                <w:sz w:val="20"/>
                <w:szCs w:val="20"/>
              </w:rPr>
            </w:pPr>
          </w:p>
        </w:tc>
        <w:tc>
          <w:tcPr>
            <w:tcW w:w="50" w:type="pct"/>
            <w:vAlign w:val="center"/>
            <w:hideMark/>
          </w:tcPr>
          <w:p w14:paraId="3F59FC06" w14:textId="77777777" w:rsidR="00000000" w:rsidRDefault="003A1B5D">
            <w:pPr>
              <w:rPr>
                <w:rFonts w:eastAsia="Times New Roman"/>
                <w:sz w:val="20"/>
                <w:szCs w:val="20"/>
              </w:rPr>
            </w:pPr>
          </w:p>
        </w:tc>
        <w:tc>
          <w:tcPr>
            <w:tcW w:w="348" w:type="pct"/>
            <w:vAlign w:val="center"/>
            <w:hideMark/>
          </w:tcPr>
          <w:p w14:paraId="7A265921" w14:textId="77777777" w:rsidR="00000000" w:rsidRDefault="003A1B5D">
            <w:pPr>
              <w:rPr>
                <w:rFonts w:eastAsia="Times New Roman"/>
                <w:sz w:val="20"/>
                <w:szCs w:val="20"/>
              </w:rPr>
            </w:pPr>
          </w:p>
        </w:tc>
        <w:tc>
          <w:tcPr>
            <w:tcW w:w="50" w:type="pct"/>
            <w:vAlign w:val="center"/>
            <w:hideMark/>
          </w:tcPr>
          <w:p w14:paraId="2C3636DC" w14:textId="77777777" w:rsidR="00000000" w:rsidRDefault="003A1B5D">
            <w:pPr>
              <w:rPr>
                <w:rFonts w:eastAsia="Times New Roman"/>
                <w:sz w:val="20"/>
                <w:szCs w:val="20"/>
              </w:rPr>
            </w:pPr>
          </w:p>
        </w:tc>
        <w:tc>
          <w:tcPr>
            <w:tcW w:w="45" w:type="pct"/>
            <w:vAlign w:val="center"/>
            <w:hideMark/>
          </w:tcPr>
          <w:p w14:paraId="36E350BE" w14:textId="77777777" w:rsidR="00000000" w:rsidRDefault="003A1B5D">
            <w:pPr>
              <w:rPr>
                <w:rFonts w:eastAsia="Times New Roman"/>
                <w:sz w:val="20"/>
                <w:szCs w:val="20"/>
              </w:rPr>
            </w:pPr>
          </w:p>
        </w:tc>
        <w:tc>
          <w:tcPr>
            <w:tcW w:w="50" w:type="pct"/>
            <w:vAlign w:val="center"/>
            <w:hideMark/>
          </w:tcPr>
          <w:p w14:paraId="499D530D" w14:textId="77777777" w:rsidR="00000000" w:rsidRDefault="003A1B5D">
            <w:pPr>
              <w:rPr>
                <w:rFonts w:eastAsia="Times New Roman"/>
                <w:sz w:val="20"/>
                <w:szCs w:val="20"/>
              </w:rPr>
            </w:pPr>
          </w:p>
        </w:tc>
        <w:tc>
          <w:tcPr>
            <w:tcW w:w="380" w:type="pct"/>
            <w:vAlign w:val="center"/>
            <w:hideMark/>
          </w:tcPr>
          <w:p w14:paraId="3388053F" w14:textId="77777777" w:rsidR="00000000" w:rsidRDefault="003A1B5D">
            <w:pPr>
              <w:rPr>
                <w:rFonts w:eastAsia="Times New Roman"/>
                <w:sz w:val="20"/>
                <w:szCs w:val="20"/>
              </w:rPr>
            </w:pPr>
          </w:p>
        </w:tc>
        <w:tc>
          <w:tcPr>
            <w:tcW w:w="50" w:type="pct"/>
            <w:vAlign w:val="center"/>
            <w:hideMark/>
          </w:tcPr>
          <w:p w14:paraId="043E0E78" w14:textId="77777777" w:rsidR="00000000" w:rsidRDefault="003A1B5D">
            <w:pPr>
              <w:rPr>
                <w:rFonts w:eastAsia="Times New Roman"/>
                <w:sz w:val="20"/>
                <w:szCs w:val="20"/>
              </w:rPr>
            </w:pPr>
          </w:p>
        </w:tc>
        <w:tc>
          <w:tcPr>
            <w:tcW w:w="45" w:type="pct"/>
            <w:vAlign w:val="center"/>
            <w:hideMark/>
          </w:tcPr>
          <w:p w14:paraId="5BBDB722" w14:textId="77777777" w:rsidR="00000000" w:rsidRDefault="003A1B5D">
            <w:pPr>
              <w:rPr>
                <w:rFonts w:eastAsia="Times New Roman"/>
                <w:sz w:val="20"/>
                <w:szCs w:val="20"/>
              </w:rPr>
            </w:pPr>
          </w:p>
        </w:tc>
        <w:tc>
          <w:tcPr>
            <w:tcW w:w="50" w:type="pct"/>
            <w:vAlign w:val="center"/>
            <w:hideMark/>
          </w:tcPr>
          <w:p w14:paraId="18276D45" w14:textId="77777777" w:rsidR="00000000" w:rsidRDefault="003A1B5D">
            <w:pPr>
              <w:rPr>
                <w:rFonts w:eastAsia="Times New Roman"/>
                <w:sz w:val="20"/>
                <w:szCs w:val="20"/>
              </w:rPr>
            </w:pPr>
          </w:p>
        </w:tc>
        <w:tc>
          <w:tcPr>
            <w:tcW w:w="326" w:type="pct"/>
            <w:vAlign w:val="center"/>
            <w:hideMark/>
          </w:tcPr>
          <w:p w14:paraId="3B97A258" w14:textId="77777777" w:rsidR="00000000" w:rsidRDefault="003A1B5D">
            <w:pPr>
              <w:rPr>
                <w:rFonts w:eastAsia="Times New Roman"/>
                <w:sz w:val="20"/>
                <w:szCs w:val="20"/>
              </w:rPr>
            </w:pPr>
          </w:p>
        </w:tc>
        <w:tc>
          <w:tcPr>
            <w:tcW w:w="50" w:type="pct"/>
            <w:vAlign w:val="center"/>
            <w:hideMark/>
          </w:tcPr>
          <w:p w14:paraId="433BDF3D" w14:textId="77777777" w:rsidR="00000000" w:rsidRDefault="003A1B5D">
            <w:pPr>
              <w:rPr>
                <w:rFonts w:eastAsia="Times New Roman"/>
                <w:sz w:val="20"/>
                <w:szCs w:val="20"/>
              </w:rPr>
            </w:pPr>
          </w:p>
        </w:tc>
        <w:tc>
          <w:tcPr>
            <w:tcW w:w="45" w:type="pct"/>
            <w:vAlign w:val="center"/>
            <w:hideMark/>
          </w:tcPr>
          <w:p w14:paraId="6AEFF5C2" w14:textId="77777777" w:rsidR="00000000" w:rsidRDefault="003A1B5D">
            <w:pPr>
              <w:rPr>
                <w:rFonts w:eastAsia="Times New Roman"/>
                <w:sz w:val="20"/>
                <w:szCs w:val="20"/>
              </w:rPr>
            </w:pPr>
          </w:p>
        </w:tc>
        <w:tc>
          <w:tcPr>
            <w:tcW w:w="50" w:type="pct"/>
            <w:vAlign w:val="center"/>
            <w:hideMark/>
          </w:tcPr>
          <w:p w14:paraId="12B40213" w14:textId="77777777" w:rsidR="00000000" w:rsidRDefault="003A1B5D">
            <w:pPr>
              <w:rPr>
                <w:rFonts w:eastAsia="Times New Roman"/>
                <w:sz w:val="20"/>
                <w:szCs w:val="20"/>
              </w:rPr>
            </w:pPr>
          </w:p>
        </w:tc>
        <w:tc>
          <w:tcPr>
            <w:tcW w:w="369" w:type="pct"/>
            <w:vAlign w:val="center"/>
            <w:hideMark/>
          </w:tcPr>
          <w:p w14:paraId="1EC04A47" w14:textId="77777777" w:rsidR="00000000" w:rsidRDefault="003A1B5D">
            <w:pPr>
              <w:rPr>
                <w:rFonts w:eastAsia="Times New Roman"/>
                <w:sz w:val="20"/>
                <w:szCs w:val="20"/>
              </w:rPr>
            </w:pPr>
          </w:p>
        </w:tc>
        <w:tc>
          <w:tcPr>
            <w:tcW w:w="50" w:type="pct"/>
            <w:vAlign w:val="center"/>
            <w:hideMark/>
          </w:tcPr>
          <w:p w14:paraId="51EE422F" w14:textId="77777777" w:rsidR="00000000" w:rsidRDefault="003A1B5D">
            <w:pPr>
              <w:rPr>
                <w:rFonts w:eastAsia="Times New Roman"/>
                <w:sz w:val="20"/>
                <w:szCs w:val="20"/>
              </w:rPr>
            </w:pPr>
          </w:p>
        </w:tc>
      </w:tr>
      <w:tr w:rsidR="00000000" w14:paraId="79F7B886" w14:textId="77777777">
        <w:trPr>
          <w:trHeight w:val="160"/>
          <w:tblCellSpacing w:w="15" w:type="dxa"/>
        </w:trPr>
        <w:tc>
          <w:tcPr>
            <w:tcW w:w="0" w:type="auto"/>
            <w:vAlign w:val="bottom"/>
            <w:hideMark/>
          </w:tcPr>
          <w:p w14:paraId="605DAE09"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04EA8A15" w14:textId="77777777" w:rsidR="00000000" w:rsidRDefault="003A1B5D">
            <w:pPr>
              <w:pStyle w:val="a3"/>
              <w:spacing w:before="0" w:beforeAutospacing="0" w:after="0" w:afterAutospacing="0"/>
              <w:rPr>
                <w:sz w:val="16"/>
                <w:szCs w:val="16"/>
              </w:rPr>
            </w:pPr>
            <w:r>
              <w:rPr>
                <w:sz w:val="16"/>
                <w:szCs w:val="16"/>
              </w:rPr>
              <w:t> </w:t>
            </w:r>
          </w:p>
        </w:tc>
        <w:tc>
          <w:tcPr>
            <w:tcW w:w="0" w:type="auto"/>
            <w:gridSpan w:val="18"/>
            <w:vAlign w:val="bottom"/>
            <w:hideMark/>
          </w:tcPr>
          <w:p w14:paraId="34BFEFF1" w14:textId="77777777" w:rsidR="00000000" w:rsidRDefault="003A1B5D">
            <w:pPr>
              <w:pStyle w:val="a3"/>
              <w:spacing w:before="0" w:beforeAutospacing="0" w:after="0" w:afterAutospacing="0"/>
              <w:jc w:val="center"/>
              <w:rPr>
                <w:sz w:val="16"/>
                <w:szCs w:val="16"/>
              </w:rPr>
            </w:pPr>
            <w:r>
              <w:rPr>
                <w:b/>
                <w:bCs/>
                <w:sz w:val="16"/>
                <w:szCs w:val="16"/>
              </w:rPr>
              <w:t>Stockholders' Equit</w:t>
            </w:r>
            <w:r>
              <w:rPr>
                <w:b/>
                <w:bCs/>
                <w:sz w:val="16"/>
                <w:szCs w:val="16"/>
              </w:rPr>
              <w:t>y</w:t>
            </w:r>
          </w:p>
        </w:tc>
        <w:tc>
          <w:tcPr>
            <w:tcW w:w="0" w:type="auto"/>
            <w:vAlign w:val="bottom"/>
            <w:hideMark/>
          </w:tcPr>
          <w:p w14:paraId="4264BFC0"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2E1D025E"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29F08CEB" w14:textId="77777777" w:rsidR="00000000" w:rsidRDefault="003A1B5D">
            <w:pPr>
              <w:pStyle w:val="a3"/>
              <w:spacing w:before="0" w:beforeAutospacing="0" w:after="0" w:afterAutospacing="0"/>
              <w:jc w:val="center"/>
              <w:rPr>
                <w:sz w:val="16"/>
                <w:szCs w:val="16"/>
              </w:rPr>
            </w:pPr>
            <w:r>
              <w:rPr>
                <w:b/>
                <w:bCs/>
                <w:sz w:val="16"/>
                <w:szCs w:val="16"/>
              </w:rPr>
              <w:t>Non-controllin</w:t>
            </w:r>
            <w:r>
              <w:rPr>
                <w:b/>
                <w:bCs/>
                <w:sz w:val="16"/>
                <w:szCs w:val="16"/>
              </w:rPr>
              <w:t>g</w:t>
            </w:r>
          </w:p>
        </w:tc>
        <w:tc>
          <w:tcPr>
            <w:tcW w:w="0" w:type="auto"/>
            <w:vAlign w:val="bottom"/>
            <w:hideMark/>
          </w:tcPr>
          <w:p w14:paraId="0C5AD2C4"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13544FF2"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248BA6DF"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1C8D7615"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0DFBE9DB" w14:textId="77777777">
        <w:trPr>
          <w:trHeight w:val="160"/>
          <w:tblCellSpacing w:w="15" w:type="dxa"/>
        </w:trPr>
        <w:tc>
          <w:tcPr>
            <w:tcW w:w="0" w:type="auto"/>
            <w:vAlign w:val="bottom"/>
            <w:hideMark/>
          </w:tcPr>
          <w:p w14:paraId="2F6EF606"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4EE11C12"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2CFEBADA"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43530EA4"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6465946D"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27FBF430"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07D3A012"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5CB082B7"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7A939ED0" w14:textId="77777777" w:rsidR="00000000" w:rsidRDefault="003A1B5D">
            <w:pPr>
              <w:pStyle w:val="a3"/>
              <w:spacing w:before="0" w:beforeAutospacing="0" w:after="0" w:afterAutospacing="0"/>
              <w:jc w:val="center"/>
              <w:rPr>
                <w:sz w:val="16"/>
                <w:szCs w:val="16"/>
              </w:rPr>
            </w:pPr>
            <w:r>
              <w:rPr>
                <w:b/>
                <w:bCs/>
                <w:sz w:val="16"/>
                <w:szCs w:val="16"/>
              </w:rPr>
              <w:t>Additiona</w:t>
            </w:r>
            <w:r>
              <w:rPr>
                <w:b/>
                <w:bCs/>
                <w:sz w:val="16"/>
                <w:szCs w:val="16"/>
              </w:rPr>
              <w:t>l</w:t>
            </w:r>
          </w:p>
        </w:tc>
        <w:tc>
          <w:tcPr>
            <w:tcW w:w="0" w:type="auto"/>
            <w:vAlign w:val="bottom"/>
            <w:hideMark/>
          </w:tcPr>
          <w:p w14:paraId="0C4086D4"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228130D5"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13B2F99"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669DE0B7"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51C2A80B"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33B5867D" w14:textId="77777777" w:rsidR="00000000" w:rsidRDefault="003A1B5D">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14:paraId="55F530BE"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3A5BBFDE"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6CDC6F21" w14:textId="77777777" w:rsidR="00000000" w:rsidRDefault="003A1B5D">
            <w:pPr>
              <w:pStyle w:val="a3"/>
              <w:spacing w:before="0" w:beforeAutospacing="0" w:after="0" w:afterAutospacing="0"/>
              <w:jc w:val="center"/>
              <w:rPr>
                <w:sz w:val="16"/>
                <w:szCs w:val="16"/>
              </w:rPr>
            </w:pPr>
            <w:r>
              <w:rPr>
                <w:b/>
                <w:bCs/>
                <w:sz w:val="16"/>
                <w:szCs w:val="16"/>
              </w:rPr>
              <w:t xml:space="preserve">Interest </w:t>
            </w:r>
            <w:r>
              <w:rPr>
                <w:b/>
                <w:bCs/>
                <w:sz w:val="16"/>
                <w:szCs w:val="16"/>
              </w:rPr>
              <w:t>-</w:t>
            </w:r>
          </w:p>
        </w:tc>
        <w:tc>
          <w:tcPr>
            <w:tcW w:w="0" w:type="auto"/>
            <w:vAlign w:val="bottom"/>
            <w:hideMark/>
          </w:tcPr>
          <w:p w14:paraId="5FA029C4"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1E6F29E2"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29A6893C"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74EB9D3B"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368E2606" w14:textId="77777777">
        <w:trPr>
          <w:trHeight w:val="160"/>
          <w:tblCellSpacing w:w="15" w:type="dxa"/>
        </w:trPr>
        <w:tc>
          <w:tcPr>
            <w:tcW w:w="0" w:type="auto"/>
            <w:vAlign w:val="bottom"/>
            <w:hideMark/>
          </w:tcPr>
          <w:p w14:paraId="14472F22"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09E7E427" w14:textId="77777777" w:rsidR="00000000" w:rsidRDefault="003A1B5D">
            <w:pPr>
              <w:pStyle w:val="a3"/>
              <w:spacing w:before="0" w:beforeAutospacing="0" w:after="0" w:afterAutospacing="0"/>
              <w:rPr>
                <w:sz w:val="16"/>
                <w:szCs w:val="16"/>
              </w:rPr>
            </w:pPr>
            <w:r>
              <w:rPr>
                <w:sz w:val="16"/>
                <w:szCs w:val="16"/>
              </w:rPr>
              <w:t> </w:t>
            </w:r>
          </w:p>
        </w:tc>
        <w:tc>
          <w:tcPr>
            <w:tcW w:w="0" w:type="auto"/>
            <w:gridSpan w:val="6"/>
            <w:vAlign w:val="bottom"/>
            <w:hideMark/>
          </w:tcPr>
          <w:p w14:paraId="20285382" w14:textId="77777777" w:rsidR="00000000" w:rsidRDefault="003A1B5D">
            <w:pPr>
              <w:pStyle w:val="a3"/>
              <w:spacing w:before="0" w:beforeAutospacing="0" w:after="0" w:afterAutospacing="0"/>
              <w:jc w:val="center"/>
              <w:rPr>
                <w:sz w:val="16"/>
                <w:szCs w:val="16"/>
              </w:rPr>
            </w:pPr>
            <w:r>
              <w:rPr>
                <w:b/>
                <w:bCs/>
                <w:sz w:val="16"/>
                <w:szCs w:val="16"/>
              </w:rPr>
              <w:t>Common Stoc</w:t>
            </w:r>
            <w:r>
              <w:rPr>
                <w:b/>
                <w:bCs/>
                <w:sz w:val="16"/>
                <w:szCs w:val="16"/>
              </w:rPr>
              <w:t>k</w:t>
            </w:r>
          </w:p>
        </w:tc>
        <w:tc>
          <w:tcPr>
            <w:tcW w:w="0" w:type="auto"/>
            <w:vAlign w:val="bottom"/>
            <w:hideMark/>
          </w:tcPr>
          <w:p w14:paraId="46186390"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30B07423"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7C6440F9" w14:textId="77777777" w:rsidR="00000000" w:rsidRDefault="003A1B5D">
            <w:pPr>
              <w:pStyle w:val="a3"/>
              <w:spacing w:before="0" w:beforeAutospacing="0" w:after="0" w:afterAutospacing="0"/>
              <w:jc w:val="center"/>
              <w:rPr>
                <w:sz w:val="16"/>
                <w:szCs w:val="16"/>
              </w:rPr>
            </w:pPr>
            <w:r>
              <w:rPr>
                <w:b/>
                <w:bCs/>
                <w:sz w:val="16"/>
                <w:szCs w:val="16"/>
              </w:rPr>
              <w:t>Paid-i</w:t>
            </w:r>
            <w:r>
              <w:rPr>
                <w:b/>
                <w:bCs/>
                <w:sz w:val="16"/>
                <w:szCs w:val="16"/>
              </w:rPr>
              <w:t>n</w:t>
            </w:r>
          </w:p>
        </w:tc>
        <w:tc>
          <w:tcPr>
            <w:tcW w:w="0" w:type="auto"/>
            <w:vAlign w:val="bottom"/>
            <w:hideMark/>
          </w:tcPr>
          <w:p w14:paraId="2D1D7DA1"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5F6955FD"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714B635" w14:textId="77777777" w:rsidR="00000000" w:rsidRDefault="003A1B5D">
            <w:pPr>
              <w:pStyle w:val="a3"/>
              <w:spacing w:before="0" w:beforeAutospacing="0" w:after="0" w:afterAutospacing="0"/>
              <w:jc w:val="center"/>
              <w:rPr>
                <w:sz w:val="16"/>
                <w:szCs w:val="16"/>
              </w:rPr>
            </w:pPr>
            <w:r>
              <w:rPr>
                <w:b/>
                <w:bCs/>
                <w:sz w:val="16"/>
                <w:szCs w:val="16"/>
              </w:rPr>
              <w:t>Accumulate</w:t>
            </w:r>
            <w:r>
              <w:rPr>
                <w:b/>
                <w:bCs/>
                <w:sz w:val="16"/>
                <w:szCs w:val="16"/>
              </w:rPr>
              <w:t>d</w:t>
            </w:r>
          </w:p>
        </w:tc>
        <w:tc>
          <w:tcPr>
            <w:tcW w:w="0" w:type="auto"/>
            <w:vAlign w:val="bottom"/>
            <w:hideMark/>
          </w:tcPr>
          <w:p w14:paraId="209EED4B"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0C020827"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44FF7298" w14:textId="77777777" w:rsidR="00000000" w:rsidRDefault="003A1B5D">
            <w:pPr>
              <w:pStyle w:val="a3"/>
              <w:spacing w:before="0" w:beforeAutospacing="0" w:after="0" w:afterAutospacing="0"/>
              <w:jc w:val="center"/>
              <w:rPr>
                <w:sz w:val="16"/>
                <w:szCs w:val="16"/>
              </w:rPr>
            </w:pPr>
            <w:r>
              <w:rPr>
                <w:b/>
                <w:bCs/>
                <w:sz w:val="16"/>
                <w:szCs w:val="16"/>
              </w:rPr>
              <w:t>Stockholders</w:t>
            </w:r>
            <w:r>
              <w:rPr>
                <w:b/>
                <w:bCs/>
                <w:sz w:val="16"/>
                <w:szCs w:val="16"/>
              </w:rPr>
              <w:t>'</w:t>
            </w:r>
          </w:p>
        </w:tc>
        <w:tc>
          <w:tcPr>
            <w:tcW w:w="0" w:type="auto"/>
            <w:vAlign w:val="bottom"/>
            <w:hideMark/>
          </w:tcPr>
          <w:p w14:paraId="16DC146D"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14085FF5"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205602FC" w14:textId="77777777" w:rsidR="00000000" w:rsidRDefault="003A1B5D">
            <w:pPr>
              <w:pStyle w:val="a3"/>
              <w:spacing w:before="0" w:beforeAutospacing="0" w:after="0" w:afterAutospacing="0"/>
              <w:jc w:val="center"/>
              <w:rPr>
                <w:sz w:val="16"/>
                <w:szCs w:val="16"/>
              </w:rPr>
            </w:pPr>
            <w:r>
              <w:rPr>
                <w:b/>
                <w:bCs/>
                <w:sz w:val="16"/>
                <w:szCs w:val="16"/>
              </w:rPr>
              <w:t>Operatin</w:t>
            </w:r>
            <w:r>
              <w:rPr>
                <w:b/>
                <w:bCs/>
                <w:sz w:val="16"/>
                <w:szCs w:val="16"/>
              </w:rPr>
              <w:t>g</w:t>
            </w:r>
          </w:p>
        </w:tc>
        <w:tc>
          <w:tcPr>
            <w:tcW w:w="0" w:type="auto"/>
            <w:vAlign w:val="bottom"/>
            <w:hideMark/>
          </w:tcPr>
          <w:p w14:paraId="1EBD543E"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60558811"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4C51E132" w14:textId="77777777" w:rsidR="00000000" w:rsidRDefault="003A1B5D">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14:paraId="7C392004"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0A440C5D" w14:textId="77777777">
        <w:trPr>
          <w:trHeight w:val="160"/>
          <w:tblCellSpacing w:w="15" w:type="dxa"/>
        </w:trPr>
        <w:tc>
          <w:tcPr>
            <w:tcW w:w="0" w:type="auto"/>
            <w:vAlign w:val="bottom"/>
            <w:hideMark/>
          </w:tcPr>
          <w:p w14:paraId="065595AA"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1C5B5A4D"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77A3F0A5" w14:textId="77777777" w:rsidR="00000000" w:rsidRDefault="003A1B5D">
            <w:pPr>
              <w:pStyle w:val="a3"/>
              <w:spacing w:before="0" w:beforeAutospacing="0" w:after="0" w:afterAutospacing="0"/>
              <w:jc w:val="center"/>
              <w:rPr>
                <w:sz w:val="16"/>
                <w:szCs w:val="16"/>
              </w:rPr>
            </w:pPr>
            <w:r>
              <w:rPr>
                <w:b/>
                <w:bCs/>
                <w:sz w:val="16"/>
                <w:szCs w:val="16"/>
              </w:rPr>
              <w:t>Share</w:t>
            </w:r>
            <w:r>
              <w:rPr>
                <w:b/>
                <w:bCs/>
                <w:sz w:val="16"/>
                <w:szCs w:val="16"/>
              </w:rPr>
              <w:t>s</w:t>
            </w:r>
          </w:p>
        </w:tc>
        <w:tc>
          <w:tcPr>
            <w:tcW w:w="0" w:type="auto"/>
            <w:vAlign w:val="bottom"/>
            <w:hideMark/>
          </w:tcPr>
          <w:p w14:paraId="6753DE61"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17871392"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340683D5" w14:textId="77777777" w:rsidR="00000000" w:rsidRDefault="003A1B5D">
            <w:pPr>
              <w:pStyle w:val="a3"/>
              <w:spacing w:before="0" w:beforeAutospacing="0" w:after="0" w:afterAutospacing="0"/>
              <w:jc w:val="center"/>
              <w:rPr>
                <w:sz w:val="16"/>
                <w:szCs w:val="16"/>
              </w:rPr>
            </w:pPr>
            <w:r>
              <w:rPr>
                <w:b/>
                <w:bCs/>
                <w:sz w:val="16"/>
                <w:szCs w:val="16"/>
              </w:rPr>
              <w:t>Par Valu</w:t>
            </w:r>
            <w:r>
              <w:rPr>
                <w:b/>
                <w:bCs/>
                <w:sz w:val="16"/>
                <w:szCs w:val="16"/>
              </w:rPr>
              <w:t>e</w:t>
            </w:r>
          </w:p>
        </w:tc>
        <w:tc>
          <w:tcPr>
            <w:tcW w:w="0" w:type="auto"/>
            <w:vAlign w:val="bottom"/>
            <w:hideMark/>
          </w:tcPr>
          <w:p w14:paraId="78FC5A44"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041FE562"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56AF8BAF" w14:textId="77777777" w:rsidR="00000000" w:rsidRDefault="003A1B5D">
            <w:pPr>
              <w:pStyle w:val="a3"/>
              <w:spacing w:before="0" w:beforeAutospacing="0" w:after="0" w:afterAutospacing="0"/>
              <w:jc w:val="center"/>
              <w:rPr>
                <w:sz w:val="16"/>
                <w:szCs w:val="16"/>
              </w:rPr>
            </w:pPr>
            <w:r>
              <w:rPr>
                <w:b/>
                <w:bCs/>
                <w:sz w:val="16"/>
                <w:szCs w:val="16"/>
              </w:rPr>
              <w:t>Capita</w:t>
            </w:r>
            <w:r>
              <w:rPr>
                <w:b/>
                <w:bCs/>
                <w:sz w:val="16"/>
                <w:szCs w:val="16"/>
              </w:rPr>
              <w:t>l</w:t>
            </w:r>
          </w:p>
        </w:tc>
        <w:tc>
          <w:tcPr>
            <w:tcW w:w="0" w:type="auto"/>
            <w:vAlign w:val="bottom"/>
            <w:hideMark/>
          </w:tcPr>
          <w:p w14:paraId="278EA36C"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262040D3"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E63A948" w14:textId="77777777" w:rsidR="00000000" w:rsidRDefault="003A1B5D">
            <w:pPr>
              <w:pStyle w:val="a3"/>
              <w:spacing w:before="0" w:beforeAutospacing="0" w:after="0" w:afterAutospacing="0"/>
              <w:jc w:val="center"/>
              <w:rPr>
                <w:sz w:val="16"/>
                <w:szCs w:val="16"/>
              </w:rPr>
            </w:pPr>
            <w:r>
              <w:rPr>
                <w:b/>
                <w:bCs/>
                <w:sz w:val="16"/>
                <w:szCs w:val="16"/>
              </w:rPr>
              <w:t>Defici</w:t>
            </w:r>
            <w:r>
              <w:rPr>
                <w:b/>
                <w:bCs/>
                <w:sz w:val="16"/>
                <w:szCs w:val="16"/>
              </w:rPr>
              <w:t>t</w:t>
            </w:r>
          </w:p>
        </w:tc>
        <w:tc>
          <w:tcPr>
            <w:tcW w:w="0" w:type="auto"/>
            <w:vAlign w:val="bottom"/>
            <w:hideMark/>
          </w:tcPr>
          <w:p w14:paraId="106205B4"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1B817600"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098ACE6" w14:textId="77777777" w:rsidR="00000000" w:rsidRDefault="003A1B5D">
            <w:pPr>
              <w:pStyle w:val="a3"/>
              <w:spacing w:before="0" w:beforeAutospacing="0" w:after="0" w:afterAutospacing="0"/>
              <w:jc w:val="center"/>
              <w:rPr>
                <w:sz w:val="16"/>
                <w:szCs w:val="16"/>
              </w:rPr>
            </w:pPr>
            <w:r>
              <w:rPr>
                <w:b/>
                <w:bCs/>
                <w:sz w:val="16"/>
                <w:szCs w:val="16"/>
              </w:rPr>
              <w:t>Equit</w:t>
            </w:r>
            <w:r>
              <w:rPr>
                <w:b/>
                <w:bCs/>
                <w:sz w:val="16"/>
                <w:szCs w:val="16"/>
              </w:rPr>
              <w:t>y</w:t>
            </w:r>
          </w:p>
        </w:tc>
        <w:tc>
          <w:tcPr>
            <w:tcW w:w="0" w:type="auto"/>
            <w:vAlign w:val="bottom"/>
            <w:hideMark/>
          </w:tcPr>
          <w:p w14:paraId="0C2DD7AA"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55B73BA5"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1780D31" w14:textId="77777777" w:rsidR="00000000" w:rsidRDefault="003A1B5D">
            <w:pPr>
              <w:pStyle w:val="a3"/>
              <w:spacing w:before="0" w:beforeAutospacing="0" w:after="0" w:afterAutospacing="0"/>
              <w:jc w:val="center"/>
              <w:rPr>
                <w:sz w:val="16"/>
                <w:szCs w:val="16"/>
              </w:rPr>
            </w:pPr>
            <w:r>
              <w:rPr>
                <w:b/>
                <w:bCs/>
                <w:sz w:val="16"/>
                <w:szCs w:val="16"/>
              </w:rPr>
              <w:t>Partnershi</w:t>
            </w:r>
            <w:r>
              <w:rPr>
                <w:b/>
                <w:bCs/>
                <w:sz w:val="16"/>
                <w:szCs w:val="16"/>
              </w:rPr>
              <w:t>p</w:t>
            </w:r>
          </w:p>
        </w:tc>
        <w:tc>
          <w:tcPr>
            <w:tcW w:w="0" w:type="auto"/>
            <w:vAlign w:val="bottom"/>
            <w:hideMark/>
          </w:tcPr>
          <w:p w14:paraId="259F125B"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628FE2C8"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4FBF590" w14:textId="77777777" w:rsidR="00000000" w:rsidRDefault="003A1B5D">
            <w:pPr>
              <w:pStyle w:val="a3"/>
              <w:spacing w:before="0" w:beforeAutospacing="0" w:after="0" w:afterAutospacing="0"/>
              <w:jc w:val="center"/>
              <w:rPr>
                <w:sz w:val="16"/>
                <w:szCs w:val="16"/>
              </w:rPr>
            </w:pPr>
            <w:r>
              <w:rPr>
                <w:b/>
                <w:bCs/>
                <w:sz w:val="16"/>
                <w:szCs w:val="16"/>
              </w:rPr>
              <w:t>Equit</w:t>
            </w:r>
            <w:r>
              <w:rPr>
                <w:b/>
                <w:bCs/>
                <w:sz w:val="16"/>
                <w:szCs w:val="16"/>
              </w:rPr>
              <w:t>y</w:t>
            </w:r>
          </w:p>
        </w:tc>
        <w:tc>
          <w:tcPr>
            <w:tcW w:w="0" w:type="auto"/>
            <w:vAlign w:val="bottom"/>
            <w:hideMark/>
          </w:tcPr>
          <w:p w14:paraId="1108662A"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02E2C41D" w14:textId="77777777">
        <w:trPr>
          <w:trHeight w:val="200"/>
          <w:tblCellSpacing w:w="15" w:type="dxa"/>
        </w:trPr>
        <w:tc>
          <w:tcPr>
            <w:tcW w:w="0" w:type="auto"/>
            <w:hideMark/>
          </w:tcPr>
          <w:p w14:paraId="6F9AFA9D" w14:textId="77777777" w:rsidR="00000000" w:rsidRDefault="003A1B5D">
            <w:pPr>
              <w:pStyle w:val="a3"/>
              <w:spacing w:before="0" w:beforeAutospacing="0" w:after="0" w:afterAutospacing="0"/>
              <w:rPr>
                <w:sz w:val="18"/>
                <w:szCs w:val="18"/>
              </w:rPr>
            </w:pPr>
            <w:r>
              <w:rPr>
                <w:sz w:val="18"/>
                <w:szCs w:val="18"/>
              </w:rPr>
              <w:t>Balance as of December 31, 202</w:t>
            </w:r>
            <w:r>
              <w:rPr>
                <w:sz w:val="18"/>
                <w:szCs w:val="18"/>
              </w:rPr>
              <w:t>0</w:t>
            </w:r>
          </w:p>
        </w:tc>
        <w:tc>
          <w:tcPr>
            <w:tcW w:w="0" w:type="auto"/>
            <w:vAlign w:val="bottom"/>
            <w:hideMark/>
          </w:tcPr>
          <w:p w14:paraId="278D4708"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71EACA41"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75E2356" w14:textId="77777777" w:rsidR="00000000" w:rsidRDefault="003A1B5D">
            <w:pPr>
              <w:pStyle w:val="a3"/>
              <w:spacing w:before="0" w:beforeAutospacing="0" w:after="0" w:afterAutospacing="0"/>
              <w:jc w:val="right"/>
              <w:rPr>
                <w:sz w:val="20"/>
                <w:szCs w:val="20"/>
              </w:rPr>
            </w:pPr>
            <w:r>
              <w:rPr>
                <w:sz w:val="18"/>
                <w:szCs w:val="18"/>
              </w:rPr>
              <w:t>119,63</w:t>
            </w:r>
            <w:r>
              <w:rPr>
                <w:sz w:val="18"/>
                <w:szCs w:val="18"/>
              </w:rPr>
              <w:t>8</w:t>
            </w:r>
          </w:p>
        </w:tc>
        <w:tc>
          <w:tcPr>
            <w:tcW w:w="0" w:type="auto"/>
            <w:noWrap/>
            <w:vAlign w:val="bottom"/>
            <w:hideMark/>
          </w:tcPr>
          <w:p w14:paraId="517E80AB"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D1B0592"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10B1AFFF"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0BB98A27" w14:textId="77777777" w:rsidR="00000000" w:rsidRDefault="003A1B5D">
            <w:pPr>
              <w:pStyle w:val="a3"/>
              <w:spacing w:before="0" w:beforeAutospacing="0" w:after="0" w:afterAutospacing="0"/>
              <w:jc w:val="right"/>
              <w:rPr>
                <w:sz w:val="20"/>
                <w:szCs w:val="20"/>
              </w:rPr>
            </w:pPr>
            <w:r>
              <w:rPr>
                <w:sz w:val="18"/>
                <w:szCs w:val="18"/>
              </w:rPr>
              <w:t>1,19</w:t>
            </w:r>
            <w:r>
              <w:rPr>
                <w:sz w:val="18"/>
                <w:szCs w:val="18"/>
              </w:rPr>
              <w:t>6</w:t>
            </w:r>
          </w:p>
        </w:tc>
        <w:tc>
          <w:tcPr>
            <w:tcW w:w="0" w:type="auto"/>
            <w:noWrap/>
            <w:vAlign w:val="bottom"/>
            <w:hideMark/>
          </w:tcPr>
          <w:p w14:paraId="67F5BCB4"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9552A9E"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3350D873"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3F8C8094" w14:textId="77777777" w:rsidR="00000000" w:rsidRDefault="003A1B5D">
            <w:pPr>
              <w:pStyle w:val="a3"/>
              <w:spacing w:before="0" w:beforeAutospacing="0" w:after="0" w:afterAutospacing="0"/>
              <w:jc w:val="right"/>
              <w:rPr>
                <w:sz w:val="20"/>
                <w:szCs w:val="20"/>
              </w:rPr>
            </w:pPr>
            <w:r>
              <w:rPr>
                <w:sz w:val="18"/>
                <w:szCs w:val="18"/>
              </w:rPr>
              <w:t>1,835,49</w:t>
            </w:r>
            <w:r>
              <w:rPr>
                <w:sz w:val="18"/>
                <w:szCs w:val="18"/>
              </w:rPr>
              <w:t>4</w:t>
            </w:r>
          </w:p>
        </w:tc>
        <w:tc>
          <w:tcPr>
            <w:tcW w:w="0" w:type="auto"/>
            <w:noWrap/>
            <w:vAlign w:val="bottom"/>
            <w:hideMark/>
          </w:tcPr>
          <w:p w14:paraId="0C2D8E94"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AC36AF4"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45EAEC68"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607C1C7C" w14:textId="77777777" w:rsidR="00000000" w:rsidRDefault="003A1B5D">
            <w:pPr>
              <w:pStyle w:val="a3"/>
              <w:spacing w:before="0" w:beforeAutospacing="0" w:after="0" w:afterAutospacing="0"/>
              <w:jc w:val="right"/>
              <w:rPr>
                <w:sz w:val="20"/>
                <w:szCs w:val="20"/>
              </w:rPr>
            </w:pPr>
            <w:r>
              <w:rPr>
                <w:sz w:val="18"/>
                <w:szCs w:val="18"/>
              </w:rPr>
              <w:t>(</w:t>
            </w:r>
            <w:r>
              <w:rPr>
                <w:sz w:val="18"/>
                <w:szCs w:val="18"/>
              </w:rPr>
              <w:t>446,51</w:t>
            </w:r>
            <w:r>
              <w:rPr>
                <w:sz w:val="18"/>
                <w:szCs w:val="18"/>
              </w:rPr>
              <w:t>9</w:t>
            </w:r>
          </w:p>
        </w:tc>
        <w:tc>
          <w:tcPr>
            <w:tcW w:w="0" w:type="auto"/>
            <w:noWrap/>
            <w:vAlign w:val="bottom"/>
            <w:hideMark/>
          </w:tcPr>
          <w:p w14:paraId="145D9E8F"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6698A1CC"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88404C0"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4BB6F3F8" w14:textId="77777777" w:rsidR="00000000" w:rsidRDefault="003A1B5D">
            <w:pPr>
              <w:pStyle w:val="a3"/>
              <w:spacing w:before="0" w:beforeAutospacing="0" w:after="0" w:afterAutospacing="0"/>
              <w:jc w:val="right"/>
              <w:rPr>
                <w:sz w:val="20"/>
                <w:szCs w:val="20"/>
              </w:rPr>
            </w:pPr>
            <w:r>
              <w:rPr>
                <w:sz w:val="18"/>
                <w:szCs w:val="18"/>
              </w:rPr>
              <w:t>1,390,17</w:t>
            </w:r>
            <w:r>
              <w:rPr>
                <w:sz w:val="18"/>
                <w:szCs w:val="18"/>
              </w:rPr>
              <w:t>1</w:t>
            </w:r>
          </w:p>
        </w:tc>
        <w:tc>
          <w:tcPr>
            <w:tcW w:w="0" w:type="auto"/>
            <w:noWrap/>
            <w:vAlign w:val="bottom"/>
            <w:hideMark/>
          </w:tcPr>
          <w:p w14:paraId="44BA501A"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A9FDB93"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21B75FFC"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12EA0843" w14:textId="77777777" w:rsidR="00000000" w:rsidRDefault="003A1B5D">
            <w:pPr>
              <w:pStyle w:val="a3"/>
              <w:spacing w:before="0" w:beforeAutospacing="0" w:after="0" w:afterAutospacing="0"/>
              <w:jc w:val="right"/>
              <w:rPr>
                <w:sz w:val="20"/>
                <w:szCs w:val="20"/>
              </w:rPr>
            </w:pPr>
            <w:r>
              <w:rPr>
                <w:sz w:val="18"/>
                <w:szCs w:val="18"/>
              </w:rPr>
              <w:t>23,27</w:t>
            </w:r>
            <w:r>
              <w:rPr>
                <w:sz w:val="18"/>
                <w:szCs w:val="18"/>
              </w:rPr>
              <w:t>1</w:t>
            </w:r>
          </w:p>
        </w:tc>
        <w:tc>
          <w:tcPr>
            <w:tcW w:w="0" w:type="auto"/>
            <w:noWrap/>
            <w:vAlign w:val="bottom"/>
            <w:hideMark/>
          </w:tcPr>
          <w:p w14:paraId="374BB14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DDCE0C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DA9543E"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7411AFDA" w14:textId="77777777" w:rsidR="00000000" w:rsidRDefault="003A1B5D">
            <w:pPr>
              <w:pStyle w:val="a3"/>
              <w:spacing w:before="0" w:beforeAutospacing="0" w:after="0" w:afterAutospacing="0"/>
              <w:jc w:val="right"/>
              <w:rPr>
                <w:sz w:val="20"/>
                <w:szCs w:val="20"/>
              </w:rPr>
            </w:pPr>
            <w:r>
              <w:rPr>
                <w:sz w:val="20"/>
                <w:szCs w:val="20"/>
              </w:rPr>
              <w:t>1,413,44</w:t>
            </w:r>
            <w:r>
              <w:rPr>
                <w:sz w:val="20"/>
                <w:szCs w:val="20"/>
              </w:rPr>
              <w:t>2</w:t>
            </w:r>
          </w:p>
        </w:tc>
        <w:tc>
          <w:tcPr>
            <w:tcW w:w="0" w:type="auto"/>
            <w:noWrap/>
            <w:vAlign w:val="bottom"/>
            <w:hideMark/>
          </w:tcPr>
          <w:p w14:paraId="65943C86" w14:textId="77777777" w:rsidR="00000000" w:rsidRDefault="003A1B5D">
            <w:pPr>
              <w:pStyle w:val="a3"/>
              <w:spacing w:before="0" w:beforeAutospacing="0" w:after="0" w:afterAutospacing="0"/>
              <w:rPr>
                <w:sz w:val="20"/>
                <w:szCs w:val="20"/>
              </w:rPr>
            </w:pPr>
            <w:r>
              <w:rPr>
                <w:sz w:val="20"/>
                <w:szCs w:val="20"/>
              </w:rPr>
              <w:t> </w:t>
            </w:r>
          </w:p>
        </w:tc>
      </w:tr>
      <w:tr w:rsidR="00000000" w14:paraId="536427A1" w14:textId="77777777">
        <w:trPr>
          <w:trHeight w:val="200"/>
          <w:tblCellSpacing w:w="15" w:type="dxa"/>
        </w:trPr>
        <w:tc>
          <w:tcPr>
            <w:tcW w:w="0" w:type="auto"/>
            <w:hideMark/>
          </w:tcPr>
          <w:p w14:paraId="508A416F" w14:textId="77777777" w:rsidR="00000000" w:rsidRDefault="003A1B5D">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14:paraId="62FD224E"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2419F92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3783FD0"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0734BE9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D809142"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85141C2"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0546C79"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41D20BE3"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21EEA92"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6719A28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D7C02EE"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79895D04"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5C26C9F"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2ECDE781"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C370E3D" w14:textId="77777777" w:rsidR="00000000" w:rsidRDefault="003A1B5D">
            <w:pPr>
              <w:pStyle w:val="a3"/>
              <w:spacing w:before="0" w:beforeAutospacing="0" w:after="0" w:afterAutospacing="0"/>
              <w:jc w:val="right"/>
              <w:rPr>
                <w:sz w:val="20"/>
                <w:szCs w:val="20"/>
              </w:rPr>
            </w:pPr>
            <w:r>
              <w:rPr>
                <w:sz w:val="18"/>
                <w:szCs w:val="18"/>
              </w:rPr>
              <w:t>(</w:t>
            </w:r>
            <w:r>
              <w:rPr>
                <w:sz w:val="18"/>
                <w:szCs w:val="18"/>
              </w:rPr>
              <w:t>125,56</w:t>
            </w:r>
            <w:r>
              <w:rPr>
                <w:sz w:val="18"/>
                <w:szCs w:val="18"/>
              </w:rPr>
              <w:t>8</w:t>
            </w:r>
          </w:p>
        </w:tc>
        <w:tc>
          <w:tcPr>
            <w:tcW w:w="0" w:type="auto"/>
            <w:noWrap/>
            <w:vAlign w:val="bottom"/>
            <w:hideMark/>
          </w:tcPr>
          <w:p w14:paraId="572A13D9"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044855EF"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66156D17"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F06FF31" w14:textId="77777777" w:rsidR="00000000" w:rsidRDefault="003A1B5D">
            <w:pPr>
              <w:pStyle w:val="a3"/>
              <w:spacing w:before="0" w:beforeAutospacing="0" w:after="0" w:afterAutospacing="0"/>
              <w:jc w:val="right"/>
              <w:rPr>
                <w:sz w:val="20"/>
                <w:szCs w:val="20"/>
              </w:rPr>
            </w:pPr>
            <w:r>
              <w:rPr>
                <w:sz w:val="18"/>
                <w:szCs w:val="18"/>
              </w:rPr>
              <w:t>(</w:t>
            </w:r>
            <w:r>
              <w:rPr>
                <w:sz w:val="18"/>
                <w:szCs w:val="18"/>
              </w:rPr>
              <w:t>125,56</w:t>
            </w:r>
            <w:r>
              <w:rPr>
                <w:sz w:val="18"/>
                <w:szCs w:val="18"/>
              </w:rPr>
              <w:t>8</w:t>
            </w:r>
          </w:p>
        </w:tc>
        <w:tc>
          <w:tcPr>
            <w:tcW w:w="0" w:type="auto"/>
            <w:noWrap/>
            <w:vAlign w:val="bottom"/>
            <w:hideMark/>
          </w:tcPr>
          <w:p w14:paraId="2A78F3F6"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7D33F330"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4D057BF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67077A2"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03AA6CB4"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C18E99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2C71D0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BB16C16" w14:textId="77777777" w:rsidR="00000000" w:rsidRDefault="003A1B5D">
            <w:pPr>
              <w:pStyle w:val="a3"/>
              <w:spacing w:before="0" w:beforeAutospacing="0" w:after="0" w:afterAutospacing="0"/>
              <w:jc w:val="right"/>
              <w:rPr>
                <w:sz w:val="20"/>
                <w:szCs w:val="20"/>
              </w:rPr>
            </w:pPr>
            <w:r>
              <w:rPr>
                <w:sz w:val="20"/>
                <w:szCs w:val="20"/>
              </w:rPr>
              <w:t>(</w:t>
            </w:r>
            <w:r>
              <w:rPr>
                <w:sz w:val="20"/>
                <w:szCs w:val="20"/>
              </w:rPr>
              <w:t>125,56</w:t>
            </w:r>
            <w:r>
              <w:rPr>
                <w:sz w:val="20"/>
                <w:szCs w:val="20"/>
              </w:rPr>
              <w:t>8</w:t>
            </w:r>
          </w:p>
        </w:tc>
        <w:tc>
          <w:tcPr>
            <w:tcW w:w="0" w:type="auto"/>
            <w:noWrap/>
            <w:vAlign w:val="bottom"/>
            <w:hideMark/>
          </w:tcPr>
          <w:p w14:paraId="708C59F6" w14:textId="77777777" w:rsidR="00000000" w:rsidRDefault="003A1B5D">
            <w:pPr>
              <w:pStyle w:val="a3"/>
              <w:spacing w:before="0" w:beforeAutospacing="0" w:after="0" w:afterAutospacing="0"/>
              <w:rPr>
                <w:sz w:val="20"/>
                <w:szCs w:val="20"/>
              </w:rPr>
            </w:pPr>
            <w:r>
              <w:rPr>
                <w:sz w:val="20"/>
                <w:szCs w:val="20"/>
              </w:rPr>
              <w:t>)</w:t>
            </w:r>
          </w:p>
        </w:tc>
      </w:tr>
      <w:tr w:rsidR="00000000" w14:paraId="63407F1B" w14:textId="77777777">
        <w:trPr>
          <w:trHeight w:val="200"/>
          <w:tblCellSpacing w:w="15" w:type="dxa"/>
        </w:trPr>
        <w:tc>
          <w:tcPr>
            <w:tcW w:w="0" w:type="auto"/>
            <w:hideMark/>
          </w:tcPr>
          <w:p w14:paraId="44512FAB" w14:textId="77777777" w:rsidR="00000000" w:rsidRDefault="003A1B5D">
            <w:pPr>
              <w:pStyle w:val="a3"/>
              <w:spacing w:before="0" w:beforeAutospacing="0" w:after="0" w:afterAutospacing="0"/>
              <w:rPr>
                <w:sz w:val="18"/>
                <w:szCs w:val="18"/>
              </w:rPr>
            </w:pPr>
            <w:r>
              <w:rPr>
                <w:sz w:val="18"/>
                <w:szCs w:val="18"/>
              </w:rPr>
              <w:t>Retirement of common stoc</w:t>
            </w:r>
            <w:r>
              <w:rPr>
                <w:sz w:val="18"/>
                <w:szCs w:val="18"/>
              </w:rPr>
              <w:t>k</w:t>
            </w:r>
          </w:p>
        </w:tc>
        <w:tc>
          <w:tcPr>
            <w:tcW w:w="0" w:type="auto"/>
            <w:vAlign w:val="bottom"/>
            <w:hideMark/>
          </w:tcPr>
          <w:p w14:paraId="799E8756"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51BAF4BD"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C4BD24D" w14:textId="77777777" w:rsidR="00000000" w:rsidRDefault="003A1B5D">
            <w:pPr>
              <w:pStyle w:val="a3"/>
              <w:spacing w:before="0" w:beforeAutospacing="0" w:after="0" w:afterAutospacing="0"/>
              <w:jc w:val="right"/>
              <w:rPr>
                <w:sz w:val="20"/>
                <w:szCs w:val="20"/>
              </w:rPr>
            </w:pPr>
            <w:r>
              <w:rPr>
                <w:sz w:val="18"/>
                <w:szCs w:val="18"/>
              </w:rPr>
              <w:t>(</w:t>
            </w:r>
            <w:r>
              <w:rPr>
                <w:sz w:val="18"/>
                <w:szCs w:val="18"/>
              </w:rPr>
              <w:t>22</w:t>
            </w:r>
            <w:r>
              <w:rPr>
                <w:sz w:val="18"/>
                <w:szCs w:val="18"/>
              </w:rPr>
              <w:t>0</w:t>
            </w:r>
          </w:p>
        </w:tc>
        <w:tc>
          <w:tcPr>
            <w:tcW w:w="0" w:type="auto"/>
            <w:noWrap/>
            <w:vAlign w:val="bottom"/>
            <w:hideMark/>
          </w:tcPr>
          <w:p w14:paraId="53CF8D11"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5C63AEC0"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7733D2F7"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A31380E" w14:textId="77777777" w:rsidR="00000000" w:rsidRDefault="003A1B5D">
            <w:pPr>
              <w:pStyle w:val="a3"/>
              <w:spacing w:before="0" w:beforeAutospacing="0" w:after="0" w:afterAutospacing="0"/>
              <w:jc w:val="right"/>
              <w:rPr>
                <w:sz w:val="20"/>
                <w:szCs w:val="20"/>
              </w:rPr>
            </w:pPr>
            <w:r>
              <w:rPr>
                <w:sz w:val="18"/>
                <w:szCs w:val="18"/>
              </w:rPr>
              <w:t>(</w:t>
            </w:r>
            <w:r>
              <w:rPr>
                <w:sz w:val="18"/>
                <w:szCs w:val="18"/>
              </w:rPr>
              <w:t>2</w:t>
            </w:r>
          </w:p>
        </w:tc>
        <w:tc>
          <w:tcPr>
            <w:tcW w:w="0" w:type="auto"/>
            <w:noWrap/>
            <w:vAlign w:val="bottom"/>
            <w:hideMark/>
          </w:tcPr>
          <w:p w14:paraId="6D404155"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55174852"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793E6819"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A2C8004" w14:textId="77777777" w:rsidR="00000000" w:rsidRDefault="003A1B5D">
            <w:pPr>
              <w:pStyle w:val="a3"/>
              <w:spacing w:before="0" w:beforeAutospacing="0" w:after="0" w:afterAutospacing="0"/>
              <w:jc w:val="right"/>
              <w:rPr>
                <w:sz w:val="20"/>
                <w:szCs w:val="20"/>
              </w:rPr>
            </w:pPr>
            <w:r>
              <w:rPr>
                <w:sz w:val="18"/>
                <w:szCs w:val="18"/>
              </w:rPr>
              <w:t>(</w:t>
            </w:r>
            <w:r>
              <w:rPr>
                <w:sz w:val="18"/>
                <w:szCs w:val="18"/>
              </w:rPr>
              <w:t>1,63</w:t>
            </w:r>
            <w:r>
              <w:rPr>
                <w:sz w:val="18"/>
                <w:szCs w:val="18"/>
              </w:rPr>
              <w:t>2</w:t>
            </w:r>
          </w:p>
        </w:tc>
        <w:tc>
          <w:tcPr>
            <w:tcW w:w="0" w:type="auto"/>
            <w:noWrap/>
            <w:vAlign w:val="bottom"/>
            <w:hideMark/>
          </w:tcPr>
          <w:p w14:paraId="4837F9E3"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267A4A8A"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3C8A5824"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26425E9"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770F246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AF44535"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280FC85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0847889" w14:textId="77777777" w:rsidR="00000000" w:rsidRDefault="003A1B5D">
            <w:pPr>
              <w:pStyle w:val="a3"/>
              <w:spacing w:before="0" w:beforeAutospacing="0" w:after="0" w:afterAutospacing="0"/>
              <w:jc w:val="right"/>
              <w:rPr>
                <w:sz w:val="20"/>
                <w:szCs w:val="20"/>
              </w:rPr>
            </w:pPr>
            <w:r>
              <w:rPr>
                <w:sz w:val="18"/>
                <w:szCs w:val="18"/>
              </w:rPr>
              <w:t>(</w:t>
            </w:r>
            <w:r>
              <w:rPr>
                <w:sz w:val="18"/>
                <w:szCs w:val="18"/>
              </w:rPr>
              <w:t>1,63</w:t>
            </w:r>
            <w:r>
              <w:rPr>
                <w:sz w:val="18"/>
                <w:szCs w:val="18"/>
              </w:rPr>
              <w:t>4</w:t>
            </w:r>
          </w:p>
        </w:tc>
        <w:tc>
          <w:tcPr>
            <w:tcW w:w="0" w:type="auto"/>
            <w:noWrap/>
            <w:vAlign w:val="bottom"/>
            <w:hideMark/>
          </w:tcPr>
          <w:p w14:paraId="7510E094"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2384928B"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2FF6986B"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2420402"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59A090F9"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FE68EE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B0503B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A6C6E8E" w14:textId="77777777" w:rsidR="00000000" w:rsidRDefault="003A1B5D">
            <w:pPr>
              <w:pStyle w:val="a3"/>
              <w:spacing w:before="0" w:beforeAutospacing="0" w:after="0" w:afterAutospacing="0"/>
              <w:jc w:val="right"/>
              <w:rPr>
                <w:sz w:val="20"/>
                <w:szCs w:val="20"/>
              </w:rPr>
            </w:pPr>
            <w:r>
              <w:rPr>
                <w:sz w:val="20"/>
                <w:szCs w:val="20"/>
              </w:rPr>
              <w:t>(</w:t>
            </w:r>
            <w:r>
              <w:rPr>
                <w:sz w:val="20"/>
                <w:szCs w:val="20"/>
              </w:rPr>
              <w:t>1,63</w:t>
            </w:r>
            <w:r>
              <w:rPr>
                <w:sz w:val="20"/>
                <w:szCs w:val="20"/>
              </w:rPr>
              <w:t>4</w:t>
            </w:r>
          </w:p>
        </w:tc>
        <w:tc>
          <w:tcPr>
            <w:tcW w:w="0" w:type="auto"/>
            <w:noWrap/>
            <w:vAlign w:val="bottom"/>
            <w:hideMark/>
          </w:tcPr>
          <w:p w14:paraId="4CDA06B7" w14:textId="77777777" w:rsidR="00000000" w:rsidRDefault="003A1B5D">
            <w:pPr>
              <w:pStyle w:val="a3"/>
              <w:spacing w:before="0" w:beforeAutospacing="0" w:after="0" w:afterAutospacing="0"/>
              <w:rPr>
                <w:sz w:val="20"/>
                <w:szCs w:val="20"/>
              </w:rPr>
            </w:pPr>
            <w:r>
              <w:rPr>
                <w:sz w:val="20"/>
                <w:szCs w:val="20"/>
              </w:rPr>
              <w:t>)</w:t>
            </w:r>
          </w:p>
        </w:tc>
      </w:tr>
      <w:tr w:rsidR="00000000" w14:paraId="7229A595" w14:textId="77777777">
        <w:trPr>
          <w:trHeight w:val="200"/>
          <w:tblCellSpacing w:w="15" w:type="dxa"/>
        </w:trPr>
        <w:tc>
          <w:tcPr>
            <w:tcW w:w="0" w:type="auto"/>
            <w:hideMark/>
          </w:tcPr>
          <w:p w14:paraId="3C592CD7" w14:textId="77777777" w:rsidR="00000000" w:rsidRDefault="003A1B5D">
            <w:pPr>
              <w:pStyle w:val="a3"/>
              <w:spacing w:before="0" w:beforeAutospacing="0" w:after="0" w:afterAutospacing="0"/>
              <w:rPr>
                <w:sz w:val="18"/>
                <w:szCs w:val="18"/>
              </w:rPr>
            </w:pPr>
            <w:r>
              <w:rPr>
                <w:sz w:val="18"/>
                <w:szCs w:val="18"/>
              </w:rPr>
              <w:t>Dividends on RSU</w:t>
            </w:r>
            <w:r>
              <w:rPr>
                <w:sz w:val="18"/>
                <w:szCs w:val="18"/>
              </w:rPr>
              <w:t>s</w:t>
            </w:r>
          </w:p>
        </w:tc>
        <w:tc>
          <w:tcPr>
            <w:tcW w:w="0" w:type="auto"/>
            <w:vAlign w:val="bottom"/>
            <w:hideMark/>
          </w:tcPr>
          <w:p w14:paraId="4419FB83"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33D2AE67"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47968C8"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30B57F73"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DE71A7F"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65F04B0F"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E7C5EE2"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1450D52D"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C0EE75A"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62CE56E3"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0E83196"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06C3094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347D512"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75C5B2B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C65B92D" w14:textId="77777777" w:rsidR="00000000" w:rsidRDefault="003A1B5D">
            <w:pPr>
              <w:pStyle w:val="a3"/>
              <w:spacing w:before="0" w:beforeAutospacing="0" w:after="0" w:afterAutospacing="0"/>
              <w:jc w:val="right"/>
              <w:rPr>
                <w:sz w:val="20"/>
                <w:szCs w:val="20"/>
              </w:rPr>
            </w:pPr>
            <w:r>
              <w:rPr>
                <w:sz w:val="18"/>
                <w:szCs w:val="18"/>
              </w:rPr>
              <w:t>(</w:t>
            </w:r>
            <w:r>
              <w:rPr>
                <w:sz w:val="18"/>
                <w:szCs w:val="18"/>
              </w:rPr>
              <w:t>21</w:t>
            </w:r>
            <w:r>
              <w:rPr>
                <w:sz w:val="18"/>
                <w:szCs w:val="18"/>
              </w:rPr>
              <w:t>8</w:t>
            </w:r>
          </w:p>
        </w:tc>
        <w:tc>
          <w:tcPr>
            <w:tcW w:w="0" w:type="auto"/>
            <w:noWrap/>
            <w:vAlign w:val="bottom"/>
            <w:hideMark/>
          </w:tcPr>
          <w:p w14:paraId="257DC1A6"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647AD006"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568B646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C977E50" w14:textId="77777777" w:rsidR="00000000" w:rsidRDefault="003A1B5D">
            <w:pPr>
              <w:pStyle w:val="a3"/>
              <w:spacing w:before="0" w:beforeAutospacing="0" w:after="0" w:afterAutospacing="0"/>
              <w:jc w:val="right"/>
              <w:rPr>
                <w:sz w:val="20"/>
                <w:szCs w:val="20"/>
              </w:rPr>
            </w:pPr>
            <w:r>
              <w:rPr>
                <w:sz w:val="18"/>
                <w:szCs w:val="18"/>
              </w:rPr>
              <w:t>(</w:t>
            </w:r>
            <w:r>
              <w:rPr>
                <w:sz w:val="18"/>
                <w:szCs w:val="18"/>
              </w:rPr>
              <w:t>21</w:t>
            </w:r>
            <w:r>
              <w:rPr>
                <w:sz w:val="18"/>
                <w:szCs w:val="18"/>
              </w:rPr>
              <w:t>8</w:t>
            </w:r>
          </w:p>
        </w:tc>
        <w:tc>
          <w:tcPr>
            <w:tcW w:w="0" w:type="auto"/>
            <w:noWrap/>
            <w:vAlign w:val="bottom"/>
            <w:hideMark/>
          </w:tcPr>
          <w:p w14:paraId="1AD59410"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0E9DEADB"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5B477A2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025CC2F"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251712C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13703E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69D789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227A06E" w14:textId="77777777" w:rsidR="00000000" w:rsidRDefault="003A1B5D">
            <w:pPr>
              <w:pStyle w:val="a3"/>
              <w:spacing w:before="0" w:beforeAutospacing="0" w:after="0" w:afterAutospacing="0"/>
              <w:jc w:val="right"/>
              <w:rPr>
                <w:sz w:val="20"/>
                <w:szCs w:val="20"/>
              </w:rPr>
            </w:pPr>
            <w:r>
              <w:rPr>
                <w:sz w:val="20"/>
                <w:szCs w:val="20"/>
              </w:rPr>
              <w:t>(</w:t>
            </w:r>
            <w:r>
              <w:rPr>
                <w:sz w:val="20"/>
                <w:szCs w:val="20"/>
              </w:rPr>
              <w:t>21</w:t>
            </w:r>
            <w:r>
              <w:rPr>
                <w:sz w:val="20"/>
                <w:szCs w:val="20"/>
              </w:rPr>
              <w:t>8</w:t>
            </w:r>
          </w:p>
        </w:tc>
        <w:tc>
          <w:tcPr>
            <w:tcW w:w="0" w:type="auto"/>
            <w:noWrap/>
            <w:vAlign w:val="bottom"/>
            <w:hideMark/>
          </w:tcPr>
          <w:p w14:paraId="55427905" w14:textId="77777777" w:rsidR="00000000" w:rsidRDefault="003A1B5D">
            <w:pPr>
              <w:pStyle w:val="a3"/>
              <w:spacing w:before="0" w:beforeAutospacing="0" w:after="0" w:afterAutospacing="0"/>
              <w:rPr>
                <w:sz w:val="20"/>
                <w:szCs w:val="20"/>
              </w:rPr>
            </w:pPr>
            <w:r>
              <w:rPr>
                <w:sz w:val="20"/>
                <w:szCs w:val="20"/>
              </w:rPr>
              <w:t>)</w:t>
            </w:r>
          </w:p>
        </w:tc>
      </w:tr>
      <w:tr w:rsidR="00000000" w14:paraId="3A1DB8DF" w14:textId="77777777">
        <w:trPr>
          <w:trHeight w:val="200"/>
          <w:tblCellSpacing w:w="15" w:type="dxa"/>
        </w:trPr>
        <w:tc>
          <w:tcPr>
            <w:tcW w:w="0" w:type="auto"/>
            <w:hideMark/>
          </w:tcPr>
          <w:p w14:paraId="42C22D21" w14:textId="77777777" w:rsidR="00000000" w:rsidRDefault="003A1B5D">
            <w:pPr>
              <w:pStyle w:val="a3"/>
              <w:spacing w:before="0" w:beforeAutospacing="0" w:after="0" w:afterAutospacing="0"/>
              <w:rPr>
                <w:sz w:val="18"/>
                <w:szCs w:val="18"/>
              </w:rPr>
            </w:pPr>
            <w:r>
              <w:rPr>
                <w:sz w:val="18"/>
                <w:szCs w:val="18"/>
              </w:rPr>
              <w:t>Restricted stock compensation, net of forfeiture</w:t>
            </w:r>
            <w:r>
              <w:rPr>
                <w:sz w:val="18"/>
                <w:szCs w:val="18"/>
              </w:rPr>
              <w:t>s</w:t>
            </w:r>
          </w:p>
        </w:tc>
        <w:tc>
          <w:tcPr>
            <w:tcW w:w="0" w:type="auto"/>
            <w:vAlign w:val="bottom"/>
            <w:hideMark/>
          </w:tcPr>
          <w:p w14:paraId="2E4A2953"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6E2022ED"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1E8CCC4"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3B045FFB"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1E305CA"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6D61D58B"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D4A3A6B"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03AFFDB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1A4AC46"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7571B0A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592CB7D" w14:textId="77777777" w:rsidR="00000000" w:rsidRDefault="003A1B5D">
            <w:pPr>
              <w:pStyle w:val="a3"/>
              <w:spacing w:before="0" w:beforeAutospacing="0" w:after="0" w:afterAutospacing="0"/>
              <w:jc w:val="right"/>
              <w:rPr>
                <w:sz w:val="20"/>
                <w:szCs w:val="20"/>
              </w:rPr>
            </w:pPr>
            <w:r>
              <w:rPr>
                <w:sz w:val="18"/>
                <w:szCs w:val="18"/>
              </w:rPr>
              <w:t>4,21</w:t>
            </w:r>
            <w:r>
              <w:rPr>
                <w:sz w:val="18"/>
                <w:szCs w:val="18"/>
              </w:rPr>
              <w:t>3</w:t>
            </w:r>
          </w:p>
        </w:tc>
        <w:tc>
          <w:tcPr>
            <w:tcW w:w="0" w:type="auto"/>
            <w:noWrap/>
            <w:vAlign w:val="bottom"/>
            <w:hideMark/>
          </w:tcPr>
          <w:p w14:paraId="0B954591"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89A8644"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5B1DE08D"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43C792F"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3F01D27F"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3F5247C"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2E85746D"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0D04919" w14:textId="77777777" w:rsidR="00000000" w:rsidRDefault="003A1B5D">
            <w:pPr>
              <w:pStyle w:val="a3"/>
              <w:spacing w:before="0" w:beforeAutospacing="0" w:after="0" w:afterAutospacing="0"/>
              <w:jc w:val="right"/>
              <w:rPr>
                <w:sz w:val="20"/>
                <w:szCs w:val="20"/>
              </w:rPr>
            </w:pPr>
            <w:r>
              <w:rPr>
                <w:sz w:val="18"/>
                <w:szCs w:val="18"/>
              </w:rPr>
              <w:t>4,21</w:t>
            </w:r>
            <w:r>
              <w:rPr>
                <w:sz w:val="18"/>
                <w:szCs w:val="18"/>
              </w:rPr>
              <w:t>3</w:t>
            </w:r>
          </w:p>
        </w:tc>
        <w:tc>
          <w:tcPr>
            <w:tcW w:w="0" w:type="auto"/>
            <w:noWrap/>
            <w:vAlign w:val="bottom"/>
            <w:hideMark/>
          </w:tcPr>
          <w:p w14:paraId="61911334"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59AAAE7"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699B20CE"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F466436"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4A7F629A"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3F698D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6535E3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751DDC2" w14:textId="77777777" w:rsidR="00000000" w:rsidRDefault="003A1B5D">
            <w:pPr>
              <w:pStyle w:val="a3"/>
              <w:spacing w:before="0" w:beforeAutospacing="0" w:after="0" w:afterAutospacing="0"/>
              <w:jc w:val="right"/>
              <w:rPr>
                <w:sz w:val="20"/>
                <w:szCs w:val="20"/>
              </w:rPr>
            </w:pPr>
            <w:r>
              <w:rPr>
                <w:sz w:val="20"/>
                <w:szCs w:val="20"/>
              </w:rPr>
              <w:t>4,21</w:t>
            </w:r>
            <w:r>
              <w:rPr>
                <w:sz w:val="20"/>
                <w:szCs w:val="20"/>
              </w:rPr>
              <w:t>3</w:t>
            </w:r>
          </w:p>
        </w:tc>
        <w:tc>
          <w:tcPr>
            <w:tcW w:w="0" w:type="auto"/>
            <w:noWrap/>
            <w:vAlign w:val="bottom"/>
            <w:hideMark/>
          </w:tcPr>
          <w:p w14:paraId="1AB558D6" w14:textId="77777777" w:rsidR="00000000" w:rsidRDefault="003A1B5D">
            <w:pPr>
              <w:pStyle w:val="a3"/>
              <w:spacing w:before="0" w:beforeAutospacing="0" w:after="0" w:afterAutospacing="0"/>
              <w:rPr>
                <w:sz w:val="20"/>
                <w:szCs w:val="20"/>
              </w:rPr>
            </w:pPr>
            <w:r>
              <w:rPr>
                <w:sz w:val="20"/>
                <w:szCs w:val="20"/>
              </w:rPr>
              <w:t> </w:t>
            </w:r>
          </w:p>
        </w:tc>
      </w:tr>
      <w:tr w:rsidR="00000000" w14:paraId="794AF560" w14:textId="77777777">
        <w:trPr>
          <w:trHeight w:val="200"/>
          <w:tblCellSpacing w:w="15" w:type="dxa"/>
        </w:trPr>
        <w:tc>
          <w:tcPr>
            <w:tcW w:w="0" w:type="auto"/>
            <w:hideMark/>
          </w:tcPr>
          <w:p w14:paraId="214A2685" w14:textId="77777777" w:rsidR="00000000" w:rsidRDefault="003A1B5D">
            <w:pPr>
              <w:pStyle w:val="a3"/>
              <w:spacing w:before="0" w:beforeAutospacing="0" w:after="0" w:afterAutospacing="0"/>
              <w:rPr>
                <w:sz w:val="18"/>
                <w:szCs w:val="18"/>
              </w:rPr>
            </w:pPr>
            <w:r>
              <w:rPr>
                <w:sz w:val="18"/>
                <w:szCs w:val="18"/>
              </w:rPr>
              <w:t>Restricted stock grant</w:t>
            </w:r>
            <w:r>
              <w:rPr>
                <w:sz w:val="18"/>
                <w:szCs w:val="18"/>
              </w:rPr>
              <w:t>s</w:t>
            </w:r>
          </w:p>
        </w:tc>
        <w:tc>
          <w:tcPr>
            <w:tcW w:w="0" w:type="auto"/>
            <w:vAlign w:val="bottom"/>
            <w:hideMark/>
          </w:tcPr>
          <w:p w14:paraId="34B4782F"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A7381F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C4C8605" w14:textId="77777777" w:rsidR="00000000" w:rsidRDefault="003A1B5D">
            <w:pPr>
              <w:pStyle w:val="a3"/>
              <w:spacing w:before="0" w:beforeAutospacing="0" w:after="0" w:afterAutospacing="0"/>
              <w:jc w:val="right"/>
              <w:rPr>
                <w:sz w:val="20"/>
                <w:szCs w:val="20"/>
              </w:rPr>
            </w:pPr>
            <w:r>
              <w:rPr>
                <w:sz w:val="18"/>
                <w:szCs w:val="18"/>
              </w:rPr>
              <w:t>85</w:t>
            </w:r>
            <w:r>
              <w:rPr>
                <w:sz w:val="18"/>
                <w:szCs w:val="18"/>
              </w:rPr>
              <w:t>9</w:t>
            </w:r>
          </w:p>
        </w:tc>
        <w:tc>
          <w:tcPr>
            <w:tcW w:w="0" w:type="auto"/>
            <w:noWrap/>
            <w:vAlign w:val="bottom"/>
            <w:hideMark/>
          </w:tcPr>
          <w:p w14:paraId="6EBE194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DDC79C2"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5E37CD8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DD4D43E" w14:textId="77777777" w:rsidR="00000000" w:rsidRDefault="003A1B5D">
            <w:pPr>
              <w:pStyle w:val="a3"/>
              <w:spacing w:before="0" w:beforeAutospacing="0" w:after="0" w:afterAutospacing="0"/>
              <w:jc w:val="right"/>
              <w:rPr>
                <w:sz w:val="20"/>
                <w:szCs w:val="20"/>
              </w:rPr>
            </w:pPr>
            <w:r>
              <w:rPr>
                <w:sz w:val="18"/>
                <w:szCs w:val="18"/>
              </w:rPr>
              <w:t>9</w:t>
            </w:r>
          </w:p>
        </w:tc>
        <w:tc>
          <w:tcPr>
            <w:tcW w:w="0" w:type="auto"/>
            <w:noWrap/>
            <w:vAlign w:val="bottom"/>
            <w:hideMark/>
          </w:tcPr>
          <w:p w14:paraId="08DF0F57"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05C34A6"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C5CBF6A"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D2809C5" w14:textId="77777777" w:rsidR="00000000" w:rsidRDefault="003A1B5D">
            <w:pPr>
              <w:pStyle w:val="a3"/>
              <w:spacing w:before="0" w:beforeAutospacing="0" w:after="0" w:afterAutospacing="0"/>
              <w:jc w:val="right"/>
              <w:rPr>
                <w:sz w:val="20"/>
                <w:szCs w:val="20"/>
              </w:rPr>
            </w:pPr>
            <w:r>
              <w:rPr>
                <w:sz w:val="18"/>
                <w:szCs w:val="18"/>
              </w:rPr>
              <w:t>(</w:t>
            </w:r>
            <w:r>
              <w:rPr>
                <w:sz w:val="18"/>
                <w:szCs w:val="18"/>
              </w:rPr>
              <w:t>9</w:t>
            </w:r>
          </w:p>
        </w:tc>
        <w:tc>
          <w:tcPr>
            <w:tcW w:w="0" w:type="auto"/>
            <w:noWrap/>
            <w:vAlign w:val="bottom"/>
            <w:hideMark/>
          </w:tcPr>
          <w:p w14:paraId="740B903F"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7AA9BE3D"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5CF42604"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D634B09"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05425B1C"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DADF58C"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75B1D46C"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22F27E6"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261A755A"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014CC85"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8F6E774"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31A1E83"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2C116B79"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354B94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455AF9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63E0DEB"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45A8D6F3" w14:textId="77777777" w:rsidR="00000000" w:rsidRDefault="003A1B5D">
            <w:pPr>
              <w:pStyle w:val="a3"/>
              <w:spacing w:before="0" w:beforeAutospacing="0" w:after="0" w:afterAutospacing="0"/>
              <w:rPr>
                <w:sz w:val="20"/>
                <w:szCs w:val="20"/>
              </w:rPr>
            </w:pPr>
            <w:r>
              <w:rPr>
                <w:sz w:val="20"/>
                <w:szCs w:val="20"/>
              </w:rPr>
              <w:t> </w:t>
            </w:r>
          </w:p>
        </w:tc>
      </w:tr>
      <w:tr w:rsidR="00000000" w14:paraId="1006715C" w14:textId="77777777">
        <w:trPr>
          <w:trHeight w:val="200"/>
          <w:tblCellSpacing w:w="15" w:type="dxa"/>
        </w:trPr>
        <w:tc>
          <w:tcPr>
            <w:tcW w:w="0" w:type="auto"/>
            <w:hideMark/>
          </w:tcPr>
          <w:p w14:paraId="4BB4608E" w14:textId="77777777" w:rsidR="00000000" w:rsidRDefault="003A1B5D">
            <w:pPr>
              <w:pStyle w:val="a3"/>
              <w:spacing w:before="0" w:beforeAutospacing="0" w:after="0" w:afterAutospacing="0"/>
              <w:rPr>
                <w:sz w:val="18"/>
                <w:szCs w:val="18"/>
              </w:rPr>
            </w:pPr>
            <w:r>
              <w:rPr>
                <w:sz w:val="18"/>
                <w:szCs w:val="18"/>
              </w:rPr>
              <w:t>Balance as of March 31, 202</w:t>
            </w:r>
            <w:r>
              <w:rPr>
                <w:sz w:val="18"/>
                <w:szCs w:val="18"/>
              </w:rPr>
              <w:t>1</w:t>
            </w:r>
          </w:p>
        </w:tc>
        <w:tc>
          <w:tcPr>
            <w:tcW w:w="0" w:type="auto"/>
            <w:vAlign w:val="bottom"/>
            <w:hideMark/>
          </w:tcPr>
          <w:p w14:paraId="61E90B04"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445873B7"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05C1677" w14:textId="77777777" w:rsidR="00000000" w:rsidRDefault="003A1B5D">
            <w:pPr>
              <w:pStyle w:val="a3"/>
              <w:spacing w:before="0" w:beforeAutospacing="0" w:after="0" w:afterAutospacing="0"/>
              <w:jc w:val="right"/>
              <w:rPr>
                <w:sz w:val="20"/>
                <w:szCs w:val="20"/>
              </w:rPr>
            </w:pPr>
            <w:r>
              <w:rPr>
                <w:sz w:val="18"/>
                <w:szCs w:val="18"/>
              </w:rPr>
              <w:t>120,27</w:t>
            </w:r>
            <w:r>
              <w:rPr>
                <w:sz w:val="18"/>
                <w:szCs w:val="18"/>
              </w:rPr>
              <w:t>7</w:t>
            </w:r>
          </w:p>
        </w:tc>
        <w:tc>
          <w:tcPr>
            <w:tcW w:w="0" w:type="auto"/>
            <w:noWrap/>
            <w:vAlign w:val="bottom"/>
            <w:hideMark/>
          </w:tcPr>
          <w:p w14:paraId="37D684AF"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BAD02EB"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7755C6F0"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30BDCFA9" w14:textId="77777777" w:rsidR="00000000" w:rsidRDefault="003A1B5D">
            <w:pPr>
              <w:pStyle w:val="a3"/>
              <w:spacing w:before="0" w:beforeAutospacing="0" w:after="0" w:afterAutospacing="0"/>
              <w:jc w:val="right"/>
              <w:rPr>
                <w:sz w:val="20"/>
                <w:szCs w:val="20"/>
              </w:rPr>
            </w:pPr>
            <w:r>
              <w:rPr>
                <w:sz w:val="18"/>
                <w:szCs w:val="18"/>
              </w:rPr>
              <w:t>1,20</w:t>
            </w:r>
            <w:r>
              <w:rPr>
                <w:sz w:val="18"/>
                <w:szCs w:val="18"/>
              </w:rPr>
              <w:t>3</w:t>
            </w:r>
          </w:p>
        </w:tc>
        <w:tc>
          <w:tcPr>
            <w:tcW w:w="0" w:type="auto"/>
            <w:noWrap/>
            <w:vAlign w:val="bottom"/>
            <w:hideMark/>
          </w:tcPr>
          <w:p w14:paraId="7CD46493"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B2367F7"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85865A5"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1240289C" w14:textId="77777777" w:rsidR="00000000" w:rsidRDefault="003A1B5D">
            <w:pPr>
              <w:pStyle w:val="a3"/>
              <w:spacing w:before="0" w:beforeAutospacing="0" w:after="0" w:afterAutospacing="0"/>
              <w:jc w:val="right"/>
              <w:rPr>
                <w:sz w:val="20"/>
                <w:szCs w:val="20"/>
              </w:rPr>
            </w:pPr>
            <w:r>
              <w:rPr>
                <w:sz w:val="18"/>
                <w:szCs w:val="18"/>
              </w:rPr>
              <w:t>1,838,06</w:t>
            </w:r>
            <w:r>
              <w:rPr>
                <w:sz w:val="18"/>
                <w:szCs w:val="18"/>
              </w:rPr>
              <w:t>6</w:t>
            </w:r>
          </w:p>
        </w:tc>
        <w:tc>
          <w:tcPr>
            <w:tcW w:w="0" w:type="auto"/>
            <w:noWrap/>
            <w:vAlign w:val="bottom"/>
            <w:hideMark/>
          </w:tcPr>
          <w:p w14:paraId="4262AEF4"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EDEAF04"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FED0745"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633C9B3C" w14:textId="77777777" w:rsidR="00000000" w:rsidRDefault="003A1B5D">
            <w:pPr>
              <w:pStyle w:val="a3"/>
              <w:spacing w:before="0" w:beforeAutospacing="0" w:after="0" w:afterAutospacing="0"/>
              <w:jc w:val="right"/>
              <w:rPr>
                <w:sz w:val="20"/>
                <w:szCs w:val="20"/>
              </w:rPr>
            </w:pPr>
            <w:r>
              <w:rPr>
                <w:sz w:val="18"/>
                <w:szCs w:val="18"/>
              </w:rPr>
              <w:t>(</w:t>
            </w:r>
            <w:r>
              <w:rPr>
                <w:sz w:val="18"/>
                <w:szCs w:val="18"/>
              </w:rPr>
              <w:t>572,30</w:t>
            </w:r>
            <w:r>
              <w:rPr>
                <w:sz w:val="18"/>
                <w:szCs w:val="18"/>
              </w:rPr>
              <w:t>5</w:t>
            </w:r>
          </w:p>
        </w:tc>
        <w:tc>
          <w:tcPr>
            <w:tcW w:w="0" w:type="auto"/>
            <w:noWrap/>
            <w:vAlign w:val="bottom"/>
            <w:hideMark/>
          </w:tcPr>
          <w:p w14:paraId="271C3D57"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016A05B5"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5B698EB9"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7B954238" w14:textId="77777777" w:rsidR="00000000" w:rsidRDefault="003A1B5D">
            <w:pPr>
              <w:pStyle w:val="a3"/>
              <w:spacing w:before="0" w:beforeAutospacing="0" w:after="0" w:afterAutospacing="0"/>
              <w:jc w:val="right"/>
              <w:rPr>
                <w:sz w:val="20"/>
                <w:szCs w:val="20"/>
              </w:rPr>
            </w:pPr>
            <w:r>
              <w:rPr>
                <w:sz w:val="18"/>
                <w:szCs w:val="18"/>
              </w:rPr>
              <w:t>1,266,96</w:t>
            </w:r>
            <w:r>
              <w:rPr>
                <w:sz w:val="18"/>
                <w:szCs w:val="18"/>
              </w:rPr>
              <w:t>4</w:t>
            </w:r>
          </w:p>
        </w:tc>
        <w:tc>
          <w:tcPr>
            <w:tcW w:w="0" w:type="auto"/>
            <w:noWrap/>
            <w:vAlign w:val="bottom"/>
            <w:hideMark/>
          </w:tcPr>
          <w:p w14:paraId="281A630B"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7566AD9"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694DD61B"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6A1BAA64" w14:textId="77777777" w:rsidR="00000000" w:rsidRDefault="003A1B5D">
            <w:pPr>
              <w:pStyle w:val="a3"/>
              <w:spacing w:before="0" w:beforeAutospacing="0" w:after="0" w:afterAutospacing="0"/>
              <w:jc w:val="right"/>
              <w:rPr>
                <w:sz w:val="20"/>
                <w:szCs w:val="20"/>
              </w:rPr>
            </w:pPr>
            <w:r>
              <w:rPr>
                <w:sz w:val="18"/>
                <w:szCs w:val="18"/>
              </w:rPr>
              <w:t>23,27</w:t>
            </w:r>
            <w:r>
              <w:rPr>
                <w:sz w:val="18"/>
                <w:szCs w:val="18"/>
              </w:rPr>
              <w:t>1</w:t>
            </w:r>
          </w:p>
        </w:tc>
        <w:tc>
          <w:tcPr>
            <w:tcW w:w="0" w:type="auto"/>
            <w:noWrap/>
            <w:vAlign w:val="bottom"/>
            <w:hideMark/>
          </w:tcPr>
          <w:p w14:paraId="42649D5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8F4D25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3375017"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0C086A6F" w14:textId="77777777" w:rsidR="00000000" w:rsidRDefault="003A1B5D">
            <w:pPr>
              <w:pStyle w:val="a3"/>
              <w:spacing w:before="0" w:beforeAutospacing="0" w:after="0" w:afterAutospacing="0"/>
              <w:jc w:val="right"/>
              <w:rPr>
                <w:sz w:val="20"/>
                <w:szCs w:val="20"/>
              </w:rPr>
            </w:pPr>
            <w:r>
              <w:rPr>
                <w:sz w:val="20"/>
                <w:szCs w:val="20"/>
              </w:rPr>
              <w:t>1,290,23</w:t>
            </w:r>
            <w:r>
              <w:rPr>
                <w:sz w:val="20"/>
                <w:szCs w:val="20"/>
              </w:rPr>
              <w:t>5</w:t>
            </w:r>
          </w:p>
        </w:tc>
        <w:tc>
          <w:tcPr>
            <w:tcW w:w="0" w:type="auto"/>
            <w:noWrap/>
            <w:vAlign w:val="bottom"/>
            <w:hideMark/>
          </w:tcPr>
          <w:p w14:paraId="39E7E344" w14:textId="77777777" w:rsidR="00000000" w:rsidRDefault="003A1B5D">
            <w:pPr>
              <w:pStyle w:val="a3"/>
              <w:spacing w:before="0" w:beforeAutospacing="0" w:after="0" w:afterAutospacing="0"/>
              <w:rPr>
                <w:sz w:val="20"/>
                <w:szCs w:val="20"/>
              </w:rPr>
            </w:pPr>
            <w:r>
              <w:rPr>
                <w:sz w:val="20"/>
                <w:szCs w:val="20"/>
              </w:rPr>
              <w:t> </w:t>
            </w:r>
          </w:p>
        </w:tc>
      </w:tr>
      <w:tr w:rsidR="00000000" w14:paraId="725DEB9C" w14:textId="77777777">
        <w:trPr>
          <w:trHeight w:val="200"/>
          <w:tblCellSpacing w:w="15" w:type="dxa"/>
        </w:trPr>
        <w:tc>
          <w:tcPr>
            <w:tcW w:w="0" w:type="auto"/>
            <w:hideMark/>
          </w:tcPr>
          <w:p w14:paraId="62379F1A" w14:textId="77777777" w:rsidR="00000000" w:rsidRDefault="003A1B5D">
            <w:pPr>
              <w:pStyle w:val="a3"/>
              <w:spacing w:before="0" w:beforeAutospacing="0" w:after="0" w:afterAutospacing="0"/>
              <w:rPr>
                <w:sz w:val="18"/>
                <w:szCs w:val="18"/>
              </w:rPr>
            </w:pPr>
            <w:r>
              <w:rPr>
                <w:sz w:val="18"/>
                <w:szCs w:val="18"/>
              </w:rPr>
              <w:t>Net incom</w:t>
            </w:r>
            <w:r>
              <w:rPr>
                <w:sz w:val="18"/>
                <w:szCs w:val="18"/>
              </w:rPr>
              <w:t>e</w:t>
            </w:r>
          </w:p>
        </w:tc>
        <w:tc>
          <w:tcPr>
            <w:tcW w:w="0" w:type="auto"/>
            <w:vAlign w:val="bottom"/>
            <w:hideMark/>
          </w:tcPr>
          <w:p w14:paraId="0ADF89A2"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3CAFAF8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AED467A"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3BB582E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D6B7D75"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5FB8CB6B"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F60A083"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48FA96DC"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07A4485"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7DA390E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6FB1862"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69E32411"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9EB906B"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6D103674"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205FB53" w14:textId="77777777" w:rsidR="00000000" w:rsidRDefault="003A1B5D">
            <w:pPr>
              <w:pStyle w:val="a3"/>
              <w:spacing w:before="0" w:beforeAutospacing="0" w:after="0" w:afterAutospacing="0"/>
              <w:jc w:val="right"/>
              <w:rPr>
                <w:sz w:val="20"/>
                <w:szCs w:val="20"/>
              </w:rPr>
            </w:pPr>
            <w:r>
              <w:rPr>
                <w:sz w:val="18"/>
                <w:szCs w:val="18"/>
              </w:rPr>
              <w:t>15,62</w:t>
            </w:r>
            <w:r>
              <w:rPr>
                <w:sz w:val="18"/>
                <w:szCs w:val="18"/>
              </w:rPr>
              <w:t>3</w:t>
            </w:r>
          </w:p>
        </w:tc>
        <w:tc>
          <w:tcPr>
            <w:tcW w:w="0" w:type="auto"/>
            <w:noWrap/>
            <w:vAlign w:val="bottom"/>
            <w:hideMark/>
          </w:tcPr>
          <w:p w14:paraId="5A876A4E"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806134C"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3C1EFFBC"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C45A0D3" w14:textId="77777777" w:rsidR="00000000" w:rsidRDefault="003A1B5D">
            <w:pPr>
              <w:pStyle w:val="a3"/>
              <w:spacing w:before="0" w:beforeAutospacing="0" w:after="0" w:afterAutospacing="0"/>
              <w:jc w:val="right"/>
              <w:rPr>
                <w:sz w:val="20"/>
                <w:szCs w:val="20"/>
              </w:rPr>
            </w:pPr>
            <w:r>
              <w:rPr>
                <w:sz w:val="18"/>
                <w:szCs w:val="18"/>
              </w:rPr>
              <w:t>15,62</w:t>
            </w:r>
            <w:r>
              <w:rPr>
                <w:sz w:val="18"/>
                <w:szCs w:val="18"/>
              </w:rPr>
              <w:t>3</w:t>
            </w:r>
          </w:p>
        </w:tc>
        <w:tc>
          <w:tcPr>
            <w:tcW w:w="0" w:type="auto"/>
            <w:noWrap/>
            <w:vAlign w:val="bottom"/>
            <w:hideMark/>
          </w:tcPr>
          <w:p w14:paraId="663763BD"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5FA467D"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D6F1AC7"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A631763"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56851BA9"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B83156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ED9300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D13DF3E" w14:textId="77777777" w:rsidR="00000000" w:rsidRDefault="003A1B5D">
            <w:pPr>
              <w:pStyle w:val="a3"/>
              <w:spacing w:before="0" w:beforeAutospacing="0" w:after="0" w:afterAutospacing="0"/>
              <w:jc w:val="right"/>
              <w:rPr>
                <w:sz w:val="20"/>
                <w:szCs w:val="20"/>
              </w:rPr>
            </w:pPr>
            <w:r>
              <w:rPr>
                <w:sz w:val="20"/>
                <w:szCs w:val="20"/>
              </w:rPr>
              <w:t>15,62</w:t>
            </w:r>
            <w:r>
              <w:rPr>
                <w:sz w:val="20"/>
                <w:szCs w:val="20"/>
              </w:rPr>
              <w:t>3</w:t>
            </w:r>
          </w:p>
        </w:tc>
        <w:tc>
          <w:tcPr>
            <w:tcW w:w="0" w:type="auto"/>
            <w:noWrap/>
            <w:vAlign w:val="bottom"/>
            <w:hideMark/>
          </w:tcPr>
          <w:p w14:paraId="2E684CFA" w14:textId="77777777" w:rsidR="00000000" w:rsidRDefault="003A1B5D">
            <w:pPr>
              <w:pStyle w:val="a3"/>
              <w:spacing w:before="0" w:beforeAutospacing="0" w:after="0" w:afterAutospacing="0"/>
              <w:rPr>
                <w:sz w:val="20"/>
                <w:szCs w:val="20"/>
              </w:rPr>
            </w:pPr>
            <w:r>
              <w:rPr>
                <w:sz w:val="20"/>
                <w:szCs w:val="20"/>
              </w:rPr>
              <w:t> </w:t>
            </w:r>
          </w:p>
        </w:tc>
      </w:tr>
      <w:tr w:rsidR="00000000" w14:paraId="0144CB93" w14:textId="77777777">
        <w:trPr>
          <w:trHeight w:val="200"/>
          <w:tblCellSpacing w:w="15" w:type="dxa"/>
        </w:trPr>
        <w:tc>
          <w:tcPr>
            <w:tcW w:w="0" w:type="auto"/>
            <w:hideMark/>
          </w:tcPr>
          <w:p w14:paraId="1824A2E1" w14:textId="77777777" w:rsidR="00000000" w:rsidRDefault="003A1B5D">
            <w:pPr>
              <w:pStyle w:val="a3"/>
              <w:spacing w:before="0" w:beforeAutospacing="0" w:after="0" w:afterAutospacing="0"/>
              <w:rPr>
                <w:sz w:val="18"/>
                <w:szCs w:val="18"/>
              </w:rPr>
            </w:pPr>
            <w:r>
              <w:rPr>
                <w:sz w:val="18"/>
                <w:szCs w:val="18"/>
              </w:rPr>
              <w:t>Forfeiture of dividends on RSU</w:t>
            </w:r>
            <w:r>
              <w:rPr>
                <w:sz w:val="18"/>
                <w:szCs w:val="18"/>
              </w:rPr>
              <w:t>s</w:t>
            </w:r>
          </w:p>
        </w:tc>
        <w:tc>
          <w:tcPr>
            <w:tcW w:w="0" w:type="auto"/>
            <w:vAlign w:val="bottom"/>
            <w:hideMark/>
          </w:tcPr>
          <w:p w14:paraId="50895818"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4005801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E0EBC82"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066280C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BF2F297"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251495A"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377A18B"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1F7D0C8B"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B570010"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73AA2CA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2800C1F"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655DF6D2"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0D2D644"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372D1D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6E8BE22" w14:textId="77777777" w:rsidR="00000000" w:rsidRDefault="003A1B5D">
            <w:pPr>
              <w:pStyle w:val="a3"/>
              <w:spacing w:before="0" w:beforeAutospacing="0" w:after="0" w:afterAutospacing="0"/>
              <w:jc w:val="right"/>
              <w:rPr>
                <w:sz w:val="20"/>
                <w:szCs w:val="20"/>
              </w:rPr>
            </w:pPr>
            <w:r>
              <w:rPr>
                <w:sz w:val="18"/>
                <w:szCs w:val="18"/>
              </w:rPr>
              <w:t>4</w:t>
            </w:r>
            <w:r>
              <w:rPr>
                <w:sz w:val="18"/>
                <w:szCs w:val="18"/>
              </w:rPr>
              <w:t>3</w:t>
            </w:r>
          </w:p>
        </w:tc>
        <w:tc>
          <w:tcPr>
            <w:tcW w:w="0" w:type="auto"/>
            <w:noWrap/>
            <w:vAlign w:val="bottom"/>
            <w:hideMark/>
          </w:tcPr>
          <w:p w14:paraId="19D2EB7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B9F9775"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448246EF"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4E81A16" w14:textId="77777777" w:rsidR="00000000" w:rsidRDefault="003A1B5D">
            <w:pPr>
              <w:pStyle w:val="a3"/>
              <w:spacing w:before="0" w:beforeAutospacing="0" w:after="0" w:afterAutospacing="0"/>
              <w:jc w:val="right"/>
              <w:rPr>
                <w:sz w:val="20"/>
                <w:szCs w:val="20"/>
              </w:rPr>
            </w:pPr>
            <w:r>
              <w:rPr>
                <w:sz w:val="18"/>
                <w:szCs w:val="18"/>
              </w:rPr>
              <w:t>4</w:t>
            </w:r>
            <w:r>
              <w:rPr>
                <w:sz w:val="18"/>
                <w:szCs w:val="18"/>
              </w:rPr>
              <w:t>3</w:t>
            </w:r>
          </w:p>
        </w:tc>
        <w:tc>
          <w:tcPr>
            <w:tcW w:w="0" w:type="auto"/>
            <w:noWrap/>
            <w:vAlign w:val="bottom"/>
            <w:hideMark/>
          </w:tcPr>
          <w:p w14:paraId="673DA0F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2554846"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5CC27AC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BECD380"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377A999C"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563D3C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1C07EE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0D0C593" w14:textId="77777777" w:rsidR="00000000" w:rsidRDefault="003A1B5D">
            <w:pPr>
              <w:pStyle w:val="a3"/>
              <w:spacing w:before="0" w:beforeAutospacing="0" w:after="0" w:afterAutospacing="0"/>
              <w:jc w:val="right"/>
              <w:rPr>
                <w:sz w:val="20"/>
                <w:szCs w:val="20"/>
              </w:rPr>
            </w:pPr>
            <w:r>
              <w:rPr>
                <w:sz w:val="20"/>
                <w:szCs w:val="20"/>
              </w:rPr>
              <w:t>4</w:t>
            </w:r>
            <w:r>
              <w:rPr>
                <w:sz w:val="20"/>
                <w:szCs w:val="20"/>
              </w:rPr>
              <w:t>3</w:t>
            </w:r>
          </w:p>
        </w:tc>
        <w:tc>
          <w:tcPr>
            <w:tcW w:w="0" w:type="auto"/>
            <w:noWrap/>
            <w:vAlign w:val="bottom"/>
            <w:hideMark/>
          </w:tcPr>
          <w:p w14:paraId="04385C97" w14:textId="77777777" w:rsidR="00000000" w:rsidRDefault="003A1B5D">
            <w:pPr>
              <w:pStyle w:val="a3"/>
              <w:spacing w:before="0" w:beforeAutospacing="0" w:after="0" w:afterAutospacing="0"/>
              <w:rPr>
                <w:sz w:val="20"/>
                <w:szCs w:val="20"/>
              </w:rPr>
            </w:pPr>
            <w:r>
              <w:rPr>
                <w:sz w:val="20"/>
                <w:szCs w:val="20"/>
              </w:rPr>
              <w:t> </w:t>
            </w:r>
          </w:p>
        </w:tc>
      </w:tr>
      <w:tr w:rsidR="00000000" w14:paraId="60D7FE2F" w14:textId="77777777">
        <w:trPr>
          <w:trHeight w:val="200"/>
          <w:tblCellSpacing w:w="15" w:type="dxa"/>
        </w:trPr>
        <w:tc>
          <w:tcPr>
            <w:tcW w:w="0" w:type="auto"/>
            <w:hideMark/>
          </w:tcPr>
          <w:p w14:paraId="47427B27" w14:textId="77777777" w:rsidR="00000000" w:rsidRDefault="003A1B5D">
            <w:pPr>
              <w:pStyle w:val="a3"/>
              <w:spacing w:before="0" w:beforeAutospacing="0" w:after="0" w:afterAutospacing="0"/>
              <w:rPr>
                <w:sz w:val="18"/>
                <w:szCs w:val="18"/>
              </w:rPr>
            </w:pPr>
            <w:r>
              <w:rPr>
                <w:sz w:val="18"/>
                <w:szCs w:val="18"/>
              </w:rPr>
              <w:t>Restricted stock compensation, net of forfeiture</w:t>
            </w:r>
            <w:r>
              <w:rPr>
                <w:sz w:val="18"/>
                <w:szCs w:val="18"/>
              </w:rPr>
              <w:t>s</w:t>
            </w:r>
          </w:p>
        </w:tc>
        <w:tc>
          <w:tcPr>
            <w:tcW w:w="0" w:type="auto"/>
            <w:vAlign w:val="bottom"/>
            <w:hideMark/>
          </w:tcPr>
          <w:p w14:paraId="5C7B5C36"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38D6F2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3ED84A7"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2A06ECEF"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6BC66BC"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64BE394C"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0A9143D"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217A5D2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E535CEE"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F20FB2B"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F5058E4" w14:textId="77777777" w:rsidR="00000000" w:rsidRDefault="003A1B5D">
            <w:pPr>
              <w:pStyle w:val="a3"/>
              <w:spacing w:before="0" w:beforeAutospacing="0" w:after="0" w:afterAutospacing="0"/>
              <w:jc w:val="right"/>
              <w:rPr>
                <w:sz w:val="20"/>
                <w:szCs w:val="20"/>
              </w:rPr>
            </w:pPr>
            <w:r>
              <w:rPr>
                <w:sz w:val="18"/>
                <w:szCs w:val="18"/>
              </w:rPr>
              <w:t>4,32</w:t>
            </w:r>
            <w:r>
              <w:rPr>
                <w:sz w:val="18"/>
                <w:szCs w:val="18"/>
              </w:rPr>
              <w:t>9</w:t>
            </w:r>
          </w:p>
        </w:tc>
        <w:tc>
          <w:tcPr>
            <w:tcW w:w="0" w:type="auto"/>
            <w:noWrap/>
            <w:vAlign w:val="bottom"/>
            <w:hideMark/>
          </w:tcPr>
          <w:p w14:paraId="486F0C7A"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73E82A7"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642734CE"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F21B181"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5AA38691"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E6E474F"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77B28B5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798B385" w14:textId="77777777" w:rsidR="00000000" w:rsidRDefault="003A1B5D">
            <w:pPr>
              <w:pStyle w:val="a3"/>
              <w:spacing w:before="0" w:beforeAutospacing="0" w:after="0" w:afterAutospacing="0"/>
              <w:jc w:val="right"/>
              <w:rPr>
                <w:sz w:val="20"/>
                <w:szCs w:val="20"/>
              </w:rPr>
            </w:pPr>
            <w:r>
              <w:rPr>
                <w:sz w:val="18"/>
                <w:szCs w:val="18"/>
              </w:rPr>
              <w:t>4,32</w:t>
            </w:r>
            <w:r>
              <w:rPr>
                <w:sz w:val="18"/>
                <w:szCs w:val="18"/>
              </w:rPr>
              <w:t>9</w:t>
            </w:r>
          </w:p>
        </w:tc>
        <w:tc>
          <w:tcPr>
            <w:tcW w:w="0" w:type="auto"/>
            <w:noWrap/>
            <w:vAlign w:val="bottom"/>
            <w:hideMark/>
          </w:tcPr>
          <w:p w14:paraId="582BB53B"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FD46FF4"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33D79D1D"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1B32139"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000E70B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505AF7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629ED9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18C43D3" w14:textId="77777777" w:rsidR="00000000" w:rsidRDefault="003A1B5D">
            <w:pPr>
              <w:pStyle w:val="a3"/>
              <w:spacing w:before="0" w:beforeAutospacing="0" w:after="0" w:afterAutospacing="0"/>
              <w:jc w:val="right"/>
              <w:rPr>
                <w:sz w:val="20"/>
                <w:szCs w:val="20"/>
              </w:rPr>
            </w:pPr>
            <w:r>
              <w:rPr>
                <w:sz w:val="20"/>
                <w:szCs w:val="20"/>
              </w:rPr>
              <w:t>4,32</w:t>
            </w:r>
            <w:r>
              <w:rPr>
                <w:sz w:val="20"/>
                <w:szCs w:val="20"/>
              </w:rPr>
              <w:t>9</w:t>
            </w:r>
          </w:p>
        </w:tc>
        <w:tc>
          <w:tcPr>
            <w:tcW w:w="0" w:type="auto"/>
            <w:noWrap/>
            <w:vAlign w:val="bottom"/>
            <w:hideMark/>
          </w:tcPr>
          <w:p w14:paraId="4D12AF32" w14:textId="77777777" w:rsidR="00000000" w:rsidRDefault="003A1B5D">
            <w:pPr>
              <w:pStyle w:val="a3"/>
              <w:spacing w:before="0" w:beforeAutospacing="0" w:after="0" w:afterAutospacing="0"/>
              <w:rPr>
                <w:sz w:val="20"/>
                <w:szCs w:val="20"/>
              </w:rPr>
            </w:pPr>
            <w:r>
              <w:rPr>
                <w:sz w:val="20"/>
                <w:szCs w:val="20"/>
              </w:rPr>
              <w:t> </w:t>
            </w:r>
          </w:p>
        </w:tc>
      </w:tr>
      <w:tr w:rsidR="00000000" w14:paraId="15B6358C" w14:textId="77777777">
        <w:trPr>
          <w:trHeight w:val="200"/>
          <w:tblCellSpacing w:w="15" w:type="dxa"/>
        </w:trPr>
        <w:tc>
          <w:tcPr>
            <w:tcW w:w="0" w:type="auto"/>
            <w:hideMark/>
          </w:tcPr>
          <w:p w14:paraId="593F35ED" w14:textId="77777777" w:rsidR="00000000" w:rsidRDefault="003A1B5D">
            <w:pPr>
              <w:pStyle w:val="a3"/>
              <w:spacing w:before="0" w:beforeAutospacing="0" w:after="0" w:afterAutospacing="0"/>
              <w:rPr>
                <w:sz w:val="18"/>
                <w:szCs w:val="18"/>
              </w:rPr>
            </w:pPr>
            <w:r>
              <w:rPr>
                <w:sz w:val="18"/>
                <w:szCs w:val="18"/>
              </w:rPr>
              <w:t>Restricted stock grant</w:t>
            </w:r>
            <w:r>
              <w:rPr>
                <w:sz w:val="18"/>
                <w:szCs w:val="18"/>
              </w:rPr>
              <w:t>s</w:t>
            </w:r>
          </w:p>
        </w:tc>
        <w:tc>
          <w:tcPr>
            <w:tcW w:w="0" w:type="auto"/>
            <w:vAlign w:val="bottom"/>
            <w:hideMark/>
          </w:tcPr>
          <w:p w14:paraId="6904B1AB"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7420CE8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99FEFFB" w14:textId="77777777" w:rsidR="00000000" w:rsidRDefault="003A1B5D">
            <w:pPr>
              <w:pStyle w:val="a3"/>
              <w:spacing w:before="0" w:beforeAutospacing="0" w:after="0" w:afterAutospacing="0"/>
              <w:jc w:val="right"/>
              <w:rPr>
                <w:sz w:val="20"/>
                <w:szCs w:val="20"/>
              </w:rPr>
            </w:pPr>
            <w:r>
              <w:rPr>
                <w:sz w:val="18"/>
                <w:szCs w:val="18"/>
              </w:rPr>
              <w:t>8</w:t>
            </w:r>
          </w:p>
        </w:tc>
        <w:tc>
          <w:tcPr>
            <w:tcW w:w="0" w:type="auto"/>
            <w:noWrap/>
            <w:vAlign w:val="bottom"/>
            <w:hideMark/>
          </w:tcPr>
          <w:p w14:paraId="77C6290D"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821D2C2"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49F19D9"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6AF443E"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7CD9D104"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B348621"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390A8D9C"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4E7698B"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1CC8EB77"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2FDF245"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43442A31"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9136D93"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695F56B9"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98EEB80"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4AED3D61"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A588EB4"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0267486A"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F51C6C0"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F428F1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7783FF3"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2B39F18B"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8F4380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C16A99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C756E36"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1011CB70" w14:textId="77777777" w:rsidR="00000000" w:rsidRDefault="003A1B5D">
            <w:pPr>
              <w:pStyle w:val="a3"/>
              <w:spacing w:before="0" w:beforeAutospacing="0" w:after="0" w:afterAutospacing="0"/>
              <w:rPr>
                <w:sz w:val="20"/>
                <w:szCs w:val="20"/>
              </w:rPr>
            </w:pPr>
            <w:r>
              <w:rPr>
                <w:sz w:val="20"/>
                <w:szCs w:val="20"/>
              </w:rPr>
              <w:t> </w:t>
            </w:r>
          </w:p>
        </w:tc>
      </w:tr>
      <w:tr w:rsidR="00000000" w14:paraId="575C783B" w14:textId="77777777">
        <w:trPr>
          <w:trHeight w:val="200"/>
          <w:tblCellSpacing w:w="15" w:type="dxa"/>
        </w:trPr>
        <w:tc>
          <w:tcPr>
            <w:tcW w:w="0" w:type="auto"/>
            <w:hideMark/>
          </w:tcPr>
          <w:p w14:paraId="0A30F5A2" w14:textId="77777777" w:rsidR="00000000" w:rsidRDefault="003A1B5D">
            <w:pPr>
              <w:pStyle w:val="a3"/>
              <w:spacing w:before="0" w:beforeAutospacing="0" w:after="0" w:afterAutospacing="0"/>
              <w:rPr>
                <w:sz w:val="18"/>
                <w:szCs w:val="18"/>
              </w:rPr>
            </w:pPr>
            <w:r>
              <w:rPr>
                <w:sz w:val="18"/>
                <w:szCs w:val="18"/>
              </w:rPr>
              <w:t>Balance as of June 30, 202</w:t>
            </w:r>
            <w:r>
              <w:rPr>
                <w:sz w:val="18"/>
                <w:szCs w:val="18"/>
              </w:rPr>
              <w:t>1</w:t>
            </w:r>
          </w:p>
        </w:tc>
        <w:tc>
          <w:tcPr>
            <w:tcW w:w="0" w:type="auto"/>
            <w:vAlign w:val="bottom"/>
            <w:hideMark/>
          </w:tcPr>
          <w:p w14:paraId="134BFD0E"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6537B43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5096950" w14:textId="77777777" w:rsidR="00000000" w:rsidRDefault="003A1B5D">
            <w:pPr>
              <w:pStyle w:val="a3"/>
              <w:spacing w:before="0" w:beforeAutospacing="0" w:after="0" w:afterAutospacing="0"/>
              <w:jc w:val="right"/>
              <w:rPr>
                <w:sz w:val="20"/>
                <w:szCs w:val="20"/>
              </w:rPr>
            </w:pPr>
            <w:r>
              <w:rPr>
                <w:sz w:val="18"/>
                <w:szCs w:val="18"/>
              </w:rPr>
              <w:t>120,28</w:t>
            </w:r>
            <w:r>
              <w:rPr>
                <w:sz w:val="18"/>
                <w:szCs w:val="18"/>
              </w:rPr>
              <w:t>5</w:t>
            </w:r>
          </w:p>
        </w:tc>
        <w:tc>
          <w:tcPr>
            <w:tcW w:w="0" w:type="auto"/>
            <w:noWrap/>
            <w:vAlign w:val="bottom"/>
            <w:hideMark/>
          </w:tcPr>
          <w:p w14:paraId="7519F8E7"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06EA3C4"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2F8D54C5"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5BF9D6BE" w14:textId="77777777" w:rsidR="00000000" w:rsidRDefault="003A1B5D">
            <w:pPr>
              <w:pStyle w:val="a3"/>
              <w:spacing w:before="0" w:beforeAutospacing="0" w:after="0" w:afterAutospacing="0"/>
              <w:jc w:val="right"/>
              <w:rPr>
                <w:sz w:val="20"/>
                <w:szCs w:val="20"/>
              </w:rPr>
            </w:pPr>
            <w:r>
              <w:rPr>
                <w:sz w:val="18"/>
                <w:szCs w:val="18"/>
              </w:rPr>
              <w:t>1,20</w:t>
            </w:r>
            <w:r>
              <w:rPr>
                <w:sz w:val="18"/>
                <w:szCs w:val="18"/>
              </w:rPr>
              <w:t>3</w:t>
            </w:r>
          </w:p>
        </w:tc>
        <w:tc>
          <w:tcPr>
            <w:tcW w:w="0" w:type="auto"/>
            <w:noWrap/>
            <w:vAlign w:val="bottom"/>
            <w:hideMark/>
          </w:tcPr>
          <w:p w14:paraId="1AB01FD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1C13631"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C48E885"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340CED64" w14:textId="77777777" w:rsidR="00000000" w:rsidRDefault="003A1B5D">
            <w:pPr>
              <w:pStyle w:val="a3"/>
              <w:spacing w:before="0" w:beforeAutospacing="0" w:after="0" w:afterAutospacing="0"/>
              <w:jc w:val="right"/>
              <w:rPr>
                <w:sz w:val="20"/>
                <w:szCs w:val="20"/>
              </w:rPr>
            </w:pPr>
            <w:r>
              <w:rPr>
                <w:sz w:val="18"/>
                <w:szCs w:val="18"/>
              </w:rPr>
              <w:t>1,842,39</w:t>
            </w:r>
            <w:r>
              <w:rPr>
                <w:sz w:val="18"/>
                <w:szCs w:val="18"/>
              </w:rPr>
              <w:t>5</w:t>
            </w:r>
          </w:p>
        </w:tc>
        <w:tc>
          <w:tcPr>
            <w:tcW w:w="0" w:type="auto"/>
            <w:noWrap/>
            <w:vAlign w:val="bottom"/>
            <w:hideMark/>
          </w:tcPr>
          <w:p w14:paraId="6EFBDC3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F3BD703"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45B46E5F"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35FB1C03" w14:textId="77777777" w:rsidR="00000000" w:rsidRDefault="003A1B5D">
            <w:pPr>
              <w:pStyle w:val="a3"/>
              <w:spacing w:before="0" w:beforeAutospacing="0" w:after="0" w:afterAutospacing="0"/>
              <w:jc w:val="right"/>
              <w:rPr>
                <w:sz w:val="20"/>
                <w:szCs w:val="20"/>
              </w:rPr>
            </w:pPr>
            <w:r>
              <w:rPr>
                <w:sz w:val="18"/>
                <w:szCs w:val="18"/>
              </w:rPr>
              <w:t>(</w:t>
            </w:r>
            <w:r>
              <w:rPr>
                <w:sz w:val="18"/>
                <w:szCs w:val="18"/>
              </w:rPr>
              <w:t>556,63</w:t>
            </w:r>
            <w:r>
              <w:rPr>
                <w:sz w:val="18"/>
                <w:szCs w:val="18"/>
              </w:rPr>
              <w:t>9</w:t>
            </w:r>
          </w:p>
        </w:tc>
        <w:tc>
          <w:tcPr>
            <w:tcW w:w="0" w:type="auto"/>
            <w:noWrap/>
            <w:vAlign w:val="bottom"/>
            <w:hideMark/>
          </w:tcPr>
          <w:p w14:paraId="7D6E6F56"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10B224B1"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D3643E3"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45D72E09" w14:textId="77777777" w:rsidR="00000000" w:rsidRDefault="003A1B5D">
            <w:pPr>
              <w:pStyle w:val="a3"/>
              <w:spacing w:before="0" w:beforeAutospacing="0" w:after="0" w:afterAutospacing="0"/>
              <w:jc w:val="right"/>
              <w:rPr>
                <w:sz w:val="20"/>
                <w:szCs w:val="20"/>
              </w:rPr>
            </w:pPr>
            <w:r>
              <w:rPr>
                <w:sz w:val="18"/>
                <w:szCs w:val="18"/>
              </w:rPr>
              <w:t>1,286,95</w:t>
            </w:r>
            <w:r>
              <w:rPr>
                <w:sz w:val="18"/>
                <w:szCs w:val="18"/>
              </w:rPr>
              <w:t>9</w:t>
            </w:r>
          </w:p>
        </w:tc>
        <w:tc>
          <w:tcPr>
            <w:tcW w:w="0" w:type="auto"/>
            <w:noWrap/>
            <w:vAlign w:val="bottom"/>
            <w:hideMark/>
          </w:tcPr>
          <w:p w14:paraId="6B0DEF8D"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0ABDDBA"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2C65D275"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59479A95" w14:textId="77777777" w:rsidR="00000000" w:rsidRDefault="003A1B5D">
            <w:pPr>
              <w:pStyle w:val="a3"/>
              <w:spacing w:before="0" w:beforeAutospacing="0" w:after="0" w:afterAutospacing="0"/>
              <w:jc w:val="right"/>
              <w:rPr>
                <w:sz w:val="20"/>
                <w:szCs w:val="20"/>
              </w:rPr>
            </w:pPr>
            <w:r>
              <w:rPr>
                <w:sz w:val="18"/>
                <w:szCs w:val="18"/>
              </w:rPr>
              <w:t>23,27</w:t>
            </w:r>
            <w:r>
              <w:rPr>
                <w:sz w:val="18"/>
                <w:szCs w:val="18"/>
              </w:rPr>
              <w:t>1</w:t>
            </w:r>
          </w:p>
        </w:tc>
        <w:tc>
          <w:tcPr>
            <w:tcW w:w="0" w:type="auto"/>
            <w:noWrap/>
            <w:vAlign w:val="bottom"/>
            <w:hideMark/>
          </w:tcPr>
          <w:p w14:paraId="2B023C4B"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FCFCDE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21A1944"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2E480817" w14:textId="77777777" w:rsidR="00000000" w:rsidRDefault="003A1B5D">
            <w:pPr>
              <w:pStyle w:val="a3"/>
              <w:spacing w:before="0" w:beforeAutospacing="0" w:after="0" w:afterAutospacing="0"/>
              <w:jc w:val="right"/>
              <w:rPr>
                <w:sz w:val="20"/>
                <w:szCs w:val="20"/>
              </w:rPr>
            </w:pPr>
            <w:r>
              <w:rPr>
                <w:sz w:val="20"/>
                <w:szCs w:val="20"/>
              </w:rPr>
              <w:t>1,310,23</w:t>
            </w:r>
            <w:r>
              <w:rPr>
                <w:sz w:val="20"/>
                <w:szCs w:val="20"/>
              </w:rPr>
              <w:t>0</w:t>
            </w:r>
          </w:p>
        </w:tc>
        <w:tc>
          <w:tcPr>
            <w:tcW w:w="0" w:type="auto"/>
            <w:noWrap/>
            <w:vAlign w:val="bottom"/>
            <w:hideMark/>
          </w:tcPr>
          <w:p w14:paraId="1C6B31A6" w14:textId="77777777" w:rsidR="00000000" w:rsidRDefault="003A1B5D">
            <w:pPr>
              <w:pStyle w:val="a3"/>
              <w:spacing w:before="0" w:beforeAutospacing="0" w:after="0" w:afterAutospacing="0"/>
              <w:rPr>
                <w:sz w:val="20"/>
                <w:szCs w:val="20"/>
              </w:rPr>
            </w:pPr>
            <w:r>
              <w:rPr>
                <w:sz w:val="20"/>
                <w:szCs w:val="20"/>
              </w:rPr>
              <w:t> </w:t>
            </w:r>
          </w:p>
        </w:tc>
      </w:tr>
      <w:tr w:rsidR="00000000" w14:paraId="2687FD5D" w14:textId="77777777">
        <w:trPr>
          <w:trHeight w:val="180"/>
          <w:tblCellSpacing w:w="15" w:type="dxa"/>
        </w:trPr>
        <w:tc>
          <w:tcPr>
            <w:tcW w:w="0" w:type="auto"/>
            <w:hideMark/>
          </w:tcPr>
          <w:p w14:paraId="117D61DA" w14:textId="77777777" w:rsidR="00000000" w:rsidRDefault="003A1B5D">
            <w:pPr>
              <w:pStyle w:val="a3"/>
              <w:spacing w:before="0" w:beforeAutospacing="0" w:after="0" w:afterAutospacing="0"/>
              <w:rPr>
                <w:sz w:val="18"/>
                <w:szCs w:val="18"/>
              </w:rPr>
            </w:pPr>
            <w:r>
              <w:rPr>
                <w:sz w:val="18"/>
                <w:szCs w:val="18"/>
              </w:rPr>
              <w:t>Net incom</w:t>
            </w:r>
            <w:r>
              <w:rPr>
                <w:sz w:val="18"/>
                <w:szCs w:val="18"/>
              </w:rPr>
              <w:t>e</w:t>
            </w:r>
          </w:p>
        </w:tc>
        <w:tc>
          <w:tcPr>
            <w:tcW w:w="0" w:type="auto"/>
            <w:vAlign w:val="bottom"/>
            <w:hideMark/>
          </w:tcPr>
          <w:p w14:paraId="121FA9B0"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63BD6EF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5571C79"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29EC3BE1"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6C1EC32"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388F229D"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62FC2D1"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5151A75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48D7F29"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3541779"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C152CB0"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63602A7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B49EF7E"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5E75B3ED"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4846E60" w14:textId="77777777" w:rsidR="00000000" w:rsidRDefault="003A1B5D">
            <w:pPr>
              <w:pStyle w:val="a3"/>
              <w:spacing w:before="0" w:beforeAutospacing="0" w:after="0" w:afterAutospacing="0"/>
              <w:jc w:val="right"/>
              <w:rPr>
                <w:sz w:val="20"/>
                <w:szCs w:val="20"/>
              </w:rPr>
            </w:pPr>
            <w:r>
              <w:rPr>
                <w:sz w:val="18"/>
                <w:szCs w:val="18"/>
              </w:rPr>
              <w:t>30,01</w:t>
            </w:r>
            <w:r>
              <w:rPr>
                <w:sz w:val="18"/>
                <w:szCs w:val="18"/>
              </w:rPr>
              <w:t>2</w:t>
            </w:r>
          </w:p>
        </w:tc>
        <w:tc>
          <w:tcPr>
            <w:tcW w:w="0" w:type="auto"/>
            <w:noWrap/>
            <w:vAlign w:val="bottom"/>
            <w:hideMark/>
          </w:tcPr>
          <w:p w14:paraId="478B4C9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6051B89"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4CFE2DD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E314721" w14:textId="77777777" w:rsidR="00000000" w:rsidRDefault="003A1B5D">
            <w:pPr>
              <w:pStyle w:val="a3"/>
              <w:spacing w:before="0" w:beforeAutospacing="0" w:after="0" w:afterAutospacing="0"/>
              <w:jc w:val="right"/>
              <w:rPr>
                <w:sz w:val="20"/>
                <w:szCs w:val="20"/>
              </w:rPr>
            </w:pPr>
            <w:r>
              <w:rPr>
                <w:sz w:val="18"/>
                <w:szCs w:val="18"/>
              </w:rPr>
              <w:t>30,01</w:t>
            </w:r>
            <w:r>
              <w:rPr>
                <w:sz w:val="18"/>
                <w:szCs w:val="18"/>
              </w:rPr>
              <w:t>2</w:t>
            </w:r>
          </w:p>
        </w:tc>
        <w:tc>
          <w:tcPr>
            <w:tcW w:w="0" w:type="auto"/>
            <w:noWrap/>
            <w:vAlign w:val="bottom"/>
            <w:hideMark/>
          </w:tcPr>
          <w:p w14:paraId="53829567"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3AA7725"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4DA9A167"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FA1D9E2"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7F30C1C3"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C86500D"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7B9C017"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C0B0321" w14:textId="77777777" w:rsidR="00000000" w:rsidRDefault="003A1B5D">
            <w:pPr>
              <w:pStyle w:val="a3"/>
              <w:spacing w:before="0" w:beforeAutospacing="0" w:after="0" w:afterAutospacing="0"/>
              <w:jc w:val="right"/>
              <w:rPr>
                <w:sz w:val="20"/>
                <w:szCs w:val="20"/>
              </w:rPr>
            </w:pPr>
            <w:r>
              <w:rPr>
                <w:sz w:val="18"/>
                <w:szCs w:val="18"/>
              </w:rPr>
              <w:t>30,01</w:t>
            </w:r>
            <w:r>
              <w:rPr>
                <w:sz w:val="18"/>
                <w:szCs w:val="18"/>
              </w:rPr>
              <w:t>2</w:t>
            </w:r>
          </w:p>
        </w:tc>
        <w:tc>
          <w:tcPr>
            <w:tcW w:w="0" w:type="auto"/>
            <w:noWrap/>
            <w:vAlign w:val="bottom"/>
            <w:hideMark/>
          </w:tcPr>
          <w:p w14:paraId="5D83DB7C" w14:textId="77777777" w:rsidR="00000000" w:rsidRDefault="003A1B5D">
            <w:pPr>
              <w:pStyle w:val="a3"/>
              <w:spacing w:before="0" w:beforeAutospacing="0" w:after="0" w:afterAutospacing="0"/>
              <w:rPr>
                <w:sz w:val="18"/>
                <w:szCs w:val="18"/>
              </w:rPr>
            </w:pPr>
            <w:r>
              <w:rPr>
                <w:sz w:val="18"/>
                <w:szCs w:val="18"/>
              </w:rPr>
              <w:t> </w:t>
            </w:r>
          </w:p>
        </w:tc>
      </w:tr>
      <w:tr w:rsidR="00000000" w14:paraId="44773265" w14:textId="77777777">
        <w:trPr>
          <w:trHeight w:val="180"/>
          <w:tblCellSpacing w:w="15" w:type="dxa"/>
        </w:trPr>
        <w:tc>
          <w:tcPr>
            <w:tcW w:w="0" w:type="auto"/>
            <w:hideMark/>
          </w:tcPr>
          <w:p w14:paraId="4A0FA00B" w14:textId="77777777" w:rsidR="00000000" w:rsidRDefault="003A1B5D">
            <w:pPr>
              <w:pStyle w:val="a3"/>
              <w:spacing w:before="0" w:beforeAutospacing="0" w:after="0" w:afterAutospacing="0"/>
              <w:rPr>
                <w:sz w:val="18"/>
                <w:szCs w:val="18"/>
              </w:rPr>
            </w:pPr>
            <w:r>
              <w:rPr>
                <w:sz w:val="18"/>
                <w:szCs w:val="18"/>
              </w:rPr>
              <w:t>Retirement of common stoc</w:t>
            </w:r>
            <w:r>
              <w:rPr>
                <w:sz w:val="18"/>
                <w:szCs w:val="18"/>
              </w:rPr>
              <w:t>k</w:t>
            </w:r>
          </w:p>
        </w:tc>
        <w:tc>
          <w:tcPr>
            <w:tcW w:w="0" w:type="auto"/>
            <w:vAlign w:val="bottom"/>
            <w:hideMark/>
          </w:tcPr>
          <w:p w14:paraId="547B95DE"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2431579E"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3FB0671"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2032DFD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AC10255"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39835391"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E29AF99"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20427D31"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1C976FA"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8E614D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DB927AF" w14:textId="77777777" w:rsidR="00000000" w:rsidRDefault="003A1B5D">
            <w:pPr>
              <w:pStyle w:val="a3"/>
              <w:spacing w:before="0" w:beforeAutospacing="0" w:after="0" w:afterAutospacing="0"/>
              <w:jc w:val="right"/>
              <w:rPr>
                <w:sz w:val="20"/>
                <w:szCs w:val="20"/>
              </w:rPr>
            </w:pPr>
            <w:r>
              <w:rPr>
                <w:sz w:val="18"/>
                <w:szCs w:val="18"/>
              </w:rPr>
              <w:t>(</w:t>
            </w:r>
            <w:r>
              <w:rPr>
                <w:sz w:val="18"/>
                <w:szCs w:val="18"/>
              </w:rPr>
              <w:t>5</w:t>
            </w:r>
          </w:p>
        </w:tc>
        <w:tc>
          <w:tcPr>
            <w:tcW w:w="0" w:type="auto"/>
            <w:noWrap/>
            <w:vAlign w:val="bottom"/>
            <w:hideMark/>
          </w:tcPr>
          <w:p w14:paraId="53344049"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169316F3"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23E4275E"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2C718BE"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2B0CF177"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A981DCD"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28BC1B77"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3765D7A" w14:textId="77777777" w:rsidR="00000000" w:rsidRDefault="003A1B5D">
            <w:pPr>
              <w:pStyle w:val="a3"/>
              <w:spacing w:before="0" w:beforeAutospacing="0" w:after="0" w:afterAutospacing="0"/>
              <w:jc w:val="right"/>
              <w:rPr>
                <w:sz w:val="20"/>
                <w:szCs w:val="20"/>
              </w:rPr>
            </w:pPr>
            <w:r>
              <w:rPr>
                <w:sz w:val="18"/>
                <w:szCs w:val="18"/>
              </w:rPr>
              <w:t>(</w:t>
            </w:r>
            <w:r>
              <w:rPr>
                <w:sz w:val="18"/>
                <w:szCs w:val="18"/>
              </w:rPr>
              <w:t>5</w:t>
            </w:r>
          </w:p>
        </w:tc>
        <w:tc>
          <w:tcPr>
            <w:tcW w:w="0" w:type="auto"/>
            <w:noWrap/>
            <w:vAlign w:val="bottom"/>
            <w:hideMark/>
          </w:tcPr>
          <w:p w14:paraId="7EECE277"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60B8E491"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302579E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8C243A0"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3FA9072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2841538"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302EEC12"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3234981" w14:textId="77777777" w:rsidR="00000000" w:rsidRDefault="003A1B5D">
            <w:pPr>
              <w:pStyle w:val="a3"/>
              <w:spacing w:before="0" w:beforeAutospacing="0" w:after="0" w:afterAutospacing="0"/>
              <w:jc w:val="right"/>
              <w:rPr>
                <w:sz w:val="20"/>
                <w:szCs w:val="20"/>
              </w:rPr>
            </w:pPr>
            <w:r>
              <w:rPr>
                <w:sz w:val="18"/>
                <w:szCs w:val="18"/>
              </w:rPr>
              <w:t>(</w:t>
            </w:r>
            <w:r>
              <w:rPr>
                <w:sz w:val="18"/>
                <w:szCs w:val="18"/>
              </w:rPr>
              <w:t>5</w:t>
            </w:r>
          </w:p>
        </w:tc>
        <w:tc>
          <w:tcPr>
            <w:tcW w:w="0" w:type="auto"/>
            <w:noWrap/>
            <w:vAlign w:val="bottom"/>
            <w:hideMark/>
          </w:tcPr>
          <w:p w14:paraId="4BC7A0F8" w14:textId="77777777" w:rsidR="00000000" w:rsidRDefault="003A1B5D">
            <w:pPr>
              <w:pStyle w:val="a3"/>
              <w:spacing w:before="0" w:beforeAutospacing="0" w:after="0" w:afterAutospacing="0"/>
              <w:rPr>
                <w:sz w:val="18"/>
                <w:szCs w:val="18"/>
              </w:rPr>
            </w:pPr>
            <w:r>
              <w:rPr>
                <w:sz w:val="18"/>
                <w:szCs w:val="18"/>
              </w:rPr>
              <w:t>)</w:t>
            </w:r>
          </w:p>
        </w:tc>
      </w:tr>
      <w:tr w:rsidR="00000000" w14:paraId="70AD1AA8" w14:textId="77777777">
        <w:trPr>
          <w:trHeight w:val="180"/>
          <w:tblCellSpacing w:w="15" w:type="dxa"/>
        </w:trPr>
        <w:tc>
          <w:tcPr>
            <w:tcW w:w="0" w:type="auto"/>
            <w:hideMark/>
          </w:tcPr>
          <w:p w14:paraId="2BD5208A" w14:textId="77777777" w:rsidR="00000000" w:rsidRDefault="003A1B5D">
            <w:pPr>
              <w:pStyle w:val="a3"/>
              <w:spacing w:before="0" w:beforeAutospacing="0" w:after="0" w:afterAutospacing="0"/>
              <w:rPr>
                <w:sz w:val="18"/>
                <w:szCs w:val="18"/>
              </w:rPr>
            </w:pPr>
            <w:r>
              <w:rPr>
                <w:sz w:val="18"/>
                <w:szCs w:val="18"/>
              </w:rPr>
              <w:t>Dividends on RSU</w:t>
            </w:r>
            <w:r>
              <w:rPr>
                <w:sz w:val="18"/>
                <w:szCs w:val="18"/>
              </w:rPr>
              <w:t>s</w:t>
            </w:r>
          </w:p>
        </w:tc>
        <w:tc>
          <w:tcPr>
            <w:tcW w:w="0" w:type="auto"/>
            <w:vAlign w:val="bottom"/>
            <w:hideMark/>
          </w:tcPr>
          <w:p w14:paraId="2A4E0B6D"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F191E6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1B02C09"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6E962E3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2779866"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11E3F53"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0700474"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7467C3E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BD39F74"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0990EDE"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ADC1970"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48C8BFC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871B97D"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DE5D0D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489BF8B" w14:textId="77777777" w:rsidR="00000000" w:rsidRDefault="003A1B5D">
            <w:pPr>
              <w:pStyle w:val="a3"/>
              <w:spacing w:before="0" w:beforeAutospacing="0" w:after="0" w:afterAutospacing="0"/>
              <w:jc w:val="right"/>
              <w:rPr>
                <w:sz w:val="20"/>
                <w:szCs w:val="20"/>
              </w:rPr>
            </w:pPr>
            <w:r>
              <w:rPr>
                <w:sz w:val="18"/>
                <w:szCs w:val="18"/>
              </w:rPr>
              <w:t>(</w:t>
            </w:r>
            <w:r>
              <w:rPr>
                <w:sz w:val="18"/>
                <w:szCs w:val="18"/>
              </w:rPr>
              <w:t>7</w:t>
            </w:r>
            <w:r>
              <w:rPr>
                <w:sz w:val="18"/>
                <w:szCs w:val="18"/>
              </w:rPr>
              <w:t>9</w:t>
            </w:r>
          </w:p>
        </w:tc>
        <w:tc>
          <w:tcPr>
            <w:tcW w:w="0" w:type="auto"/>
            <w:noWrap/>
            <w:vAlign w:val="bottom"/>
            <w:hideMark/>
          </w:tcPr>
          <w:p w14:paraId="0385FF82"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46A7C0B2"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2C98356C"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6463205" w14:textId="77777777" w:rsidR="00000000" w:rsidRDefault="003A1B5D">
            <w:pPr>
              <w:pStyle w:val="a3"/>
              <w:spacing w:before="0" w:beforeAutospacing="0" w:after="0" w:afterAutospacing="0"/>
              <w:jc w:val="right"/>
              <w:rPr>
                <w:sz w:val="20"/>
                <w:szCs w:val="20"/>
              </w:rPr>
            </w:pPr>
            <w:r>
              <w:rPr>
                <w:sz w:val="18"/>
                <w:szCs w:val="18"/>
              </w:rPr>
              <w:t>(</w:t>
            </w:r>
            <w:r>
              <w:rPr>
                <w:sz w:val="18"/>
                <w:szCs w:val="18"/>
              </w:rPr>
              <w:t>7</w:t>
            </w:r>
            <w:r>
              <w:rPr>
                <w:sz w:val="18"/>
                <w:szCs w:val="18"/>
              </w:rPr>
              <w:t>9</w:t>
            </w:r>
          </w:p>
        </w:tc>
        <w:tc>
          <w:tcPr>
            <w:tcW w:w="0" w:type="auto"/>
            <w:noWrap/>
            <w:vAlign w:val="bottom"/>
            <w:hideMark/>
          </w:tcPr>
          <w:p w14:paraId="2DF9D617"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6496F5E3"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E63F4E3"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BB65FC3"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0E8497A1"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FB9C286"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646849A5"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FDE3D46" w14:textId="77777777" w:rsidR="00000000" w:rsidRDefault="003A1B5D">
            <w:pPr>
              <w:pStyle w:val="a3"/>
              <w:spacing w:before="0" w:beforeAutospacing="0" w:after="0" w:afterAutospacing="0"/>
              <w:jc w:val="right"/>
              <w:rPr>
                <w:sz w:val="20"/>
                <w:szCs w:val="20"/>
              </w:rPr>
            </w:pPr>
            <w:r>
              <w:rPr>
                <w:sz w:val="18"/>
                <w:szCs w:val="18"/>
              </w:rPr>
              <w:t>(</w:t>
            </w:r>
            <w:r>
              <w:rPr>
                <w:sz w:val="18"/>
                <w:szCs w:val="18"/>
              </w:rPr>
              <w:t>7</w:t>
            </w:r>
            <w:r>
              <w:rPr>
                <w:sz w:val="18"/>
                <w:szCs w:val="18"/>
              </w:rPr>
              <w:t>9</w:t>
            </w:r>
          </w:p>
        </w:tc>
        <w:tc>
          <w:tcPr>
            <w:tcW w:w="0" w:type="auto"/>
            <w:noWrap/>
            <w:vAlign w:val="bottom"/>
            <w:hideMark/>
          </w:tcPr>
          <w:p w14:paraId="5BE16358" w14:textId="77777777" w:rsidR="00000000" w:rsidRDefault="003A1B5D">
            <w:pPr>
              <w:pStyle w:val="a3"/>
              <w:spacing w:before="0" w:beforeAutospacing="0" w:after="0" w:afterAutospacing="0"/>
              <w:rPr>
                <w:sz w:val="18"/>
                <w:szCs w:val="18"/>
              </w:rPr>
            </w:pPr>
            <w:r>
              <w:rPr>
                <w:sz w:val="18"/>
                <w:szCs w:val="18"/>
              </w:rPr>
              <w:t>)</w:t>
            </w:r>
          </w:p>
        </w:tc>
      </w:tr>
      <w:tr w:rsidR="00000000" w14:paraId="22C179A5" w14:textId="77777777">
        <w:trPr>
          <w:trHeight w:val="180"/>
          <w:tblCellSpacing w:w="15" w:type="dxa"/>
        </w:trPr>
        <w:tc>
          <w:tcPr>
            <w:tcW w:w="0" w:type="auto"/>
            <w:hideMark/>
          </w:tcPr>
          <w:p w14:paraId="3BE48A41" w14:textId="77777777" w:rsidR="00000000" w:rsidRDefault="003A1B5D">
            <w:pPr>
              <w:pStyle w:val="a3"/>
              <w:spacing w:before="0" w:beforeAutospacing="0" w:after="0" w:afterAutospacing="0"/>
              <w:rPr>
                <w:sz w:val="18"/>
                <w:szCs w:val="18"/>
              </w:rPr>
            </w:pPr>
            <w:r>
              <w:rPr>
                <w:sz w:val="18"/>
                <w:szCs w:val="18"/>
              </w:rPr>
              <w:t>Restricted stock compensation, net of forfeiture</w:t>
            </w:r>
            <w:r>
              <w:rPr>
                <w:sz w:val="18"/>
                <w:szCs w:val="18"/>
              </w:rPr>
              <w:t>s</w:t>
            </w:r>
          </w:p>
        </w:tc>
        <w:tc>
          <w:tcPr>
            <w:tcW w:w="0" w:type="auto"/>
            <w:vAlign w:val="bottom"/>
            <w:hideMark/>
          </w:tcPr>
          <w:p w14:paraId="4998B6C1"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2A7ED79"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F4DE8E2"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6AEC3391"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2833033"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7DDCC501"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97EA537"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2A94DE1D"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C19BBAE"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7241BE13"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F25E420" w14:textId="77777777" w:rsidR="00000000" w:rsidRDefault="003A1B5D">
            <w:pPr>
              <w:pStyle w:val="a3"/>
              <w:spacing w:before="0" w:beforeAutospacing="0" w:after="0" w:afterAutospacing="0"/>
              <w:jc w:val="right"/>
              <w:rPr>
                <w:sz w:val="20"/>
                <w:szCs w:val="20"/>
              </w:rPr>
            </w:pPr>
            <w:r>
              <w:rPr>
                <w:sz w:val="18"/>
                <w:szCs w:val="18"/>
              </w:rPr>
              <w:t>5,09</w:t>
            </w:r>
            <w:r>
              <w:rPr>
                <w:sz w:val="18"/>
                <w:szCs w:val="18"/>
              </w:rPr>
              <w:t>7</w:t>
            </w:r>
          </w:p>
        </w:tc>
        <w:tc>
          <w:tcPr>
            <w:tcW w:w="0" w:type="auto"/>
            <w:noWrap/>
            <w:vAlign w:val="bottom"/>
            <w:hideMark/>
          </w:tcPr>
          <w:p w14:paraId="4BAD77F7"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8E01E7D"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28FE807F"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6944EDE"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42A2867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00D920B"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53A891C7"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4ED5AC9" w14:textId="77777777" w:rsidR="00000000" w:rsidRDefault="003A1B5D">
            <w:pPr>
              <w:pStyle w:val="a3"/>
              <w:spacing w:before="0" w:beforeAutospacing="0" w:after="0" w:afterAutospacing="0"/>
              <w:jc w:val="right"/>
              <w:rPr>
                <w:sz w:val="20"/>
                <w:szCs w:val="20"/>
              </w:rPr>
            </w:pPr>
            <w:r>
              <w:rPr>
                <w:sz w:val="18"/>
                <w:szCs w:val="18"/>
              </w:rPr>
              <w:t>5,09</w:t>
            </w:r>
            <w:r>
              <w:rPr>
                <w:sz w:val="18"/>
                <w:szCs w:val="18"/>
              </w:rPr>
              <w:t>7</w:t>
            </w:r>
          </w:p>
        </w:tc>
        <w:tc>
          <w:tcPr>
            <w:tcW w:w="0" w:type="auto"/>
            <w:noWrap/>
            <w:vAlign w:val="bottom"/>
            <w:hideMark/>
          </w:tcPr>
          <w:p w14:paraId="20C07C2E"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368BC2B"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34076DBA"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C094393"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2A72316D"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9DEDFF6"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7642D78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D524281" w14:textId="77777777" w:rsidR="00000000" w:rsidRDefault="003A1B5D">
            <w:pPr>
              <w:pStyle w:val="a3"/>
              <w:spacing w:before="0" w:beforeAutospacing="0" w:after="0" w:afterAutospacing="0"/>
              <w:jc w:val="right"/>
              <w:rPr>
                <w:sz w:val="20"/>
                <w:szCs w:val="20"/>
              </w:rPr>
            </w:pPr>
            <w:r>
              <w:rPr>
                <w:sz w:val="18"/>
                <w:szCs w:val="18"/>
              </w:rPr>
              <w:t>5,09</w:t>
            </w:r>
            <w:r>
              <w:rPr>
                <w:sz w:val="18"/>
                <w:szCs w:val="18"/>
              </w:rPr>
              <w:t>7</w:t>
            </w:r>
          </w:p>
        </w:tc>
        <w:tc>
          <w:tcPr>
            <w:tcW w:w="0" w:type="auto"/>
            <w:noWrap/>
            <w:vAlign w:val="bottom"/>
            <w:hideMark/>
          </w:tcPr>
          <w:p w14:paraId="57CE5C8D" w14:textId="77777777" w:rsidR="00000000" w:rsidRDefault="003A1B5D">
            <w:pPr>
              <w:pStyle w:val="a3"/>
              <w:spacing w:before="0" w:beforeAutospacing="0" w:after="0" w:afterAutospacing="0"/>
              <w:rPr>
                <w:sz w:val="18"/>
                <w:szCs w:val="18"/>
              </w:rPr>
            </w:pPr>
            <w:r>
              <w:rPr>
                <w:sz w:val="18"/>
                <w:szCs w:val="18"/>
              </w:rPr>
              <w:t> </w:t>
            </w:r>
          </w:p>
        </w:tc>
      </w:tr>
      <w:tr w:rsidR="00000000" w14:paraId="54EFDECB" w14:textId="77777777">
        <w:trPr>
          <w:trHeight w:val="180"/>
          <w:tblCellSpacing w:w="15" w:type="dxa"/>
        </w:trPr>
        <w:tc>
          <w:tcPr>
            <w:tcW w:w="0" w:type="auto"/>
            <w:hideMark/>
          </w:tcPr>
          <w:p w14:paraId="73648269" w14:textId="77777777" w:rsidR="00000000" w:rsidRDefault="003A1B5D">
            <w:pPr>
              <w:pStyle w:val="a3"/>
              <w:spacing w:before="0" w:beforeAutospacing="0" w:after="0" w:afterAutospacing="0"/>
              <w:rPr>
                <w:sz w:val="18"/>
                <w:szCs w:val="18"/>
              </w:rPr>
            </w:pPr>
            <w:r>
              <w:rPr>
                <w:sz w:val="18"/>
                <w:szCs w:val="18"/>
              </w:rPr>
              <w:t>Distributions to non-controlling interes</w:t>
            </w:r>
            <w:r>
              <w:rPr>
                <w:sz w:val="18"/>
                <w:szCs w:val="18"/>
              </w:rPr>
              <w:t>t</w:t>
            </w:r>
          </w:p>
        </w:tc>
        <w:tc>
          <w:tcPr>
            <w:tcW w:w="0" w:type="auto"/>
            <w:vAlign w:val="bottom"/>
            <w:hideMark/>
          </w:tcPr>
          <w:p w14:paraId="71EBDD51"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0967147"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6846638"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40523961"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D7004B6"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3D717A68"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571BBC7"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373D8C8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F44B23E"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976CBE4"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D78BBB9"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1BC69681"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C8894BA"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EBE7073"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AECAD31"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24BCFA3C"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0D88394"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0D3C659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111F466"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08D9C849"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25E53E6F"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6698FEB7"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6709CE2" w14:textId="77777777" w:rsidR="00000000" w:rsidRDefault="003A1B5D">
            <w:pPr>
              <w:pStyle w:val="a3"/>
              <w:spacing w:before="0" w:beforeAutospacing="0" w:after="0" w:afterAutospacing="0"/>
              <w:jc w:val="right"/>
              <w:rPr>
                <w:sz w:val="20"/>
                <w:szCs w:val="20"/>
              </w:rPr>
            </w:pPr>
            <w:r>
              <w:rPr>
                <w:sz w:val="18"/>
                <w:szCs w:val="18"/>
              </w:rPr>
              <w:t>(</w:t>
            </w:r>
            <w:r>
              <w:rPr>
                <w:sz w:val="18"/>
                <w:szCs w:val="18"/>
              </w:rPr>
              <w:t>5,89</w:t>
            </w:r>
            <w:r>
              <w:rPr>
                <w:sz w:val="18"/>
                <w:szCs w:val="18"/>
              </w:rPr>
              <w:t>7</w:t>
            </w:r>
          </w:p>
        </w:tc>
        <w:tc>
          <w:tcPr>
            <w:tcW w:w="0" w:type="auto"/>
            <w:noWrap/>
            <w:vAlign w:val="bottom"/>
            <w:hideMark/>
          </w:tcPr>
          <w:p w14:paraId="793F3AE0"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09C2AD19"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C77462B"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6CB87EE" w14:textId="77777777" w:rsidR="00000000" w:rsidRDefault="003A1B5D">
            <w:pPr>
              <w:pStyle w:val="a3"/>
              <w:spacing w:before="0" w:beforeAutospacing="0" w:after="0" w:afterAutospacing="0"/>
              <w:jc w:val="right"/>
              <w:rPr>
                <w:sz w:val="20"/>
                <w:szCs w:val="20"/>
              </w:rPr>
            </w:pPr>
            <w:r>
              <w:rPr>
                <w:sz w:val="18"/>
                <w:szCs w:val="18"/>
              </w:rPr>
              <w:t>(</w:t>
            </w:r>
            <w:r>
              <w:rPr>
                <w:sz w:val="18"/>
                <w:szCs w:val="18"/>
              </w:rPr>
              <w:t>5,89</w:t>
            </w:r>
            <w:r>
              <w:rPr>
                <w:sz w:val="18"/>
                <w:szCs w:val="18"/>
              </w:rPr>
              <w:t>7</w:t>
            </w:r>
          </w:p>
        </w:tc>
        <w:tc>
          <w:tcPr>
            <w:tcW w:w="0" w:type="auto"/>
            <w:noWrap/>
            <w:vAlign w:val="bottom"/>
            <w:hideMark/>
          </w:tcPr>
          <w:p w14:paraId="592AAB06" w14:textId="77777777" w:rsidR="00000000" w:rsidRDefault="003A1B5D">
            <w:pPr>
              <w:pStyle w:val="a3"/>
              <w:spacing w:before="0" w:beforeAutospacing="0" w:after="0" w:afterAutospacing="0"/>
              <w:rPr>
                <w:sz w:val="18"/>
                <w:szCs w:val="18"/>
              </w:rPr>
            </w:pPr>
            <w:r>
              <w:rPr>
                <w:sz w:val="18"/>
                <w:szCs w:val="18"/>
              </w:rPr>
              <w:t>)</w:t>
            </w:r>
          </w:p>
        </w:tc>
      </w:tr>
      <w:tr w:rsidR="00000000" w14:paraId="065CED8C" w14:textId="77777777">
        <w:trPr>
          <w:trHeight w:val="180"/>
          <w:tblCellSpacing w:w="15" w:type="dxa"/>
        </w:trPr>
        <w:tc>
          <w:tcPr>
            <w:tcW w:w="0" w:type="auto"/>
            <w:hideMark/>
          </w:tcPr>
          <w:p w14:paraId="1142F4E1" w14:textId="77777777" w:rsidR="00000000" w:rsidRDefault="003A1B5D">
            <w:pPr>
              <w:pStyle w:val="a3"/>
              <w:spacing w:before="0" w:beforeAutospacing="0" w:after="0" w:afterAutospacing="0"/>
              <w:rPr>
                <w:sz w:val="18"/>
                <w:szCs w:val="18"/>
              </w:rPr>
            </w:pPr>
            <w:r>
              <w:rPr>
                <w:sz w:val="18"/>
                <w:szCs w:val="18"/>
              </w:rPr>
              <w:t>Termination of operating partnershi</w:t>
            </w:r>
            <w:r>
              <w:rPr>
                <w:sz w:val="18"/>
                <w:szCs w:val="18"/>
              </w:rPr>
              <w:t>p</w:t>
            </w:r>
          </w:p>
        </w:tc>
        <w:tc>
          <w:tcPr>
            <w:tcW w:w="0" w:type="auto"/>
            <w:vAlign w:val="bottom"/>
            <w:hideMark/>
          </w:tcPr>
          <w:p w14:paraId="50B91B20"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68528E16"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221DEAC"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28684FEA"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4CE9F45"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45C0FD0C"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7B88D2E"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1E0CCCB2"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C1577DE"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EA46A20"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54880572" w14:textId="77777777" w:rsidR="00000000" w:rsidRDefault="003A1B5D">
            <w:pPr>
              <w:pStyle w:val="a3"/>
              <w:spacing w:before="0" w:beforeAutospacing="0" w:after="0" w:afterAutospacing="0"/>
              <w:jc w:val="right"/>
              <w:rPr>
                <w:sz w:val="20"/>
                <w:szCs w:val="20"/>
              </w:rPr>
            </w:pPr>
            <w:r>
              <w:rPr>
                <w:sz w:val="18"/>
                <w:szCs w:val="18"/>
              </w:rPr>
              <w:t>17,37</w:t>
            </w:r>
            <w:r>
              <w:rPr>
                <w:sz w:val="18"/>
                <w:szCs w:val="18"/>
              </w:rPr>
              <w:t>4</w:t>
            </w:r>
          </w:p>
        </w:tc>
        <w:tc>
          <w:tcPr>
            <w:tcW w:w="0" w:type="auto"/>
            <w:noWrap/>
            <w:vAlign w:val="bottom"/>
            <w:hideMark/>
          </w:tcPr>
          <w:p w14:paraId="0145CC9F"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6DC799F2"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D69BCDF"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C7F81DD"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42A5E6BC"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7191800D"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75EA770B"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EE5D8CF" w14:textId="77777777" w:rsidR="00000000" w:rsidRDefault="003A1B5D">
            <w:pPr>
              <w:pStyle w:val="a3"/>
              <w:spacing w:before="0" w:beforeAutospacing="0" w:after="0" w:afterAutospacing="0"/>
              <w:jc w:val="right"/>
              <w:rPr>
                <w:sz w:val="20"/>
                <w:szCs w:val="20"/>
              </w:rPr>
            </w:pPr>
            <w:r>
              <w:rPr>
                <w:sz w:val="18"/>
                <w:szCs w:val="18"/>
              </w:rPr>
              <w:t>17,37</w:t>
            </w:r>
            <w:r>
              <w:rPr>
                <w:sz w:val="18"/>
                <w:szCs w:val="18"/>
              </w:rPr>
              <w:t>4</w:t>
            </w:r>
          </w:p>
        </w:tc>
        <w:tc>
          <w:tcPr>
            <w:tcW w:w="0" w:type="auto"/>
            <w:noWrap/>
            <w:vAlign w:val="bottom"/>
            <w:hideMark/>
          </w:tcPr>
          <w:p w14:paraId="12BB41C3"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34D69109"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2686CCC7"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1C6AC536" w14:textId="77777777" w:rsidR="00000000" w:rsidRDefault="003A1B5D">
            <w:pPr>
              <w:pStyle w:val="a3"/>
              <w:spacing w:before="0" w:beforeAutospacing="0" w:after="0" w:afterAutospacing="0"/>
              <w:jc w:val="right"/>
              <w:rPr>
                <w:sz w:val="20"/>
                <w:szCs w:val="20"/>
              </w:rPr>
            </w:pPr>
            <w:r>
              <w:rPr>
                <w:sz w:val="18"/>
                <w:szCs w:val="18"/>
              </w:rPr>
              <w:t>(</w:t>
            </w:r>
            <w:r>
              <w:rPr>
                <w:sz w:val="18"/>
                <w:szCs w:val="18"/>
              </w:rPr>
              <w:t>17,37</w:t>
            </w:r>
            <w:r>
              <w:rPr>
                <w:sz w:val="18"/>
                <w:szCs w:val="18"/>
              </w:rPr>
              <w:t>4</w:t>
            </w:r>
          </w:p>
        </w:tc>
        <w:tc>
          <w:tcPr>
            <w:tcW w:w="0" w:type="auto"/>
            <w:noWrap/>
            <w:vAlign w:val="bottom"/>
            <w:hideMark/>
          </w:tcPr>
          <w:p w14:paraId="471C7711"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2A10A7D6"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5C037C5B"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CC69111"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38B80321" w14:textId="77777777" w:rsidR="00000000" w:rsidRDefault="003A1B5D">
            <w:pPr>
              <w:pStyle w:val="a3"/>
              <w:spacing w:before="0" w:beforeAutospacing="0" w:after="0" w:afterAutospacing="0"/>
              <w:rPr>
                <w:sz w:val="18"/>
                <w:szCs w:val="18"/>
              </w:rPr>
            </w:pPr>
            <w:r>
              <w:rPr>
                <w:sz w:val="18"/>
                <w:szCs w:val="18"/>
              </w:rPr>
              <w:t> </w:t>
            </w:r>
          </w:p>
        </w:tc>
      </w:tr>
      <w:tr w:rsidR="00000000" w14:paraId="2FBA6A5B" w14:textId="77777777">
        <w:trPr>
          <w:trHeight w:val="180"/>
          <w:tblCellSpacing w:w="15" w:type="dxa"/>
        </w:trPr>
        <w:tc>
          <w:tcPr>
            <w:tcW w:w="0" w:type="auto"/>
            <w:hideMark/>
          </w:tcPr>
          <w:p w14:paraId="3611BE32" w14:textId="77777777" w:rsidR="00000000" w:rsidRDefault="003A1B5D">
            <w:pPr>
              <w:pStyle w:val="a3"/>
              <w:spacing w:before="0" w:beforeAutospacing="0" w:after="0" w:afterAutospacing="0"/>
              <w:rPr>
                <w:sz w:val="18"/>
                <w:szCs w:val="18"/>
              </w:rPr>
            </w:pPr>
            <w:r>
              <w:rPr>
                <w:sz w:val="18"/>
                <w:szCs w:val="18"/>
              </w:rPr>
              <w:t>Balance as of September 30, 202</w:t>
            </w:r>
            <w:r>
              <w:rPr>
                <w:sz w:val="18"/>
                <w:szCs w:val="18"/>
              </w:rPr>
              <w:t>1</w:t>
            </w:r>
          </w:p>
        </w:tc>
        <w:tc>
          <w:tcPr>
            <w:tcW w:w="0" w:type="auto"/>
            <w:vAlign w:val="bottom"/>
            <w:hideMark/>
          </w:tcPr>
          <w:p w14:paraId="61BA4FB1"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439016BD"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9C5178C" w14:textId="77777777" w:rsidR="00000000" w:rsidRDefault="003A1B5D">
            <w:pPr>
              <w:pStyle w:val="a3"/>
              <w:spacing w:before="0" w:beforeAutospacing="0" w:after="0" w:afterAutospacing="0"/>
              <w:jc w:val="right"/>
              <w:rPr>
                <w:sz w:val="20"/>
                <w:szCs w:val="20"/>
              </w:rPr>
            </w:pPr>
            <w:r>
              <w:rPr>
                <w:sz w:val="18"/>
                <w:szCs w:val="18"/>
              </w:rPr>
              <w:t>120,28</w:t>
            </w:r>
            <w:r>
              <w:rPr>
                <w:sz w:val="18"/>
                <w:szCs w:val="18"/>
              </w:rPr>
              <w:t>5</w:t>
            </w:r>
          </w:p>
        </w:tc>
        <w:tc>
          <w:tcPr>
            <w:tcW w:w="0" w:type="auto"/>
            <w:noWrap/>
            <w:vAlign w:val="bottom"/>
            <w:hideMark/>
          </w:tcPr>
          <w:p w14:paraId="692502E4"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BECC509"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554FCCCD"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7170A8D7" w14:textId="77777777" w:rsidR="00000000" w:rsidRDefault="003A1B5D">
            <w:pPr>
              <w:pStyle w:val="a3"/>
              <w:spacing w:before="0" w:beforeAutospacing="0" w:after="0" w:afterAutospacing="0"/>
              <w:jc w:val="right"/>
              <w:rPr>
                <w:sz w:val="20"/>
                <w:szCs w:val="20"/>
              </w:rPr>
            </w:pPr>
            <w:r>
              <w:rPr>
                <w:sz w:val="18"/>
                <w:szCs w:val="18"/>
              </w:rPr>
              <w:t>1,20</w:t>
            </w:r>
            <w:r>
              <w:rPr>
                <w:sz w:val="18"/>
                <w:szCs w:val="18"/>
              </w:rPr>
              <w:t>3</w:t>
            </w:r>
          </w:p>
        </w:tc>
        <w:tc>
          <w:tcPr>
            <w:tcW w:w="0" w:type="auto"/>
            <w:noWrap/>
            <w:vAlign w:val="bottom"/>
            <w:hideMark/>
          </w:tcPr>
          <w:p w14:paraId="0A0A2E2E"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39A47BE"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10BF243C"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0FDDCDF8" w14:textId="77777777" w:rsidR="00000000" w:rsidRDefault="003A1B5D">
            <w:pPr>
              <w:pStyle w:val="a3"/>
              <w:spacing w:before="0" w:beforeAutospacing="0" w:after="0" w:afterAutospacing="0"/>
              <w:jc w:val="right"/>
              <w:rPr>
                <w:sz w:val="20"/>
                <w:szCs w:val="20"/>
              </w:rPr>
            </w:pPr>
            <w:r>
              <w:rPr>
                <w:sz w:val="18"/>
                <w:szCs w:val="18"/>
              </w:rPr>
              <w:t>1,864,86</w:t>
            </w:r>
            <w:r>
              <w:rPr>
                <w:sz w:val="18"/>
                <w:szCs w:val="18"/>
              </w:rPr>
              <w:t>1</w:t>
            </w:r>
          </w:p>
        </w:tc>
        <w:tc>
          <w:tcPr>
            <w:tcW w:w="0" w:type="auto"/>
            <w:noWrap/>
            <w:vAlign w:val="bottom"/>
            <w:hideMark/>
          </w:tcPr>
          <w:p w14:paraId="4B335119"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ABB1A28"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46E71D7D"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2B631DA7" w14:textId="77777777" w:rsidR="00000000" w:rsidRDefault="003A1B5D">
            <w:pPr>
              <w:pStyle w:val="a3"/>
              <w:spacing w:before="0" w:beforeAutospacing="0" w:after="0" w:afterAutospacing="0"/>
              <w:jc w:val="right"/>
              <w:rPr>
                <w:sz w:val="20"/>
                <w:szCs w:val="20"/>
              </w:rPr>
            </w:pPr>
            <w:r>
              <w:rPr>
                <w:sz w:val="18"/>
                <w:szCs w:val="18"/>
              </w:rPr>
              <w:t>(</w:t>
            </w:r>
            <w:r>
              <w:rPr>
                <w:sz w:val="18"/>
                <w:szCs w:val="18"/>
              </w:rPr>
              <w:t>526,70</w:t>
            </w:r>
            <w:r>
              <w:rPr>
                <w:sz w:val="18"/>
                <w:szCs w:val="18"/>
              </w:rPr>
              <w:t>6</w:t>
            </w:r>
          </w:p>
        </w:tc>
        <w:tc>
          <w:tcPr>
            <w:tcW w:w="0" w:type="auto"/>
            <w:noWrap/>
            <w:vAlign w:val="bottom"/>
            <w:hideMark/>
          </w:tcPr>
          <w:p w14:paraId="14754FF6"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73893DFF" w14:textId="77777777" w:rsidR="00000000" w:rsidRDefault="003A1B5D">
            <w:pPr>
              <w:pStyle w:val="a3"/>
              <w:spacing w:before="0" w:beforeAutospacing="0" w:after="0" w:afterAutospacing="0"/>
              <w:jc w:val="right"/>
              <w:rPr>
                <w:sz w:val="18"/>
                <w:szCs w:val="18"/>
              </w:rPr>
            </w:pPr>
            <w:r>
              <w:rPr>
                <w:sz w:val="18"/>
                <w:szCs w:val="18"/>
              </w:rPr>
              <w:t> </w:t>
            </w:r>
          </w:p>
        </w:tc>
        <w:tc>
          <w:tcPr>
            <w:tcW w:w="0" w:type="auto"/>
            <w:noWrap/>
            <w:vAlign w:val="bottom"/>
            <w:hideMark/>
          </w:tcPr>
          <w:p w14:paraId="731C513A"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20650600" w14:textId="77777777" w:rsidR="00000000" w:rsidRDefault="003A1B5D">
            <w:pPr>
              <w:pStyle w:val="a3"/>
              <w:spacing w:before="0" w:beforeAutospacing="0" w:after="0" w:afterAutospacing="0"/>
              <w:jc w:val="right"/>
              <w:rPr>
                <w:sz w:val="20"/>
                <w:szCs w:val="20"/>
              </w:rPr>
            </w:pPr>
            <w:r>
              <w:rPr>
                <w:sz w:val="18"/>
                <w:szCs w:val="18"/>
              </w:rPr>
              <w:t>1,339,35</w:t>
            </w:r>
            <w:r>
              <w:rPr>
                <w:sz w:val="18"/>
                <w:szCs w:val="18"/>
              </w:rPr>
              <w:t>8</w:t>
            </w:r>
          </w:p>
        </w:tc>
        <w:tc>
          <w:tcPr>
            <w:tcW w:w="0" w:type="auto"/>
            <w:noWrap/>
            <w:vAlign w:val="bottom"/>
            <w:hideMark/>
          </w:tcPr>
          <w:p w14:paraId="5EA3DF14"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4FB1DB21"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75306B29"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5D8BEC7E" w14:textId="77777777" w:rsidR="00000000" w:rsidRDefault="003A1B5D">
            <w:pPr>
              <w:pStyle w:val="a3"/>
              <w:spacing w:before="0" w:beforeAutospacing="0" w:after="0" w:afterAutospacing="0"/>
              <w:jc w:val="right"/>
              <w:rPr>
                <w:sz w:val="18"/>
                <w:szCs w:val="18"/>
              </w:rPr>
            </w:pPr>
            <w:r>
              <w:rPr>
                <w:sz w:val="18"/>
                <w:szCs w:val="18"/>
              </w:rPr>
              <w:t>—</w:t>
            </w:r>
          </w:p>
        </w:tc>
        <w:tc>
          <w:tcPr>
            <w:tcW w:w="0" w:type="auto"/>
            <w:noWrap/>
            <w:vAlign w:val="bottom"/>
            <w:hideMark/>
          </w:tcPr>
          <w:p w14:paraId="5BFC8D7D" w14:textId="77777777" w:rsidR="00000000" w:rsidRDefault="003A1B5D">
            <w:pPr>
              <w:pStyle w:val="a3"/>
              <w:spacing w:before="0" w:beforeAutospacing="0" w:after="0" w:afterAutospacing="0"/>
              <w:rPr>
                <w:sz w:val="18"/>
                <w:szCs w:val="18"/>
              </w:rPr>
            </w:pPr>
            <w:r>
              <w:rPr>
                <w:sz w:val="18"/>
                <w:szCs w:val="18"/>
              </w:rPr>
              <w:t> </w:t>
            </w:r>
          </w:p>
        </w:tc>
        <w:tc>
          <w:tcPr>
            <w:tcW w:w="0" w:type="auto"/>
            <w:vAlign w:val="bottom"/>
            <w:hideMark/>
          </w:tcPr>
          <w:p w14:paraId="02CCEDF3" w14:textId="77777777" w:rsidR="00000000" w:rsidRDefault="003A1B5D">
            <w:pPr>
              <w:pStyle w:val="a3"/>
              <w:spacing w:before="0" w:beforeAutospacing="0" w:after="0" w:afterAutospacing="0"/>
              <w:rPr>
                <w:sz w:val="18"/>
                <w:szCs w:val="18"/>
              </w:rPr>
            </w:pPr>
            <w:r>
              <w:rPr>
                <w:sz w:val="18"/>
                <w:szCs w:val="18"/>
              </w:rPr>
              <w:t> </w:t>
            </w:r>
          </w:p>
        </w:tc>
        <w:tc>
          <w:tcPr>
            <w:tcW w:w="0" w:type="auto"/>
            <w:noWrap/>
            <w:vAlign w:val="bottom"/>
            <w:hideMark/>
          </w:tcPr>
          <w:p w14:paraId="0AD12838" w14:textId="77777777" w:rsidR="00000000" w:rsidRDefault="003A1B5D">
            <w:pPr>
              <w:pStyle w:val="a3"/>
              <w:spacing w:before="0" w:beforeAutospacing="0" w:after="0" w:afterAutospacing="0"/>
              <w:rPr>
                <w:sz w:val="18"/>
                <w:szCs w:val="18"/>
              </w:rPr>
            </w:pPr>
            <w:r>
              <w:rPr>
                <w:sz w:val="18"/>
                <w:szCs w:val="18"/>
              </w:rPr>
              <w:t>$</w:t>
            </w:r>
          </w:p>
        </w:tc>
        <w:tc>
          <w:tcPr>
            <w:tcW w:w="0" w:type="auto"/>
            <w:vAlign w:val="bottom"/>
            <w:hideMark/>
          </w:tcPr>
          <w:p w14:paraId="1500B4E1" w14:textId="77777777" w:rsidR="00000000" w:rsidRDefault="003A1B5D">
            <w:pPr>
              <w:pStyle w:val="a3"/>
              <w:spacing w:before="0" w:beforeAutospacing="0" w:after="0" w:afterAutospacing="0"/>
              <w:jc w:val="right"/>
              <w:rPr>
                <w:sz w:val="20"/>
                <w:szCs w:val="20"/>
              </w:rPr>
            </w:pPr>
            <w:r>
              <w:rPr>
                <w:sz w:val="18"/>
                <w:szCs w:val="18"/>
              </w:rPr>
              <w:t>1,339,35</w:t>
            </w:r>
            <w:r>
              <w:rPr>
                <w:sz w:val="18"/>
                <w:szCs w:val="18"/>
              </w:rPr>
              <w:t>8</w:t>
            </w:r>
          </w:p>
        </w:tc>
        <w:tc>
          <w:tcPr>
            <w:tcW w:w="0" w:type="auto"/>
            <w:noWrap/>
            <w:vAlign w:val="bottom"/>
            <w:hideMark/>
          </w:tcPr>
          <w:p w14:paraId="5727DF9D" w14:textId="77777777" w:rsidR="00000000" w:rsidRDefault="003A1B5D">
            <w:pPr>
              <w:pStyle w:val="a3"/>
              <w:spacing w:before="0" w:beforeAutospacing="0" w:after="0" w:afterAutospacing="0"/>
              <w:rPr>
                <w:sz w:val="18"/>
                <w:szCs w:val="18"/>
              </w:rPr>
            </w:pPr>
            <w:r>
              <w:rPr>
                <w:sz w:val="18"/>
                <w:szCs w:val="18"/>
              </w:rPr>
              <w:t> </w:t>
            </w:r>
          </w:p>
        </w:tc>
      </w:tr>
    </w:tbl>
    <w:p w14:paraId="1D8EFED3" w14:textId="77777777" w:rsidR="00000000" w:rsidRDefault="003A1B5D">
      <w:pPr>
        <w:pStyle w:val="a3"/>
        <w:spacing w:before="0" w:beforeAutospacing="0" w:after="0" w:afterAutospacing="0"/>
        <w:rPr>
          <w:sz w:val="20"/>
          <w:szCs w:val="20"/>
        </w:rPr>
      </w:pPr>
      <w:r>
        <w:rPr>
          <w:sz w:val="20"/>
          <w:szCs w:val="20"/>
        </w:rPr>
        <w:t> </w:t>
      </w:r>
    </w:p>
    <w:p w14:paraId="11D2AF5C" w14:textId="77777777" w:rsidR="00000000" w:rsidRDefault="003A1B5D">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14:paraId="5A9E1391" w14:textId="77777777" w:rsidR="00000000" w:rsidRDefault="003A1B5D">
      <w:pPr>
        <w:pStyle w:val="a3"/>
        <w:spacing w:before="0" w:beforeAutospacing="0" w:after="0" w:afterAutospacing="0"/>
        <w:jc w:val="center"/>
        <w:rPr>
          <w:sz w:val="20"/>
          <w:szCs w:val="20"/>
        </w:rPr>
      </w:pPr>
      <w:r>
        <w:rPr>
          <w:sz w:val="20"/>
          <w:szCs w:val="20"/>
        </w:rPr>
        <w:t> </w:t>
      </w:r>
    </w:p>
    <w:p w14:paraId="7D6195E3" w14:textId="77777777" w:rsidR="00000000" w:rsidRDefault="003A1B5D">
      <w:pPr>
        <w:pStyle w:val="a3"/>
        <w:spacing w:before="240" w:beforeAutospacing="0" w:after="0" w:afterAutospacing="0"/>
        <w:jc w:val="center"/>
        <w:rPr>
          <w:sz w:val="20"/>
          <w:szCs w:val="20"/>
        </w:rPr>
      </w:pPr>
      <w:r>
        <w:rPr>
          <w:sz w:val="20"/>
          <w:szCs w:val="20"/>
        </w:rPr>
        <w:t>5</w:t>
      </w:r>
    </w:p>
    <w:p w14:paraId="23C01B1B" w14:textId="77777777" w:rsidR="00000000" w:rsidRDefault="003A1B5D">
      <w:pPr>
        <w:rPr>
          <w:rFonts w:eastAsia="Times New Roman"/>
        </w:rPr>
      </w:pPr>
      <w:r>
        <w:rPr>
          <w:rFonts w:eastAsia="Times New Roman"/>
        </w:rPr>
        <w:pict w14:anchorId="6F5F4094">
          <v:rect id="_x0000_i1031" style="width:0;height:1.5pt" o:hralign="center" o:hrstd="t" o:hr="t" fillcolor="#a0a0a0" stroked="f"/>
        </w:pict>
      </w:r>
    </w:p>
    <w:p w14:paraId="1BDC952E" w14:textId="77777777" w:rsidR="00000000" w:rsidRDefault="003A1B5D">
      <w:pPr>
        <w:pStyle w:val="a3"/>
        <w:spacing w:before="0" w:beforeAutospacing="0" w:after="0" w:afterAutospacing="0"/>
        <w:rPr>
          <w:sz w:val="20"/>
          <w:szCs w:val="20"/>
        </w:rPr>
      </w:pPr>
      <w:r>
        <w:rPr>
          <w:sz w:val="20"/>
          <w:szCs w:val="20"/>
        </w:rPr>
        <w:t> </w:t>
      </w:r>
    </w:p>
    <w:p w14:paraId="7853CC4A" w14:textId="77777777" w:rsidR="00000000" w:rsidRDefault="003A1B5D">
      <w:pPr>
        <w:pStyle w:val="a3"/>
        <w:spacing w:before="0" w:beforeAutospacing="0" w:after="0" w:afterAutospacing="0"/>
        <w:jc w:val="center"/>
        <w:rPr>
          <w:sz w:val="20"/>
          <w:szCs w:val="20"/>
        </w:rPr>
      </w:pPr>
      <w:r>
        <w:rPr>
          <w:b/>
          <w:bCs/>
          <w:sz w:val="20"/>
          <w:szCs w:val="20"/>
        </w:rPr>
        <w:t>CORECIVIC, INC. AND SUBSIDIARIE</w:t>
      </w:r>
      <w:r>
        <w:rPr>
          <w:b/>
          <w:bCs/>
          <w:sz w:val="20"/>
          <w:szCs w:val="20"/>
        </w:rPr>
        <w:t>S</w:t>
      </w:r>
    </w:p>
    <w:p w14:paraId="41D13722" w14:textId="77777777" w:rsidR="00000000" w:rsidRDefault="003A1B5D">
      <w:pPr>
        <w:pStyle w:val="a3"/>
        <w:spacing w:before="0" w:beforeAutospacing="0" w:after="0" w:afterAutospacing="0"/>
        <w:jc w:val="center"/>
        <w:rPr>
          <w:sz w:val="20"/>
          <w:szCs w:val="20"/>
        </w:rPr>
      </w:pPr>
      <w:r>
        <w:rPr>
          <w:sz w:val="20"/>
          <w:szCs w:val="20"/>
        </w:rPr>
        <w:t> </w:t>
      </w:r>
    </w:p>
    <w:p w14:paraId="123CDDC2" w14:textId="77777777" w:rsidR="00000000" w:rsidRDefault="003A1B5D">
      <w:pPr>
        <w:pStyle w:val="a3"/>
        <w:spacing w:before="0" w:beforeAutospacing="0" w:after="0" w:afterAutospacing="0"/>
        <w:jc w:val="center"/>
        <w:rPr>
          <w:sz w:val="20"/>
          <w:szCs w:val="20"/>
        </w:rPr>
      </w:pPr>
      <w:r>
        <w:rPr>
          <w:b/>
          <w:bCs/>
          <w:sz w:val="20"/>
          <w:szCs w:val="20"/>
        </w:rPr>
        <w:t>NOTES TO CONSOLIDATED FINA</w:t>
      </w:r>
      <w:r>
        <w:rPr>
          <w:b/>
          <w:bCs/>
          <w:sz w:val="20"/>
          <w:szCs w:val="20"/>
        </w:rPr>
        <w:t>N</w:t>
      </w:r>
      <w:r>
        <w:rPr>
          <w:b/>
          <w:bCs/>
          <w:sz w:val="20"/>
          <w:szCs w:val="20"/>
        </w:rPr>
        <w:t>CIAL STATEMENTS (UNAUDITED</w:t>
      </w:r>
      <w:r>
        <w:rPr>
          <w:b/>
          <w:bCs/>
          <w:sz w:val="20"/>
          <w:szCs w:val="20"/>
        </w:rPr>
        <w:t>)</w:t>
      </w:r>
    </w:p>
    <w:p w14:paraId="44141D1D" w14:textId="77777777" w:rsidR="00000000" w:rsidRDefault="003A1B5D">
      <w:pPr>
        <w:pStyle w:val="a3"/>
        <w:spacing w:before="0" w:beforeAutospacing="0" w:after="0" w:afterAutospacing="0"/>
        <w:jc w:val="center"/>
        <w:rPr>
          <w:sz w:val="20"/>
          <w:szCs w:val="20"/>
        </w:rPr>
      </w:pPr>
      <w:r>
        <w:rPr>
          <w:sz w:val="20"/>
          <w:szCs w:val="20"/>
        </w:rPr>
        <w:t> </w:t>
      </w:r>
    </w:p>
    <w:p w14:paraId="52ADBFDE" w14:textId="77777777" w:rsidR="00000000" w:rsidRDefault="003A1B5D">
      <w:pPr>
        <w:pStyle w:val="a3"/>
        <w:spacing w:before="0" w:beforeAutospacing="0" w:after="0" w:afterAutospacing="0"/>
        <w:jc w:val="center"/>
        <w:rPr>
          <w:sz w:val="20"/>
          <w:szCs w:val="20"/>
        </w:rPr>
      </w:pPr>
      <w:r>
        <w:rPr>
          <w:b/>
          <w:bCs/>
          <w:sz w:val="20"/>
          <w:szCs w:val="20"/>
        </w:rPr>
        <w:t>SEPTEMBER 30, 202</w:t>
      </w:r>
      <w:r>
        <w:rPr>
          <w:b/>
          <w:bCs/>
          <w:sz w:val="20"/>
          <w:szCs w:val="20"/>
        </w:rPr>
        <w:t>2</w:t>
      </w:r>
    </w:p>
    <w:p w14:paraId="6EA69BC9" w14:textId="77777777" w:rsidR="00000000" w:rsidRDefault="003A1B5D">
      <w:pPr>
        <w:pStyle w:val="a3"/>
        <w:spacing w:before="0" w:beforeAutospacing="0" w:after="0" w:afterAutospacing="0"/>
        <w:jc w:val="center"/>
        <w:rPr>
          <w:sz w:val="20"/>
          <w:szCs w:val="20"/>
        </w:rPr>
      </w:pPr>
      <w:r>
        <w:rPr>
          <w:sz w:val="20"/>
          <w:szCs w:val="20"/>
        </w:rPr>
        <w:t> </w:t>
      </w:r>
    </w:p>
    <w:p w14:paraId="08B35CB1" w14:textId="77777777" w:rsidR="00000000" w:rsidRDefault="003A1B5D">
      <w:pPr>
        <w:jc w:val="both"/>
        <w:divId w:val="1156192218"/>
        <w:rPr>
          <w:rFonts w:eastAsia="Times New Roman"/>
          <w:sz w:val="20"/>
          <w:szCs w:val="20"/>
        </w:rPr>
      </w:pPr>
      <w:r>
        <w:rPr>
          <w:rFonts w:eastAsia="Times New Roman"/>
          <w:b/>
          <w:bCs/>
          <w:sz w:val="20"/>
          <w:szCs w:val="20"/>
        </w:rPr>
        <w:t>1</w:t>
      </w:r>
      <w:r>
        <w:rPr>
          <w:rFonts w:eastAsia="Times New Roman"/>
          <w:b/>
          <w:bCs/>
          <w:sz w:val="20"/>
          <w:szCs w:val="20"/>
        </w:rPr>
        <w:t>.</w:t>
      </w:r>
    </w:p>
    <w:p w14:paraId="63F7B0B7" w14:textId="77777777" w:rsidR="00000000" w:rsidRDefault="003A1B5D">
      <w:pPr>
        <w:jc w:val="both"/>
        <w:divId w:val="1649020514"/>
        <w:rPr>
          <w:rFonts w:eastAsia="Times New Roman"/>
          <w:sz w:val="20"/>
          <w:szCs w:val="20"/>
        </w:rPr>
      </w:pPr>
      <w:r>
        <w:rPr>
          <w:rFonts w:eastAsia="Times New Roman"/>
          <w:b/>
          <w:bCs/>
          <w:sz w:val="20"/>
          <w:szCs w:val="20"/>
        </w:rPr>
        <w:t>ORGANIZATION AND OPERATION</w:t>
      </w:r>
      <w:r>
        <w:rPr>
          <w:rFonts w:eastAsia="Times New Roman"/>
          <w:b/>
          <w:bCs/>
          <w:sz w:val="20"/>
          <w:szCs w:val="20"/>
        </w:rPr>
        <w:t>S</w:t>
      </w:r>
    </w:p>
    <w:p w14:paraId="30434216" w14:textId="77777777" w:rsidR="00000000" w:rsidRDefault="003A1B5D">
      <w:pPr>
        <w:pStyle w:val="a3"/>
        <w:spacing w:before="120" w:beforeAutospacing="0" w:after="0" w:afterAutospacing="0"/>
        <w:ind w:left="476"/>
        <w:jc w:val="both"/>
        <w:divId w:val="1156192218"/>
        <w:rPr>
          <w:sz w:val="20"/>
          <w:szCs w:val="20"/>
        </w:rPr>
      </w:pPr>
      <w:r>
        <w:rPr>
          <w:sz w:val="20"/>
          <w:szCs w:val="20"/>
        </w:rPr>
        <w:t>CoreCivic, Inc. (together with its subsidiaries, the "Company" or "CoreCiv</w:t>
      </w:r>
      <w:r>
        <w:rPr>
          <w:sz w:val="20"/>
          <w:szCs w:val="20"/>
        </w:rPr>
        <w:t>ic") is the nation's largest owner of partnership correctional, detention, and residential reentry facilities and one of the largest prison operators in the United States ("U.S."). The Company also believes it is the largest private owner of real estate us</w:t>
      </w:r>
      <w:r>
        <w:rPr>
          <w:sz w:val="20"/>
          <w:szCs w:val="20"/>
        </w:rPr>
        <w:t>ed by government agencies in the U.S. Through</w:t>
      </w:r>
      <w:r>
        <w:rPr>
          <w:sz w:val="20"/>
          <w:szCs w:val="20"/>
        </w:rPr>
        <w:t xml:space="preserve"> </w:t>
      </w:r>
      <w:r>
        <w:rPr>
          <w:sz w:val="20"/>
          <w:szCs w:val="20"/>
        </w:rPr>
        <w:t>thre</w:t>
      </w:r>
      <w:r>
        <w:rPr>
          <w:sz w:val="20"/>
          <w:szCs w:val="20"/>
        </w:rPr>
        <w:t>e</w:t>
      </w:r>
      <w:r>
        <w:rPr>
          <w:sz w:val="20"/>
          <w:szCs w:val="20"/>
        </w:rPr>
        <w:t xml:space="preserve"> segments, CoreCivic Safety, CoreCivic Community, and CoreCivic Properties, the Company provides a broad range of solutions to government partners that serve the public good through corrections and detenti</w:t>
      </w:r>
      <w:r>
        <w:rPr>
          <w:sz w:val="20"/>
          <w:szCs w:val="20"/>
        </w:rPr>
        <w:t>on management, a network of residential reentry centers to help address America's recidivism crisis, and government real estate solutions. As of</w:t>
      </w:r>
      <w:r>
        <w:rPr>
          <w:sz w:val="20"/>
          <w:szCs w:val="20"/>
        </w:rPr>
        <w:t xml:space="preserve"> </w:t>
      </w:r>
      <w:r>
        <w:rPr>
          <w:sz w:val="20"/>
          <w:szCs w:val="20"/>
        </w:rPr>
        <w:t>September 30, 2022, through its CoreCivic Safety segment, the Company operated</w:t>
      </w:r>
      <w:r>
        <w:rPr>
          <w:sz w:val="20"/>
          <w:szCs w:val="20"/>
        </w:rPr>
        <w:t xml:space="preserve"> </w:t>
      </w:r>
      <w:r>
        <w:rPr>
          <w:sz w:val="20"/>
          <w:szCs w:val="20"/>
        </w:rPr>
        <w:t>4</w:t>
      </w:r>
      <w:r>
        <w:rPr>
          <w:sz w:val="20"/>
          <w:szCs w:val="20"/>
        </w:rPr>
        <w:t>5</w:t>
      </w:r>
      <w:r>
        <w:rPr>
          <w:sz w:val="20"/>
          <w:szCs w:val="20"/>
        </w:rPr>
        <w:t xml:space="preserve"> correctional and detention fa</w:t>
      </w:r>
      <w:r>
        <w:rPr>
          <w:sz w:val="20"/>
          <w:szCs w:val="20"/>
        </w:rPr>
        <w:t>cilities,</w:t>
      </w:r>
      <w:r>
        <w:rPr>
          <w:sz w:val="20"/>
          <w:szCs w:val="20"/>
        </w:rPr>
        <w:t xml:space="preserve"> </w:t>
      </w:r>
      <w:r>
        <w:rPr>
          <w:sz w:val="20"/>
          <w:szCs w:val="20"/>
        </w:rPr>
        <w:t>4</w:t>
      </w:r>
      <w:r>
        <w:rPr>
          <w:sz w:val="20"/>
          <w:szCs w:val="20"/>
        </w:rPr>
        <w:t>0</w:t>
      </w:r>
      <w:r>
        <w:rPr>
          <w:sz w:val="20"/>
          <w:szCs w:val="20"/>
        </w:rPr>
        <w:t xml:space="preserve"> of which the Company owned, with a total design capacity of approximately</w:t>
      </w:r>
      <w:r>
        <w:rPr>
          <w:sz w:val="20"/>
          <w:szCs w:val="20"/>
        </w:rPr>
        <w:t xml:space="preserve"> </w:t>
      </w:r>
      <w:r>
        <w:rPr>
          <w:sz w:val="20"/>
          <w:szCs w:val="20"/>
        </w:rPr>
        <w:t>68,00</w:t>
      </w:r>
      <w:r>
        <w:rPr>
          <w:sz w:val="20"/>
          <w:szCs w:val="20"/>
        </w:rPr>
        <w:t>0</w:t>
      </w:r>
      <w:r>
        <w:rPr>
          <w:sz w:val="20"/>
          <w:szCs w:val="20"/>
        </w:rPr>
        <w:t xml:space="preserve"> beds. Through its CoreCivic Community segment, the Company owned and operated</w:t>
      </w:r>
      <w:r>
        <w:rPr>
          <w:sz w:val="20"/>
          <w:szCs w:val="20"/>
        </w:rPr>
        <w:t xml:space="preserve"> </w:t>
      </w:r>
      <w:r>
        <w:rPr>
          <w:sz w:val="20"/>
          <w:szCs w:val="20"/>
        </w:rPr>
        <w:t>2</w:t>
      </w:r>
      <w:r>
        <w:rPr>
          <w:sz w:val="20"/>
          <w:szCs w:val="20"/>
        </w:rPr>
        <w:t>4</w:t>
      </w:r>
      <w:r>
        <w:rPr>
          <w:sz w:val="20"/>
          <w:szCs w:val="20"/>
        </w:rPr>
        <w:t xml:space="preserve"> residential reentry centers with a total design capacity of approximately</w:t>
      </w:r>
      <w:r>
        <w:rPr>
          <w:sz w:val="20"/>
          <w:szCs w:val="20"/>
        </w:rPr>
        <w:t xml:space="preserve"> </w:t>
      </w:r>
      <w:r>
        <w:rPr>
          <w:sz w:val="20"/>
          <w:szCs w:val="20"/>
        </w:rPr>
        <w:t>5,00</w:t>
      </w:r>
      <w:r>
        <w:rPr>
          <w:sz w:val="20"/>
          <w:szCs w:val="20"/>
        </w:rPr>
        <w:t>0</w:t>
      </w:r>
      <w:r>
        <w:rPr>
          <w:sz w:val="20"/>
          <w:szCs w:val="20"/>
        </w:rPr>
        <w:t xml:space="preserve"> b</w:t>
      </w:r>
      <w:r>
        <w:rPr>
          <w:sz w:val="20"/>
          <w:szCs w:val="20"/>
        </w:rPr>
        <w:t>eds. In addition, through its CoreCivic Properties segment, the Company owned</w:t>
      </w:r>
      <w:r>
        <w:rPr>
          <w:sz w:val="20"/>
          <w:szCs w:val="20"/>
        </w:rPr>
        <w:t xml:space="preserve"> </w:t>
      </w:r>
      <w:r>
        <w:rPr>
          <w:sz w:val="20"/>
          <w:szCs w:val="20"/>
        </w:rPr>
        <w:t>8</w:t>
      </w:r>
      <w:r>
        <w:rPr>
          <w:sz w:val="20"/>
          <w:szCs w:val="20"/>
        </w:rPr>
        <w:t xml:space="preserve"> properties for lease to third parties and used by government agencies, totaling</w:t>
      </w:r>
      <w:r>
        <w:rPr>
          <w:sz w:val="20"/>
          <w:szCs w:val="20"/>
        </w:rPr>
        <w:t xml:space="preserve"> </w:t>
      </w:r>
      <w:r>
        <w:rPr>
          <w:sz w:val="20"/>
          <w:szCs w:val="20"/>
        </w:rPr>
        <w:t>1.</w:t>
      </w:r>
      <w:r>
        <w:rPr>
          <w:sz w:val="20"/>
          <w:szCs w:val="20"/>
        </w:rPr>
        <w:t>8</w:t>
      </w:r>
      <w:r>
        <w:rPr>
          <w:sz w:val="20"/>
          <w:szCs w:val="20"/>
        </w:rPr>
        <w:t xml:space="preserve"> millio</w:t>
      </w:r>
      <w:r>
        <w:rPr>
          <w:sz w:val="20"/>
          <w:szCs w:val="20"/>
        </w:rPr>
        <w:t>n</w:t>
      </w:r>
      <w:r>
        <w:rPr>
          <w:sz w:val="20"/>
          <w:szCs w:val="20"/>
        </w:rPr>
        <w:t xml:space="preserve"> square feet</w:t>
      </w:r>
      <w:r>
        <w:rPr>
          <w:sz w:val="20"/>
          <w:szCs w:val="20"/>
        </w:rPr>
        <w:t>.</w:t>
      </w:r>
      <w:r>
        <w:rPr>
          <w:sz w:val="20"/>
          <w:szCs w:val="20"/>
        </w:rPr>
        <w:t xml:space="preserve"> </w:t>
      </w:r>
    </w:p>
    <w:p w14:paraId="1F4B0529" w14:textId="77777777" w:rsidR="00000000" w:rsidRDefault="003A1B5D">
      <w:pPr>
        <w:pStyle w:val="a3"/>
        <w:spacing w:before="240" w:beforeAutospacing="0" w:after="0" w:afterAutospacing="0"/>
        <w:ind w:left="476"/>
        <w:jc w:val="both"/>
        <w:divId w:val="1156192218"/>
        <w:rPr>
          <w:sz w:val="20"/>
          <w:szCs w:val="20"/>
        </w:rPr>
      </w:pPr>
      <w:r>
        <w:rPr>
          <w:sz w:val="20"/>
          <w:szCs w:val="20"/>
        </w:rPr>
        <w:t>In addition to providing fundamental residential services, CoreCivic's</w:t>
      </w:r>
      <w:r>
        <w:rPr>
          <w:sz w:val="20"/>
          <w:szCs w:val="20"/>
        </w:rPr>
        <w:t xml:space="preserve"> correctional, detention, and reentry facilities offer a variety of rehabilitation and educational programs, including basic education, faith-based services, life skills and employment training, and substance abuse treatment. These services are intended to</w:t>
      </w:r>
      <w:r>
        <w:rPr>
          <w:sz w:val="20"/>
          <w:szCs w:val="20"/>
        </w:rPr>
        <w:t xml:space="preserve"> help reduce recidivism and to prepare offenders for their successful reentry into society upon their release. CoreCivic also provides or makes available to offenders certain health care (including medical, dental, and mental health services), food service</w:t>
      </w:r>
      <w:r>
        <w:rPr>
          <w:sz w:val="20"/>
          <w:szCs w:val="20"/>
        </w:rPr>
        <w:t>s, and work and recreational programs</w:t>
      </w:r>
      <w:r>
        <w:rPr>
          <w:sz w:val="20"/>
          <w:szCs w:val="20"/>
        </w:rPr>
        <w:t>.</w:t>
      </w:r>
    </w:p>
    <w:p w14:paraId="1C11AE18" w14:textId="77777777" w:rsidR="00000000" w:rsidRDefault="003A1B5D">
      <w:pPr>
        <w:pStyle w:val="a3"/>
        <w:spacing w:before="0" w:beforeAutospacing="0" w:after="0" w:afterAutospacing="0"/>
        <w:rPr>
          <w:sz w:val="20"/>
          <w:szCs w:val="20"/>
        </w:rPr>
      </w:pPr>
      <w:r>
        <w:rPr>
          <w:sz w:val="20"/>
          <w:szCs w:val="20"/>
        </w:rPr>
        <w:t> </w:t>
      </w:r>
    </w:p>
    <w:p w14:paraId="6D508B09" w14:textId="77777777" w:rsidR="00000000" w:rsidRDefault="003A1B5D">
      <w:pPr>
        <w:divId w:val="2144542517"/>
        <w:rPr>
          <w:rFonts w:eastAsia="Times New Roman"/>
        </w:rPr>
      </w:pPr>
      <w:r>
        <w:rPr>
          <w:rFonts w:eastAsia="Times New Roman"/>
          <w:b/>
          <w:bCs/>
          <w:sz w:val="20"/>
          <w:szCs w:val="20"/>
        </w:rPr>
        <w:t>2</w:t>
      </w:r>
      <w:r>
        <w:rPr>
          <w:rFonts w:eastAsia="Times New Roman"/>
          <w:b/>
          <w:bCs/>
          <w:sz w:val="20"/>
          <w:szCs w:val="20"/>
        </w:rPr>
        <w:t>.</w:t>
      </w:r>
    </w:p>
    <w:p w14:paraId="45F2BA93" w14:textId="77777777" w:rsidR="00000000" w:rsidRDefault="003A1B5D">
      <w:pPr>
        <w:divId w:val="249194426"/>
        <w:rPr>
          <w:rFonts w:eastAsia="Times New Roman"/>
        </w:rPr>
      </w:pPr>
      <w:r>
        <w:rPr>
          <w:rFonts w:eastAsia="Times New Roman"/>
          <w:b/>
          <w:bCs/>
          <w:sz w:val="20"/>
          <w:szCs w:val="20"/>
        </w:rPr>
        <w:t>BASIS OF PRESENTATION AND SUMMARY OF SIGNIFICANT ACCOUNTING POLICIE</w:t>
      </w:r>
      <w:r>
        <w:rPr>
          <w:rFonts w:eastAsia="Times New Roman"/>
          <w:b/>
          <w:bCs/>
          <w:sz w:val="20"/>
          <w:szCs w:val="20"/>
        </w:rPr>
        <w:t>S</w:t>
      </w:r>
    </w:p>
    <w:p w14:paraId="0BEC7F3C" w14:textId="77777777" w:rsidR="00000000" w:rsidRDefault="003A1B5D">
      <w:pPr>
        <w:pStyle w:val="a3"/>
        <w:spacing w:before="0" w:beforeAutospacing="0" w:after="0" w:afterAutospacing="0"/>
        <w:jc w:val="both"/>
        <w:divId w:val="1083062061"/>
        <w:rPr>
          <w:sz w:val="20"/>
          <w:szCs w:val="20"/>
        </w:rPr>
      </w:pPr>
      <w:r>
        <w:rPr>
          <w:sz w:val="20"/>
          <w:szCs w:val="20"/>
        </w:rPr>
        <w:t> </w:t>
      </w:r>
    </w:p>
    <w:p w14:paraId="0AD9CE82" w14:textId="77777777" w:rsidR="00000000" w:rsidRDefault="003A1B5D">
      <w:pPr>
        <w:pStyle w:val="a3"/>
        <w:spacing w:before="0" w:beforeAutospacing="0" w:after="0" w:afterAutospacing="0"/>
        <w:ind w:left="476"/>
        <w:jc w:val="both"/>
        <w:divId w:val="1083062061"/>
        <w:rPr>
          <w:sz w:val="20"/>
          <w:szCs w:val="20"/>
        </w:rPr>
      </w:pPr>
      <w:r>
        <w:rPr>
          <w:sz w:val="20"/>
          <w:szCs w:val="20"/>
        </w:rPr>
        <w:t>The accompanying unaudited interim consolidated financial statements have been prepared by the Company and, in the opinion of management, ref</w:t>
      </w:r>
      <w:r>
        <w:rPr>
          <w:sz w:val="20"/>
          <w:szCs w:val="20"/>
        </w:rPr>
        <w:t>lect all normal recurring adjustments necessary for a fair presentation of results for the unaudited interim periods presented. Certain information and footnote disclosures normally included in financial statements prepared in accordance with U.S. generall</w:t>
      </w:r>
      <w:r>
        <w:rPr>
          <w:sz w:val="20"/>
          <w:szCs w:val="20"/>
        </w:rPr>
        <w:t>y accepted accounting principles have been condensed or omitted. The results of operations for the interim period are not necessarily indicative of the results to be obtained for the full fiscal year. Reference is made to the audited financial statements o</w:t>
      </w:r>
      <w:r>
        <w:rPr>
          <w:sz w:val="20"/>
          <w:szCs w:val="20"/>
        </w:rPr>
        <w:t>f CoreCivic included in its Annual Report on Form 10-K for the year ended December 31, 2021 filed with the Securities and Exchange Commission (the "SEC") on February 18, 2022 (the "2021 Form 10-K") with respect to certain significant accounting and financi</w:t>
      </w:r>
      <w:r>
        <w:rPr>
          <w:sz w:val="20"/>
          <w:szCs w:val="20"/>
        </w:rPr>
        <w:t>al reporting policies as well as other pertinent information of the Company</w:t>
      </w:r>
      <w:r>
        <w:rPr>
          <w:sz w:val="20"/>
          <w:szCs w:val="20"/>
        </w:rPr>
        <w:t>.</w:t>
      </w:r>
      <w:r>
        <w:rPr>
          <w:sz w:val="20"/>
          <w:szCs w:val="20"/>
        </w:rPr>
        <w:t xml:space="preserve"> </w:t>
      </w:r>
    </w:p>
    <w:p w14:paraId="60D3FD0F" w14:textId="77777777" w:rsidR="00000000" w:rsidRDefault="003A1B5D">
      <w:pPr>
        <w:pStyle w:val="a3"/>
        <w:spacing w:before="360" w:beforeAutospacing="0" w:after="0" w:afterAutospacing="0"/>
        <w:ind w:left="476"/>
        <w:jc w:val="both"/>
        <w:divId w:val="860239036"/>
        <w:rPr>
          <w:sz w:val="20"/>
          <w:szCs w:val="20"/>
        </w:rPr>
      </w:pPr>
      <w:r>
        <w:rPr>
          <w:b/>
          <w:bCs/>
          <w:sz w:val="20"/>
          <w:szCs w:val="20"/>
        </w:rPr>
        <w:t>Risks and Uncertaintie</w:t>
      </w:r>
      <w:r>
        <w:rPr>
          <w:b/>
          <w:bCs/>
          <w:sz w:val="20"/>
          <w:szCs w:val="20"/>
        </w:rPr>
        <w:t>s</w:t>
      </w:r>
    </w:p>
    <w:p w14:paraId="3FA00C41" w14:textId="77777777" w:rsidR="00000000" w:rsidRDefault="003A1B5D">
      <w:pPr>
        <w:pStyle w:val="a3"/>
        <w:spacing w:before="240" w:beforeAutospacing="0" w:after="0" w:afterAutospacing="0"/>
        <w:ind w:left="476"/>
        <w:jc w:val="both"/>
        <w:divId w:val="860239036"/>
        <w:rPr>
          <w:sz w:val="20"/>
          <w:szCs w:val="20"/>
        </w:rPr>
      </w:pPr>
      <w:r>
        <w:rPr>
          <w:sz w:val="20"/>
          <w:szCs w:val="20"/>
        </w:rPr>
        <w:t xml:space="preserve">On January 26, 2021, President Biden issued the Executive Order on Reforming Our Incarceration System to Eliminate the Use of Privately Operated Criminal Detention Facilities ("Private Prison EO"). The Private Prison EO directs the Attorney General to not </w:t>
      </w:r>
      <w:r>
        <w:rPr>
          <w:sz w:val="20"/>
          <w:szCs w:val="20"/>
        </w:rPr>
        <w:t>renew United States Department of Justice ("DOJ") contracts with privately operated criminal detention facilities. Two agencies of the DOJ, the United States Marshals Service ("USMS") and the Federal Bureau of Prisons ("BOP"), utilize CoreCivic's services.</w:t>
      </w:r>
      <w:r>
        <w:rPr>
          <w:sz w:val="20"/>
          <w:szCs w:val="20"/>
        </w:rPr>
        <w:t xml:space="preserve"> U.S. Immigration and Customs Enforcement ("ICE") facilities are not covered by the Private Prison EO, as ICE is an agency of the Department of Homeland Security ("DHS"), not the DOJ, although it is possible that the federal government could choose to take</w:t>
      </w:r>
      <w:r>
        <w:rPr>
          <w:sz w:val="20"/>
          <w:szCs w:val="20"/>
        </w:rPr>
        <w:t xml:space="preserve"> similar action on ICE facilities in the future. CoreCivic currently ha</w:t>
      </w:r>
      <w:r>
        <w:rPr>
          <w:sz w:val="20"/>
          <w:szCs w:val="20"/>
        </w:rPr>
        <w:t>s</w:t>
      </w:r>
      <w:r>
        <w:rPr>
          <w:sz w:val="20"/>
          <w:szCs w:val="20"/>
        </w:rPr>
        <w:t xml:space="preserve"> two detention facilities that have direct contracts with the USMS</w:t>
      </w:r>
      <w:r>
        <w:rPr>
          <w:sz w:val="20"/>
          <w:szCs w:val="20"/>
        </w:rPr>
        <w:t xml:space="preserve"> </w:t>
      </w:r>
      <w:r>
        <w:rPr>
          <w:sz w:val="20"/>
          <w:szCs w:val="20"/>
        </w:rPr>
        <w:t xml:space="preserve">that expire in September 2023 and September 2025. The facility with the contract expiring in September 2023 services </w:t>
      </w:r>
      <w:r>
        <w:rPr>
          <w:sz w:val="20"/>
          <w:szCs w:val="20"/>
        </w:rPr>
        <w:t>a substantial number of USMS detainees that the Company believes will be challenging to replace, and the Company intends to work with the USMS to enable it to continue to fulfill its mission.</w:t>
      </w:r>
      <w:r>
        <w:rPr>
          <w:sz w:val="20"/>
          <w:szCs w:val="20"/>
        </w:rPr>
        <w:t xml:space="preserve"> </w:t>
      </w:r>
      <w:r>
        <w:rPr>
          <w:sz w:val="20"/>
          <w:szCs w:val="20"/>
        </w:rPr>
        <w:t>However, the Company can provide no assurance that this contract</w:t>
      </w:r>
      <w:r>
        <w:rPr>
          <w:sz w:val="20"/>
          <w:szCs w:val="20"/>
        </w:rPr>
        <w:t xml:space="preserve"> will be renewed or replaced upon expiration. It is too early to predict the outcome of the expiration of the contract scheduled to expire in September 2025, and future developments could occur prior to the scheduled expiration dat</w:t>
      </w:r>
      <w:r>
        <w:rPr>
          <w:sz w:val="20"/>
          <w:szCs w:val="20"/>
        </w:rPr>
        <w:t>e</w:t>
      </w:r>
      <w:r>
        <w:rPr>
          <w:sz w:val="20"/>
          <w:szCs w:val="20"/>
        </w:rPr>
        <w:t>.</w:t>
      </w:r>
      <w:r>
        <w:rPr>
          <w:sz w:val="20"/>
          <w:szCs w:val="20"/>
        </w:rPr>
        <w:t xml:space="preserve"> </w:t>
      </w:r>
    </w:p>
    <w:p w14:paraId="7A02F15A" w14:textId="77777777" w:rsidR="00000000" w:rsidRDefault="003A1B5D">
      <w:pPr>
        <w:pStyle w:val="a3"/>
        <w:spacing w:before="240" w:beforeAutospacing="0" w:after="0" w:afterAutospacing="0"/>
        <w:jc w:val="center"/>
        <w:divId w:val="860239036"/>
        <w:rPr>
          <w:sz w:val="20"/>
          <w:szCs w:val="20"/>
        </w:rPr>
      </w:pPr>
      <w:r>
        <w:rPr>
          <w:sz w:val="20"/>
          <w:szCs w:val="20"/>
        </w:rPr>
        <w:t>6</w:t>
      </w:r>
    </w:p>
    <w:p w14:paraId="5DF1FE6F" w14:textId="77777777" w:rsidR="00000000" w:rsidRDefault="003A1B5D">
      <w:pPr>
        <w:divId w:val="860239036"/>
        <w:rPr>
          <w:rFonts w:eastAsia="Times New Roman"/>
        </w:rPr>
      </w:pPr>
      <w:r>
        <w:rPr>
          <w:rFonts w:eastAsia="Times New Roman"/>
        </w:rPr>
        <w:pict w14:anchorId="343D53BE">
          <v:rect id="_x0000_i1032" style="width:0;height:1.5pt" o:hralign="center" o:hrstd="t" o:hr="t" fillcolor="#a0a0a0" stroked="f"/>
        </w:pict>
      </w:r>
    </w:p>
    <w:p w14:paraId="27BAC22A" w14:textId="77777777" w:rsidR="00000000" w:rsidRDefault="003A1B5D">
      <w:pPr>
        <w:pStyle w:val="a3"/>
        <w:spacing w:before="0" w:beforeAutospacing="0" w:after="0" w:afterAutospacing="0"/>
        <w:divId w:val="860239036"/>
        <w:rPr>
          <w:sz w:val="20"/>
          <w:szCs w:val="20"/>
        </w:rPr>
      </w:pPr>
      <w:r>
        <w:rPr>
          <w:sz w:val="20"/>
          <w:szCs w:val="20"/>
        </w:rPr>
        <w:t> </w:t>
      </w:r>
    </w:p>
    <w:p w14:paraId="42B796EE" w14:textId="77777777" w:rsidR="00000000" w:rsidRDefault="003A1B5D">
      <w:pPr>
        <w:pStyle w:val="a3"/>
        <w:spacing w:before="240" w:beforeAutospacing="0" w:after="0" w:afterAutospacing="0"/>
        <w:ind w:left="476"/>
        <w:jc w:val="both"/>
        <w:divId w:val="860239036"/>
        <w:rPr>
          <w:sz w:val="20"/>
          <w:szCs w:val="20"/>
        </w:rPr>
      </w:pPr>
      <w:r>
        <w:rPr>
          <w:sz w:val="20"/>
          <w:szCs w:val="20"/>
        </w:rPr>
        <w:t>As a result of the Private Prison EO, the Company</w:t>
      </w:r>
      <w:r>
        <w:rPr>
          <w:sz w:val="20"/>
          <w:szCs w:val="20"/>
        </w:rPr>
        <w:t xml:space="preserve"> </w:t>
      </w:r>
      <w:r>
        <w:rPr>
          <w:sz w:val="20"/>
          <w:szCs w:val="20"/>
        </w:rPr>
        <w:t>expects that CoreCivic's management contract with the BOP at the McRae Correctional Facility will not be renewed when it expires in November 2022. As further described in Note 4, the Com</w:t>
      </w:r>
      <w:r>
        <w:rPr>
          <w:sz w:val="20"/>
          <w:szCs w:val="20"/>
        </w:rPr>
        <w:t>pany completed the sale of the McRae facility in August 2022 to the Georgia Building Authority, and entered into an agreement to lease the facility through November 2022 to allow the Company to fulfill its obligations to the BOP.</w:t>
      </w:r>
      <w:r>
        <w:rPr>
          <w:sz w:val="20"/>
          <w:szCs w:val="20"/>
        </w:rPr>
        <w:t xml:space="preserve"> </w:t>
      </w:r>
      <w:r>
        <w:rPr>
          <w:sz w:val="20"/>
          <w:szCs w:val="20"/>
        </w:rPr>
        <w:t>During 2021, the Company h</w:t>
      </w:r>
      <w:r>
        <w:rPr>
          <w:sz w:val="20"/>
          <w:szCs w:val="20"/>
        </w:rPr>
        <w:t xml:space="preserve">ad four direct contracts with the USMS that expired and were not renewed. At one of these facilities, the Company entered into a new contract with a local government agency to utilize the beds previously contracted by the USMS. The local government agency </w:t>
      </w:r>
      <w:r>
        <w:rPr>
          <w:sz w:val="20"/>
          <w:szCs w:val="20"/>
        </w:rPr>
        <w:t>is responsible for County inmates and federal detainees, including USMS detainees, and the County is using the facility to address its population needs. At another of these facilities, the Company expanded a state contract to utilize the beds previously co</w:t>
      </w:r>
      <w:r>
        <w:rPr>
          <w:sz w:val="20"/>
          <w:szCs w:val="20"/>
        </w:rPr>
        <w:t>ntracted by the USMS. The remaining two facilities currently remain idle. The USMS and the BOP prison contracts accounted for</w:t>
      </w:r>
      <w:r>
        <w:rPr>
          <w:sz w:val="20"/>
          <w:szCs w:val="20"/>
        </w:rPr>
        <w:t xml:space="preserve"> </w:t>
      </w:r>
      <w:r>
        <w:rPr>
          <w:sz w:val="20"/>
          <w:szCs w:val="20"/>
        </w:rPr>
        <w:t>2</w:t>
      </w:r>
      <w:r>
        <w:rPr>
          <w:sz w:val="20"/>
          <w:szCs w:val="20"/>
        </w:rPr>
        <w:t>2</w:t>
      </w:r>
      <w:r>
        <w:rPr>
          <w:sz w:val="20"/>
          <w:szCs w:val="20"/>
        </w:rPr>
        <w:t>% and</w:t>
      </w:r>
      <w:r>
        <w:rPr>
          <w:sz w:val="20"/>
          <w:szCs w:val="20"/>
        </w:rPr>
        <w:t xml:space="preserve"> </w:t>
      </w:r>
      <w:r>
        <w:rPr>
          <w:sz w:val="20"/>
          <w:szCs w:val="20"/>
        </w:rPr>
        <w:t>2</w:t>
      </w:r>
      <w:r>
        <w:rPr>
          <w:sz w:val="20"/>
          <w:szCs w:val="20"/>
        </w:rPr>
        <w:t>%, respectively, of CoreCivic's total revenue for the nine months ended September 30, 2022, and</w:t>
      </w:r>
      <w:r>
        <w:rPr>
          <w:sz w:val="20"/>
          <w:szCs w:val="20"/>
        </w:rPr>
        <w:t xml:space="preserve"> </w:t>
      </w:r>
      <w:r>
        <w:rPr>
          <w:sz w:val="20"/>
          <w:szCs w:val="20"/>
        </w:rPr>
        <w:t>2</w:t>
      </w:r>
      <w:r>
        <w:rPr>
          <w:sz w:val="20"/>
          <w:szCs w:val="20"/>
        </w:rPr>
        <w:t>3</w:t>
      </w:r>
      <w:r>
        <w:rPr>
          <w:sz w:val="20"/>
          <w:szCs w:val="20"/>
        </w:rPr>
        <w:t>% and</w:t>
      </w:r>
      <w:r>
        <w:rPr>
          <w:sz w:val="20"/>
          <w:szCs w:val="20"/>
        </w:rPr>
        <w:t xml:space="preserve"> </w:t>
      </w:r>
      <w:r>
        <w:rPr>
          <w:sz w:val="20"/>
          <w:szCs w:val="20"/>
        </w:rPr>
        <w:t>2</w:t>
      </w:r>
      <w:r>
        <w:rPr>
          <w:sz w:val="20"/>
          <w:szCs w:val="20"/>
        </w:rPr>
        <w:t>%, respectively,</w:t>
      </w:r>
      <w:r>
        <w:rPr>
          <w:sz w:val="20"/>
          <w:szCs w:val="20"/>
        </w:rPr>
        <w:t xml:space="preserve"> of CoreCivic's total revenue for the year ended December 31, 2021</w:t>
      </w:r>
      <w:r>
        <w:rPr>
          <w:sz w:val="20"/>
          <w:szCs w:val="20"/>
        </w:rPr>
        <w:t>.</w:t>
      </w:r>
    </w:p>
    <w:p w14:paraId="182601DA" w14:textId="77777777" w:rsidR="00000000" w:rsidRDefault="003A1B5D">
      <w:pPr>
        <w:pStyle w:val="a3"/>
        <w:spacing w:before="360" w:beforeAutospacing="0" w:after="0" w:afterAutospacing="0"/>
        <w:ind w:left="476"/>
        <w:jc w:val="both"/>
        <w:divId w:val="501360311"/>
        <w:rPr>
          <w:sz w:val="20"/>
          <w:szCs w:val="20"/>
        </w:rPr>
      </w:pPr>
      <w:r>
        <w:rPr>
          <w:b/>
          <w:bCs/>
          <w:sz w:val="20"/>
          <w:szCs w:val="20"/>
        </w:rPr>
        <w:t>Recent Accounting Pronouncement</w:t>
      </w:r>
      <w:r>
        <w:rPr>
          <w:b/>
          <w:bCs/>
          <w:sz w:val="20"/>
          <w:szCs w:val="20"/>
        </w:rPr>
        <w:t>s</w:t>
      </w:r>
      <w:r>
        <w:rPr>
          <w:b/>
          <w:bCs/>
          <w:sz w:val="20"/>
          <w:szCs w:val="20"/>
        </w:rPr>
        <w:t xml:space="preserve"> </w:t>
      </w:r>
    </w:p>
    <w:p w14:paraId="0521D66D" w14:textId="77777777" w:rsidR="00000000" w:rsidRDefault="003A1B5D">
      <w:pPr>
        <w:pStyle w:val="a3"/>
        <w:spacing w:before="120" w:beforeAutospacing="0" w:after="0" w:afterAutospacing="0"/>
        <w:ind w:left="476"/>
        <w:jc w:val="both"/>
        <w:divId w:val="501360311"/>
        <w:rPr>
          <w:sz w:val="20"/>
          <w:szCs w:val="20"/>
        </w:rPr>
      </w:pPr>
      <w:r>
        <w:rPr>
          <w:sz w:val="20"/>
          <w:szCs w:val="20"/>
        </w:rPr>
        <w:t>Recent accounting pronouncements issued by the FASB (including its Emerging Issues Task Force), the American Institute of Certified Public Accountants and</w:t>
      </w:r>
      <w:r>
        <w:rPr>
          <w:sz w:val="20"/>
          <w:szCs w:val="20"/>
        </w:rPr>
        <w:t xml:space="preserve"> the SEC applicable to financial statements beginning January 1, 2022 or later did not, or are not expected to, have a material effect on the Company's results of operations or financial position</w:t>
      </w:r>
      <w:r>
        <w:rPr>
          <w:sz w:val="20"/>
          <w:szCs w:val="20"/>
        </w:rPr>
        <w:t>.</w:t>
      </w:r>
    </w:p>
    <w:p w14:paraId="7E2BB8FC" w14:textId="77777777" w:rsidR="00000000" w:rsidRDefault="003A1B5D">
      <w:pPr>
        <w:pStyle w:val="a3"/>
        <w:spacing w:before="360" w:beforeAutospacing="0" w:after="0" w:afterAutospacing="0"/>
        <w:ind w:left="476"/>
        <w:jc w:val="both"/>
        <w:divId w:val="2003046603"/>
        <w:rPr>
          <w:sz w:val="20"/>
          <w:szCs w:val="20"/>
        </w:rPr>
      </w:pPr>
      <w:r>
        <w:rPr>
          <w:b/>
          <w:bCs/>
          <w:sz w:val="20"/>
          <w:szCs w:val="20"/>
        </w:rPr>
        <w:t>Fair Value of Financial Instrument</w:t>
      </w:r>
      <w:r>
        <w:rPr>
          <w:b/>
          <w:bCs/>
          <w:sz w:val="20"/>
          <w:szCs w:val="20"/>
        </w:rPr>
        <w:t>s</w:t>
      </w:r>
    </w:p>
    <w:p w14:paraId="6E648DE3" w14:textId="77777777" w:rsidR="00000000" w:rsidRDefault="003A1B5D">
      <w:pPr>
        <w:pStyle w:val="a3"/>
        <w:spacing w:before="60" w:beforeAutospacing="0" w:after="0" w:afterAutospacing="0"/>
        <w:ind w:left="476"/>
        <w:jc w:val="both"/>
        <w:divId w:val="2003046603"/>
        <w:rPr>
          <w:sz w:val="20"/>
          <w:szCs w:val="20"/>
        </w:rPr>
      </w:pPr>
      <w:r>
        <w:rPr>
          <w:sz w:val="20"/>
          <w:szCs w:val="20"/>
        </w:rPr>
        <w:t>To meet the reporting r</w:t>
      </w:r>
      <w:r>
        <w:rPr>
          <w:sz w:val="20"/>
          <w:szCs w:val="20"/>
        </w:rPr>
        <w:t>equirements of Accounting Standards Codification ("ASC") 825, "Financial Instruments", regarding fair value of financial instruments, CoreCivic calculates the estimated fair value of financial instruments using market interest rates, quoted market prices o</w:t>
      </w:r>
      <w:r>
        <w:rPr>
          <w:sz w:val="20"/>
          <w:szCs w:val="20"/>
        </w:rPr>
        <w:t>f similar instruments, or discounted cash flow techniques with observable Level 1 inputs for publicly traded debt and Level 2 inputs for all other financial instruments, as defined in ASC 820, "Fair Value Measurement".</w:t>
      </w:r>
      <w:r>
        <w:rPr>
          <w:sz w:val="20"/>
          <w:szCs w:val="20"/>
        </w:rPr>
        <w:t xml:space="preserve"> </w:t>
      </w:r>
      <w:r>
        <w:rPr>
          <w:sz w:val="20"/>
          <w:szCs w:val="20"/>
        </w:rPr>
        <w:t>At</w:t>
      </w:r>
      <w:r>
        <w:rPr>
          <w:sz w:val="20"/>
          <w:szCs w:val="20"/>
        </w:rPr>
        <w:t xml:space="preserve"> </w:t>
      </w:r>
      <w:r>
        <w:rPr>
          <w:sz w:val="20"/>
          <w:szCs w:val="20"/>
        </w:rPr>
        <w:t>September 30, 2022 and December 31</w:t>
      </w:r>
      <w:r>
        <w:rPr>
          <w:sz w:val="20"/>
          <w:szCs w:val="20"/>
        </w:rPr>
        <w:t>, 2021, there were no material differences between the carrying amounts and the estimated fair values of CoreCivic's financial instruments, other than as follows (in thousands)</w:t>
      </w:r>
      <w:r>
        <w:rPr>
          <w:sz w:val="20"/>
          <w:szCs w:val="20"/>
        </w:rPr>
        <w:t>:</w:t>
      </w:r>
    </w:p>
    <w:p w14:paraId="22A41E80" w14:textId="77777777" w:rsidR="00000000" w:rsidRDefault="003A1B5D">
      <w:pPr>
        <w:pStyle w:val="a3"/>
        <w:spacing w:before="0" w:beforeAutospacing="0" w:after="0" w:afterAutospacing="0"/>
        <w:divId w:val="54015453"/>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64"/>
        <w:gridCol w:w="110"/>
        <w:gridCol w:w="160"/>
        <w:gridCol w:w="927"/>
        <w:gridCol w:w="127"/>
        <w:gridCol w:w="110"/>
        <w:gridCol w:w="160"/>
        <w:gridCol w:w="927"/>
        <w:gridCol w:w="127"/>
        <w:gridCol w:w="110"/>
        <w:gridCol w:w="160"/>
        <w:gridCol w:w="927"/>
        <w:gridCol w:w="127"/>
        <w:gridCol w:w="110"/>
        <w:gridCol w:w="160"/>
        <w:gridCol w:w="927"/>
        <w:gridCol w:w="142"/>
      </w:tblGrid>
      <w:tr w:rsidR="00000000" w14:paraId="0B08B565" w14:textId="77777777">
        <w:trPr>
          <w:divId w:val="54015453"/>
          <w:tblCellSpacing w:w="15" w:type="dxa"/>
        </w:trPr>
        <w:tc>
          <w:tcPr>
            <w:tcW w:w="2518" w:type="pct"/>
            <w:vAlign w:val="center"/>
            <w:hideMark/>
          </w:tcPr>
          <w:p w14:paraId="0D32D0AC" w14:textId="77777777" w:rsidR="00000000" w:rsidRDefault="003A1B5D">
            <w:pPr>
              <w:rPr>
                <w:sz w:val="20"/>
                <w:szCs w:val="20"/>
              </w:rPr>
            </w:pPr>
          </w:p>
        </w:tc>
        <w:tc>
          <w:tcPr>
            <w:tcW w:w="60" w:type="pct"/>
            <w:vAlign w:val="center"/>
            <w:hideMark/>
          </w:tcPr>
          <w:p w14:paraId="717C047D" w14:textId="77777777" w:rsidR="00000000" w:rsidRDefault="003A1B5D">
            <w:pPr>
              <w:rPr>
                <w:rFonts w:eastAsia="Times New Roman"/>
                <w:sz w:val="20"/>
                <w:szCs w:val="20"/>
              </w:rPr>
            </w:pPr>
          </w:p>
        </w:tc>
        <w:tc>
          <w:tcPr>
            <w:tcW w:w="50" w:type="pct"/>
            <w:vAlign w:val="center"/>
            <w:hideMark/>
          </w:tcPr>
          <w:p w14:paraId="3DC51D7B" w14:textId="77777777" w:rsidR="00000000" w:rsidRDefault="003A1B5D">
            <w:pPr>
              <w:rPr>
                <w:rFonts w:eastAsia="Times New Roman"/>
                <w:sz w:val="20"/>
                <w:szCs w:val="20"/>
              </w:rPr>
            </w:pPr>
          </w:p>
        </w:tc>
        <w:tc>
          <w:tcPr>
            <w:tcW w:w="454" w:type="pct"/>
            <w:vAlign w:val="center"/>
            <w:hideMark/>
          </w:tcPr>
          <w:p w14:paraId="4E08CB14" w14:textId="77777777" w:rsidR="00000000" w:rsidRDefault="003A1B5D">
            <w:pPr>
              <w:rPr>
                <w:rFonts w:eastAsia="Times New Roman"/>
                <w:sz w:val="20"/>
                <w:szCs w:val="20"/>
              </w:rPr>
            </w:pPr>
          </w:p>
        </w:tc>
        <w:tc>
          <w:tcPr>
            <w:tcW w:w="50" w:type="pct"/>
            <w:vAlign w:val="center"/>
            <w:hideMark/>
          </w:tcPr>
          <w:p w14:paraId="42639E79" w14:textId="77777777" w:rsidR="00000000" w:rsidRDefault="003A1B5D">
            <w:pPr>
              <w:rPr>
                <w:rFonts w:eastAsia="Times New Roman"/>
                <w:sz w:val="20"/>
                <w:szCs w:val="20"/>
              </w:rPr>
            </w:pPr>
          </w:p>
        </w:tc>
        <w:tc>
          <w:tcPr>
            <w:tcW w:w="60" w:type="pct"/>
            <w:vAlign w:val="center"/>
            <w:hideMark/>
          </w:tcPr>
          <w:p w14:paraId="02C36A7E" w14:textId="77777777" w:rsidR="00000000" w:rsidRDefault="003A1B5D">
            <w:pPr>
              <w:rPr>
                <w:rFonts w:eastAsia="Times New Roman"/>
                <w:sz w:val="20"/>
                <w:szCs w:val="20"/>
              </w:rPr>
            </w:pPr>
          </w:p>
        </w:tc>
        <w:tc>
          <w:tcPr>
            <w:tcW w:w="50" w:type="pct"/>
            <w:vAlign w:val="center"/>
            <w:hideMark/>
          </w:tcPr>
          <w:p w14:paraId="1DD911C8" w14:textId="77777777" w:rsidR="00000000" w:rsidRDefault="003A1B5D">
            <w:pPr>
              <w:rPr>
                <w:rFonts w:eastAsia="Times New Roman"/>
                <w:sz w:val="20"/>
                <w:szCs w:val="20"/>
              </w:rPr>
            </w:pPr>
          </w:p>
        </w:tc>
        <w:tc>
          <w:tcPr>
            <w:tcW w:w="464" w:type="pct"/>
            <w:vAlign w:val="center"/>
            <w:hideMark/>
          </w:tcPr>
          <w:p w14:paraId="2B8BED5E" w14:textId="77777777" w:rsidR="00000000" w:rsidRDefault="003A1B5D">
            <w:pPr>
              <w:rPr>
                <w:rFonts w:eastAsia="Times New Roman"/>
                <w:sz w:val="20"/>
                <w:szCs w:val="20"/>
              </w:rPr>
            </w:pPr>
          </w:p>
        </w:tc>
        <w:tc>
          <w:tcPr>
            <w:tcW w:w="50" w:type="pct"/>
            <w:vAlign w:val="center"/>
            <w:hideMark/>
          </w:tcPr>
          <w:p w14:paraId="321DF31C" w14:textId="77777777" w:rsidR="00000000" w:rsidRDefault="003A1B5D">
            <w:pPr>
              <w:rPr>
                <w:rFonts w:eastAsia="Times New Roman"/>
                <w:sz w:val="20"/>
                <w:szCs w:val="20"/>
              </w:rPr>
            </w:pPr>
          </w:p>
        </w:tc>
        <w:tc>
          <w:tcPr>
            <w:tcW w:w="60" w:type="pct"/>
            <w:vAlign w:val="center"/>
            <w:hideMark/>
          </w:tcPr>
          <w:p w14:paraId="42044958" w14:textId="77777777" w:rsidR="00000000" w:rsidRDefault="003A1B5D">
            <w:pPr>
              <w:rPr>
                <w:rFonts w:eastAsia="Times New Roman"/>
                <w:sz w:val="20"/>
                <w:szCs w:val="20"/>
              </w:rPr>
            </w:pPr>
          </w:p>
        </w:tc>
        <w:tc>
          <w:tcPr>
            <w:tcW w:w="50" w:type="pct"/>
            <w:vAlign w:val="center"/>
            <w:hideMark/>
          </w:tcPr>
          <w:p w14:paraId="397E9C72" w14:textId="77777777" w:rsidR="00000000" w:rsidRDefault="003A1B5D">
            <w:pPr>
              <w:rPr>
                <w:rFonts w:eastAsia="Times New Roman"/>
                <w:sz w:val="20"/>
                <w:szCs w:val="20"/>
              </w:rPr>
            </w:pPr>
          </w:p>
        </w:tc>
        <w:tc>
          <w:tcPr>
            <w:tcW w:w="454" w:type="pct"/>
            <w:vAlign w:val="center"/>
            <w:hideMark/>
          </w:tcPr>
          <w:p w14:paraId="49449555" w14:textId="77777777" w:rsidR="00000000" w:rsidRDefault="003A1B5D">
            <w:pPr>
              <w:rPr>
                <w:rFonts w:eastAsia="Times New Roman"/>
                <w:sz w:val="20"/>
                <w:szCs w:val="20"/>
              </w:rPr>
            </w:pPr>
          </w:p>
        </w:tc>
        <w:tc>
          <w:tcPr>
            <w:tcW w:w="50" w:type="pct"/>
            <w:vAlign w:val="center"/>
            <w:hideMark/>
          </w:tcPr>
          <w:p w14:paraId="6721C880" w14:textId="77777777" w:rsidR="00000000" w:rsidRDefault="003A1B5D">
            <w:pPr>
              <w:rPr>
                <w:rFonts w:eastAsia="Times New Roman"/>
                <w:sz w:val="20"/>
                <w:szCs w:val="20"/>
              </w:rPr>
            </w:pPr>
          </w:p>
        </w:tc>
        <w:tc>
          <w:tcPr>
            <w:tcW w:w="60" w:type="pct"/>
            <w:vAlign w:val="center"/>
            <w:hideMark/>
          </w:tcPr>
          <w:p w14:paraId="1615C28D" w14:textId="77777777" w:rsidR="00000000" w:rsidRDefault="003A1B5D">
            <w:pPr>
              <w:rPr>
                <w:rFonts w:eastAsia="Times New Roman"/>
                <w:sz w:val="20"/>
                <w:szCs w:val="20"/>
              </w:rPr>
            </w:pPr>
          </w:p>
        </w:tc>
        <w:tc>
          <w:tcPr>
            <w:tcW w:w="50" w:type="pct"/>
            <w:vAlign w:val="center"/>
            <w:hideMark/>
          </w:tcPr>
          <w:p w14:paraId="5BD54BDA" w14:textId="77777777" w:rsidR="00000000" w:rsidRDefault="003A1B5D">
            <w:pPr>
              <w:rPr>
                <w:rFonts w:eastAsia="Times New Roman"/>
                <w:sz w:val="20"/>
                <w:szCs w:val="20"/>
              </w:rPr>
            </w:pPr>
          </w:p>
        </w:tc>
        <w:tc>
          <w:tcPr>
            <w:tcW w:w="464" w:type="pct"/>
            <w:vAlign w:val="center"/>
            <w:hideMark/>
          </w:tcPr>
          <w:p w14:paraId="20CBBF9E" w14:textId="77777777" w:rsidR="00000000" w:rsidRDefault="003A1B5D">
            <w:pPr>
              <w:rPr>
                <w:rFonts w:eastAsia="Times New Roman"/>
                <w:sz w:val="20"/>
                <w:szCs w:val="20"/>
              </w:rPr>
            </w:pPr>
          </w:p>
        </w:tc>
        <w:tc>
          <w:tcPr>
            <w:tcW w:w="50" w:type="pct"/>
            <w:vAlign w:val="center"/>
            <w:hideMark/>
          </w:tcPr>
          <w:p w14:paraId="4382C692" w14:textId="77777777" w:rsidR="00000000" w:rsidRDefault="003A1B5D">
            <w:pPr>
              <w:rPr>
                <w:rFonts w:eastAsia="Times New Roman"/>
                <w:sz w:val="20"/>
                <w:szCs w:val="20"/>
              </w:rPr>
            </w:pPr>
          </w:p>
        </w:tc>
      </w:tr>
      <w:tr w:rsidR="00000000" w14:paraId="06CDBA2B" w14:textId="77777777">
        <w:trPr>
          <w:divId w:val="54015453"/>
          <w:trHeight w:val="160"/>
          <w:tblCellSpacing w:w="15" w:type="dxa"/>
        </w:trPr>
        <w:tc>
          <w:tcPr>
            <w:tcW w:w="0" w:type="auto"/>
            <w:hideMark/>
          </w:tcPr>
          <w:p w14:paraId="68239BD0"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391D5647" w14:textId="77777777" w:rsidR="00000000" w:rsidRDefault="003A1B5D">
            <w:pPr>
              <w:pStyle w:val="a3"/>
              <w:spacing w:before="0" w:beforeAutospacing="0" w:after="0" w:afterAutospacing="0"/>
              <w:rPr>
                <w:sz w:val="16"/>
                <w:szCs w:val="16"/>
              </w:rPr>
            </w:pPr>
            <w:r>
              <w:rPr>
                <w:sz w:val="16"/>
                <w:szCs w:val="16"/>
              </w:rPr>
              <w:t> </w:t>
            </w:r>
          </w:p>
        </w:tc>
        <w:tc>
          <w:tcPr>
            <w:tcW w:w="0" w:type="auto"/>
            <w:gridSpan w:val="6"/>
            <w:vAlign w:val="bottom"/>
            <w:hideMark/>
          </w:tcPr>
          <w:p w14:paraId="3583A1DC" w14:textId="77777777" w:rsidR="00000000" w:rsidRDefault="003A1B5D">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14:paraId="15E53404"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15092EAF" w14:textId="77777777" w:rsidR="00000000" w:rsidRDefault="003A1B5D">
            <w:pPr>
              <w:pStyle w:val="a3"/>
              <w:spacing w:before="0" w:beforeAutospacing="0" w:after="0" w:afterAutospacing="0"/>
              <w:rPr>
                <w:sz w:val="16"/>
                <w:szCs w:val="16"/>
              </w:rPr>
            </w:pPr>
            <w:r>
              <w:rPr>
                <w:sz w:val="16"/>
                <w:szCs w:val="16"/>
              </w:rPr>
              <w:t> </w:t>
            </w:r>
          </w:p>
        </w:tc>
        <w:tc>
          <w:tcPr>
            <w:tcW w:w="0" w:type="auto"/>
            <w:gridSpan w:val="6"/>
            <w:vAlign w:val="bottom"/>
            <w:hideMark/>
          </w:tcPr>
          <w:p w14:paraId="1C50B004" w14:textId="77777777" w:rsidR="00000000" w:rsidRDefault="003A1B5D">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14:paraId="5E7D4505"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2F7805AB" w14:textId="77777777">
        <w:trPr>
          <w:divId w:val="54015453"/>
          <w:trHeight w:val="160"/>
          <w:tblCellSpacing w:w="15" w:type="dxa"/>
        </w:trPr>
        <w:tc>
          <w:tcPr>
            <w:tcW w:w="0" w:type="auto"/>
            <w:hideMark/>
          </w:tcPr>
          <w:p w14:paraId="1D6BC5EF"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4A953226"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58B1AADA" w14:textId="77777777" w:rsidR="00000000" w:rsidRDefault="003A1B5D">
            <w:pPr>
              <w:pStyle w:val="a3"/>
              <w:spacing w:before="0" w:beforeAutospacing="0" w:after="0" w:afterAutospacing="0"/>
              <w:jc w:val="center"/>
              <w:rPr>
                <w:sz w:val="16"/>
                <w:szCs w:val="16"/>
              </w:rPr>
            </w:pPr>
            <w:r>
              <w:rPr>
                <w:b/>
                <w:bCs/>
                <w:sz w:val="16"/>
                <w:szCs w:val="16"/>
              </w:rPr>
              <w:t>Carrying</w:t>
            </w:r>
            <w:r>
              <w:rPr>
                <w:b/>
                <w:bCs/>
                <w:sz w:val="16"/>
                <w:szCs w:val="16"/>
              </w:rPr>
              <w:br/>
              <w:t>Amoun</w:t>
            </w:r>
            <w:r>
              <w:rPr>
                <w:b/>
                <w:bCs/>
                <w:sz w:val="16"/>
                <w:szCs w:val="16"/>
              </w:rPr>
              <w:t>t</w:t>
            </w:r>
          </w:p>
        </w:tc>
        <w:tc>
          <w:tcPr>
            <w:tcW w:w="0" w:type="auto"/>
            <w:vAlign w:val="bottom"/>
            <w:hideMark/>
          </w:tcPr>
          <w:p w14:paraId="32F45F3D"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63F66C2B"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7FA0929F" w14:textId="77777777" w:rsidR="00000000" w:rsidRDefault="003A1B5D">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14:paraId="4E25D845"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1CE6A84F"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57D39EFD" w14:textId="77777777" w:rsidR="00000000" w:rsidRDefault="003A1B5D">
            <w:pPr>
              <w:pStyle w:val="a3"/>
              <w:spacing w:before="0" w:beforeAutospacing="0" w:after="0" w:afterAutospacing="0"/>
              <w:jc w:val="center"/>
              <w:rPr>
                <w:sz w:val="16"/>
                <w:szCs w:val="16"/>
              </w:rPr>
            </w:pPr>
            <w:r>
              <w:rPr>
                <w:b/>
                <w:bCs/>
                <w:sz w:val="16"/>
                <w:szCs w:val="16"/>
              </w:rPr>
              <w:t>Carrying</w:t>
            </w:r>
            <w:r>
              <w:rPr>
                <w:b/>
                <w:bCs/>
                <w:sz w:val="16"/>
                <w:szCs w:val="16"/>
              </w:rPr>
              <w:br/>
              <w:t>Amoun</w:t>
            </w:r>
            <w:r>
              <w:rPr>
                <w:b/>
                <w:bCs/>
                <w:sz w:val="16"/>
                <w:szCs w:val="16"/>
              </w:rPr>
              <w:t>t</w:t>
            </w:r>
          </w:p>
        </w:tc>
        <w:tc>
          <w:tcPr>
            <w:tcW w:w="0" w:type="auto"/>
            <w:vAlign w:val="bottom"/>
            <w:hideMark/>
          </w:tcPr>
          <w:p w14:paraId="6C8723E7"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17794683"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2292D127" w14:textId="77777777" w:rsidR="00000000" w:rsidRDefault="003A1B5D">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14:paraId="756E9C88"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25640672" w14:textId="77777777">
        <w:trPr>
          <w:divId w:val="54015453"/>
          <w:trHeight w:val="200"/>
          <w:tblCellSpacing w:w="15" w:type="dxa"/>
        </w:trPr>
        <w:tc>
          <w:tcPr>
            <w:tcW w:w="0" w:type="auto"/>
            <w:hideMark/>
          </w:tcPr>
          <w:p w14:paraId="2A7E3921" w14:textId="77777777" w:rsidR="00000000" w:rsidRDefault="003A1B5D">
            <w:pPr>
              <w:pStyle w:val="a3"/>
              <w:spacing w:before="0" w:beforeAutospacing="0" w:after="0" w:afterAutospacing="0"/>
              <w:rPr>
                <w:sz w:val="20"/>
                <w:szCs w:val="20"/>
              </w:rPr>
            </w:pPr>
            <w:r>
              <w:rPr>
                <w:sz w:val="20"/>
                <w:szCs w:val="20"/>
              </w:rPr>
              <w:t>Note receivable from Agecroft Prison Management, LT</w:t>
            </w:r>
            <w:r>
              <w:rPr>
                <w:sz w:val="20"/>
                <w:szCs w:val="20"/>
              </w:rPr>
              <w:t>D</w:t>
            </w:r>
          </w:p>
        </w:tc>
        <w:tc>
          <w:tcPr>
            <w:tcW w:w="0" w:type="auto"/>
            <w:vAlign w:val="bottom"/>
            <w:hideMark/>
          </w:tcPr>
          <w:p w14:paraId="47626FD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668940C"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15045226" w14:textId="77777777" w:rsidR="00000000" w:rsidRDefault="003A1B5D">
            <w:pPr>
              <w:pStyle w:val="a3"/>
              <w:spacing w:before="0" w:beforeAutospacing="0" w:after="0" w:afterAutospacing="0"/>
              <w:jc w:val="right"/>
              <w:rPr>
                <w:sz w:val="20"/>
                <w:szCs w:val="20"/>
              </w:rPr>
            </w:pPr>
            <w:r>
              <w:rPr>
                <w:b/>
                <w:bCs/>
                <w:sz w:val="20"/>
                <w:szCs w:val="20"/>
              </w:rPr>
              <w:t>2,52</w:t>
            </w:r>
            <w:r>
              <w:rPr>
                <w:b/>
                <w:bCs/>
                <w:sz w:val="20"/>
                <w:szCs w:val="20"/>
              </w:rPr>
              <w:t>4</w:t>
            </w:r>
          </w:p>
        </w:tc>
        <w:tc>
          <w:tcPr>
            <w:tcW w:w="0" w:type="auto"/>
            <w:noWrap/>
            <w:vAlign w:val="bottom"/>
            <w:hideMark/>
          </w:tcPr>
          <w:p w14:paraId="61D041B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D75CF0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B939581"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7DB79E3" w14:textId="77777777" w:rsidR="00000000" w:rsidRDefault="003A1B5D">
            <w:pPr>
              <w:pStyle w:val="a3"/>
              <w:spacing w:before="0" w:beforeAutospacing="0" w:after="0" w:afterAutospacing="0"/>
              <w:jc w:val="right"/>
              <w:rPr>
                <w:sz w:val="20"/>
                <w:szCs w:val="20"/>
              </w:rPr>
            </w:pPr>
            <w:r>
              <w:rPr>
                <w:b/>
                <w:bCs/>
                <w:sz w:val="20"/>
                <w:szCs w:val="20"/>
              </w:rPr>
              <w:t>2,83</w:t>
            </w:r>
            <w:r>
              <w:rPr>
                <w:b/>
                <w:bCs/>
                <w:sz w:val="20"/>
                <w:szCs w:val="20"/>
              </w:rPr>
              <w:t>3</w:t>
            </w:r>
          </w:p>
        </w:tc>
        <w:tc>
          <w:tcPr>
            <w:tcW w:w="0" w:type="auto"/>
            <w:noWrap/>
            <w:vAlign w:val="bottom"/>
            <w:hideMark/>
          </w:tcPr>
          <w:p w14:paraId="69DFD56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B0AA56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277A00D"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724411CC" w14:textId="77777777" w:rsidR="00000000" w:rsidRDefault="003A1B5D">
            <w:pPr>
              <w:pStyle w:val="a3"/>
              <w:spacing w:before="0" w:beforeAutospacing="0" w:after="0" w:afterAutospacing="0"/>
              <w:jc w:val="right"/>
              <w:rPr>
                <w:sz w:val="20"/>
                <w:szCs w:val="20"/>
              </w:rPr>
            </w:pPr>
            <w:r>
              <w:rPr>
                <w:sz w:val="20"/>
                <w:szCs w:val="20"/>
              </w:rPr>
              <w:t>3,06</w:t>
            </w:r>
            <w:r>
              <w:rPr>
                <w:sz w:val="20"/>
                <w:szCs w:val="20"/>
              </w:rPr>
              <w:t>3</w:t>
            </w:r>
          </w:p>
        </w:tc>
        <w:tc>
          <w:tcPr>
            <w:tcW w:w="0" w:type="auto"/>
            <w:noWrap/>
            <w:vAlign w:val="bottom"/>
            <w:hideMark/>
          </w:tcPr>
          <w:p w14:paraId="386BC1B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8F32DA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42BEF0F"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647EE88A" w14:textId="77777777" w:rsidR="00000000" w:rsidRDefault="003A1B5D">
            <w:pPr>
              <w:pStyle w:val="a3"/>
              <w:spacing w:before="0" w:beforeAutospacing="0" w:after="0" w:afterAutospacing="0"/>
              <w:jc w:val="right"/>
              <w:rPr>
                <w:sz w:val="20"/>
                <w:szCs w:val="20"/>
              </w:rPr>
            </w:pPr>
            <w:r>
              <w:rPr>
                <w:sz w:val="20"/>
                <w:szCs w:val="20"/>
              </w:rPr>
              <w:t>3,49</w:t>
            </w:r>
            <w:r>
              <w:rPr>
                <w:sz w:val="20"/>
                <w:szCs w:val="20"/>
              </w:rPr>
              <w:t>1</w:t>
            </w:r>
          </w:p>
        </w:tc>
        <w:tc>
          <w:tcPr>
            <w:tcW w:w="0" w:type="auto"/>
            <w:noWrap/>
            <w:vAlign w:val="bottom"/>
            <w:hideMark/>
          </w:tcPr>
          <w:p w14:paraId="73ABEB05" w14:textId="77777777" w:rsidR="00000000" w:rsidRDefault="003A1B5D">
            <w:pPr>
              <w:pStyle w:val="a3"/>
              <w:spacing w:before="0" w:beforeAutospacing="0" w:after="0" w:afterAutospacing="0"/>
              <w:rPr>
                <w:sz w:val="20"/>
                <w:szCs w:val="20"/>
              </w:rPr>
            </w:pPr>
            <w:r>
              <w:rPr>
                <w:sz w:val="20"/>
                <w:szCs w:val="20"/>
              </w:rPr>
              <w:t> </w:t>
            </w:r>
          </w:p>
        </w:tc>
      </w:tr>
      <w:tr w:rsidR="00000000" w14:paraId="3FD50A05" w14:textId="77777777">
        <w:trPr>
          <w:divId w:val="54015453"/>
          <w:trHeight w:val="200"/>
          <w:tblCellSpacing w:w="15" w:type="dxa"/>
        </w:trPr>
        <w:tc>
          <w:tcPr>
            <w:tcW w:w="0" w:type="auto"/>
            <w:hideMark/>
          </w:tcPr>
          <w:p w14:paraId="0957FEFC" w14:textId="77777777" w:rsidR="00000000" w:rsidRDefault="003A1B5D">
            <w:pPr>
              <w:pStyle w:val="a3"/>
              <w:spacing w:before="0" w:beforeAutospacing="0" w:after="0" w:afterAutospacing="0"/>
              <w:rPr>
                <w:sz w:val="20"/>
                <w:szCs w:val="20"/>
              </w:rPr>
            </w:pPr>
            <w:r>
              <w:rPr>
                <w:sz w:val="20"/>
                <w:szCs w:val="20"/>
              </w:rPr>
              <w:t>Deb</w:t>
            </w:r>
            <w:r>
              <w:rPr>
                <w:sz w:val="20"/>
                <w:szCs w:val="20"/>
              </w:rPr>
              <w:t>t</w:t>
            </w:r>
          </w:p>
        </w:tc>
        <w:tc>
          <w:tcPr>
            <w:tcW w:w="0" w:type="auto"/>
            <w:vAlign w:val="bottom"/>
            <w:hideMark/>
          </w:tcPr>
          <w:p w14:paraId="0FDDCC8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AFC6615"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4FE503F4"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1,307,10</w:t>
            </w:r>
            <w:r>
              <w:rPr>
                <w:b/>
                <w:bCs/>
                <w:sz w:val="20"/>
                <w:szCs w:val="20"/>
              </w:rPr>
              <w:t>9</w:t>
            </w:r>
          </w:p>
        </w:tc>
        <w:tc>
          <w:tcPr>
            <w:tcW w:w="0" w:type="auto"/>
            <w:noWrap/>
            <w:vAlign w:val="bottom"/>
            <w:hideMark/>
          </w:tcPr>
          <w:p w14:paraId="1FD576B1"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5B372FF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F387531"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3F4BDCD"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1,255,22</w:t>
            </w:r>
            <w:r>
              <w:rPr>
                <w:b/>
                <w:bCs/>
                <w:sz w:val="20"/>
                <w:szCs w:val="20"/>
              </w:rPr>
              <w:t>4</w:t>
            </w:r>
          </w:p>
        </w:tc>
        <w:tc>
          <w:tcPr>
            <w:tcW w:w="0" w:type="auto"/>
            <w:noWrap/>
            <w:vAlign w:val="bottom"/>
            <w:hideMark/>
          </w:tcPr>
          <w:p w14:paraId="3F225BFB"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242F855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E1B8704"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11177C92" w14:textId="77777777" w:rsidR="00000000" w:rsidRDefault="003A1B5D">
            <w:pPr>
              <w:pStyle w:val="a3"/>
              <w:spacing w:before="0" w:beforeAutospacing="0" w:after="0" w:afterAutospacing="0"/>
              <w:jc w:val="right"/>
              <w:rPr>
                <w:sz w:val="20"/>
                <w:szCs w:val="20"/>
              </w:rPr>
            </w:pPr>
            <w:r>
              <w:rPr>
                <w:sz w:val="20"/>
                <w:szCs w:val="20"/>
              </w:rPr>
              <w:t>(</w:t>
            </w:r>
            <w:r>
              <w:rPr>
                <w:sz w:val="20"/>
                <w:szCs w:val="20"/>
              </w:rPr>
              <w:t>1,551,93</w:t>
            </w:r>
            <w:r>
              <w:rPr>
                <w:sz w:val="20"/>
                <w:szCs w:val="20"/>
              </w:rPr>
              <w:t>2</w:t>
            </w:r>
          </w:p>
        </w:tc>
        <w:tc>
          <w:tcPr>
            <w:tcW w:w="0" w:type="auto"/>
            <w:noWrap/>
            <w:vAlign w:val="bottom"/>
            <w:hideMark/>
          </w:tcPr>
          <w:p w14:paraId="4D12B7E4"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6225914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6431666"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66BF3D70" w14:textId="77777777" w:rsidR="00000000" w:rsidRDefault="003A1B5D">
            <w:pPr>
              <w:pStyle w:val="a3"/>
              <w:spacing w:before="0" w:beforeAutospacing="0" w:after="0" w:afterAutospacing="0"/>
              <w:jc w:val="right"/>
              <w:rPr>
                <w:sz w:val="20"/>
                <w:szCs w:val="20"/>
              </w:rPr>
            </w:pPr>
            <w:r>
              <w:rPr>
                <w:sz w:val="20"/>
                <w:szCs w:val="20"/>
              </w:rPr>
              <w:t>(</w:t>
            </w:r>
            <w:r>
              <w:rPr>
                <w:sz w:val="20"/>
                <w:szCs w:val="20"/>
              </w:rPr>
              <w:t>1,560,34</w:t>
            </w:r>
            <w:r>
              <w:rPr>
                <w:sz w:val="20"/>
                <w:szCs w:val="20"/>
              </w:rPr>
              <w:t>6</w:t>
            </w:r>
          </w:p>
        </w:tc>
        <w:tc>
          <w:tcPr>
            <w:tcW w:w="0" w:type="auto"/>
            <w:noWrap/>
            <w:vAlign w:val="bottom"/>
            <w:hideMark/>
          </w:tcPr>
          <w:p w14:paraId="51A4F197" w14:textId="77777777" w:rsidR="00000000" w:rsidRDefault="003A1B5D">
            <w:pPr>
              <w:pStyle w:val="a3"/>
              <w:spacing w:before="0" w:beforeAutospacing="0" w:after="0" w:afterAutospacing="0"/>
              <w:rPr>
                <w:sz w:val="20"/>
                <w:szCs w:val="20"/>
              </w:rPr>
            </w:pPr>
            <w:r>
              <w:rPr>
                <w:sz w:val="20"/>
                <w:szCs w:val="20"/>
              </w:rPr>
              <w:t>)</w:t>
            </w:r>
          </w:p>
        </w:tc>
      </w:tr>
    </w:tbl>
    <w:p w14:paraId="6AEE2553" w14:textId="77777777" w:rsidR="00000000" w:rsidRDefault="003A1B5D">
      <w:pPr>
        <w:pStyle w:val="a3"/>
        <w:spacing w:before="0" w:beforeAutospacing="0" w:after="0" w:afterAutospacing="0"/>
        <w:ind w:left="476"/>
        <w:jc w:val="both"/>
        <w:rPr>
          <w:sz w:val="20"/>
          <w:szCs w:val="20"/>
        </w:rPr>
      </w:pPr>
      <w:r>
        <w:br/>
      </w:r>
      <w:r>
        <w:t> </w:t>
      </w:r>
    </w:p>
    <w:p w14:paraId="4D1AD43E" w14:textId="77777777" w:rsidR="00000000" w:rsidRDefault="003A1B5D">
      <w:pPr>
        <w:jc w:val="both"/>
        <w:divId w:val="922030197"/>
        <w:rPr>
          <w:rFonts w:eastAsia="Times New Roman"/>
          <w:sz w:val="20"/>
          <w:szCs w:val="20"/>
        </w:rPr>
      </w:pPr>
      <w:r>
        <w:rPr>
          <w:rFonts w:eastAsia="Times New Roman"/>
          <w:b/>
          <w:bCs/>
          <w:sz w:val="20"/>
          <w:szCs w:val="20"/>
        </w:rPr>
        <w:t>3</w:t>
      </w:r>
      <w:r>
        <w:rPr>
          <w:rFonts w:eastAsia="Times New Roman"/>
          <w:b/>
          <w:bCs/>
          <w:sz w:val="20"/>
          <w:szCs w:val="20"/>
        </w:rPr>
        <w:t>.</w:t>
      </w:r>
    </w:p>
    <w:p w14:paraId="194D285D" w14:textId="77777777" w:rsidR="00000000" w:rsidRDefault="003A1B5D">
      <w:pPr>
        <w:jc w:val="both"/>
        <w:divId w:val="1098135844"/>
        <w:rPr>
          <w:rFonts w:eastAsia="Times New Roman"/>
          <w:sz w:val="20"/>
          <w:szCs w:val="20"/>
        </w:rPr>
      </w:pPr>
      <w:r>
        <w:rPr>
          <w:rFonts w:eastAsia="Times New Roman"/>
          <w:b/>
          <w:bCs/>
          <w:sz w:val="20"/>
          <w:szCs w:val="20"/>
        </w:rPr>
        <w:t>GOODWIL</w:t>
      </w:r>
      <w:r>
        <w:rPr>
          <w:rFonts w:eastAsia="Times New Roman"/>
          <w:b/>
          <w:bCs/>
          <w:sz w:val="20"/>
          <w:szCs w:val="20"/>
        </w:rPr>
        <w:t>L</w:t>
      </w:r>
    </w:p>
    <w:p w14:paraId="40124975" w14:textId="77777777" w:rsidR="00000000" w:rsidRDefault="003A1B5D">
      <w:pPr>
        <w:pStyle w:val="a3"/>
        <w:spacing w:before="120" w:beforeAutospacing="0" w:after="0" w:afterAutospacing="0"/>
        <w:ind w:left="476"/>
        <w:jc w:val="both"/>
        <w:divId w:val="922030197"/>
        <w:rPr>
          <w:sz w:val="20"/>
          <w:szCs w:val="20"/>
        </w:rPr>
      </w:pPr>
      <w:r>
        <w:rPr>
          <w:sz w:val="20"/>
          <w:szCs w:val="20"/>
        </w:rPr>
        <w:t>ASU 2017-04, "Intangibles-Goodwill and Other (Topic 350): Simplifying the Test of Goodwill Impairment"</w:t>
      </w:r>
      <w:r>
        <w:rPr>
          <w:sz w:val="20"/>
          <w:szCs w:val="20"/>
        </w:rPr>
        <w:t>, establishes accounting and reporting requirements for goodwill and other intangible assets. Goodwill was</w:t>
      </w:r>
      <w:r>
        <w:rPr>
          <w:sz w:val="20"/>
          <w:szCs w:val="20"/>
        </w:rPr>
        <w:t xml:space="preserve"> </w:t>
      </w:r>
      <w:r>
        <w:rPr>
          <w:sz w:val="20"/>
          <w:szCs w:val="20"/>
        </w:rPr>
        <w:t>$</w:t>
      </w:r>
      <w:r>
        <w:rPr>
          <w:sz w:val="20"/>
          <w:szCs w:val="20"/>
        </w:rPr>
        <w:t>4.</w:t>
      </w:r>
      <w:r>
        <w:rPr>
          <w:sz w:val="20"/>
          <w:szCs w:val="20"/>
        </w:rPr>
        <w:t>8</w:t>
      </w:r>
      <w:r>
        <w:rPr>
          <w:sz w:val="20"/>
          <w:szCs w:val="20"/>
        </w:rPr>
        <w:t xml:space="preserve"> millio</w:t>
      </w:r>
      <w:r>
        <w:rPr>
          <w:sz w:val="20"/>
          <w:szCs w:val="20"/>
        </w:rPr>
        <w:t>n</w:t>
      </w:r>
      <w:r>
        <w:rPr>
          <w:sz w:val="20"/>
          <w:szCs w:val="20"/>
        </w:rPr>
        <w:t xml:space="preserve"> as of September 30, 2022 and December 31, 2021, all of which was related to the Company's CoreCivic Safety segment</w:t>
      </w:r>
      <w:r>
        <w:rPr>
          <w:sz w:val="20"/>
          <w:szCs w:val="20"/>
        </w:rPr>
        <w:t>.</w:t>
      </w:r>
    </w:p>
    <w:p w14:paraId="1898E6E5" w14:textId="77777777" w:rsidR="00000000" w:rsidRDefault="003A1B5D">
      <w:pPr>
        <w:pStyle w:val="a3"/>
        <w:spacing w:before="240" w:beforeAutospacing="0" w:after="0" w:afterAutospacing="0"/>
        <w:ind w:left="476"/>
        <w:jc w:val="both"/>
        <w:divId w:val="922030197"/>
        <w:rPr>
          <w:sz w:val="20"/>
          <w:szCs w:val="20"/>
        </w:rPr>
      </w:pPr>
      <w:r>
        <w:rPr>
          <w:sz w:val="20"/>
          <w:szCs w:val="20"/>
        </w:rPr>
        <w:t>CoreCivic performs i</w:t>
      </w:r>
      <w:r>
        <w:rPr>
          <w:sz w:val="20"/>
          <w:szCs w:val="20"/>
        </w:rPr>
        <w:t xml:space="preserve">ts impairment tests during the fourth quarter in connection with its annual budgeting process, and whenever circumstances indicate the carrying value of goodwill may not be recoverable. Under the provisions of ASU 2017-04, CoreCivic performs a qualitative </w:t>
      </w:r>
      <w:r>
        <w:rPr>
          <w:sz w:val="20"/>
          <w:szCs w:val="20"/>
        </w:rPr>
        <w:t>assessment to determine whether the existence of events or circumstances leads to a determination that it is more likely than not that the fair value of a reporting unit is less than its carrying amount. If, after assessing the totality of events or circum</w:t>
      </w:r>
      <w:r>
        <w:rPr>
          <w:sz w:val="20"/>
          <w:szCs w:val="20"/>
        </w:rPr>
        <w:t>stances, the Company determines it is more likely than not that the fair value of a reporting unit is less than its carrying amount, then the Company performs a quantitative impairment test. If a quantitative test is required, CoreCivic performs an assessm</w:t>
      </w:r>
      <w:r>
        <w:rPr>
          <w:sz w:val="20"/>
          <w:szCs w:val="20"/>
        </w:rPr>
        <w:t>ent to identify the existence of impairment and to measure the excess of a reporting unit's carrying amount over its fair value by using a combination of various common valuation techniques, including market multiples and discounted cash flows under valuat</w:t>
      </w:r>
      <w:r>
        <w:rPr>
          <w:sz w:val="20"/>
          <w:szCs w:val="20"/>
        </w:rPr>
        <w:t>ion methodologies that include an income approach and a market approach. The income valuation approach includes certain significant assumptions impacting projected future cash flows, such as projected revenue, projected operating costs, and the weighted av</w:t>
      </w:r>
      <w:r>
        <w:rPr>
          <w:sz w:val="20"/>
          <w:szCs w:val="20"/>
        </w:rPr>
        <w:t>erage cost of capital, which are affected by expectations about future market or economic conditions. These impairment tests are required to be performed at least annually</w:t>
      </w:r>
      <w:r>
        <w:rPr>
          <w:sz w:val="20"/>
          <w:szCs w:val="20"/>
        </w:rPr>
        <w:t>.</w:t>
      </w:r>
      <w:r>
        <w:rPr>
          <w:sz w:val="20"/>
          <w:szCs w:val="20"/>
        </w:rPr>
        <w:t xml:space="preserve"> </w:t>
      </w:r>
    </w:p>
    <w:p w14:paraId="3CDEAD6B" w14:textId="77777777" w:rsidR="00000000" w:rsidRDefault="003A1B5D">
      <w:pPr>
        <w:pStyle w:val="a3"/>
        <w:spacing w:before="0" w:beforeAutospacing="0" w:after="0" w:afterAutospacing="0"/>
        <w:rPr>
          <w:sz w:val="20"/>
          <w:szCs w:val="20"/>
        </w:rPr>
      </w:pPr>
      <w:r>
        <w:rPr>
          <w:sz w:val="20"/>
          <w:szCs w:val="20"/>
        </w:rPr>
        <w:t> </w:t>
      </w:r>
    </w:p>
    <w:p w14:paraId="45AFADA0" w14:textId="77777777" w:rsidR="00000000" w:rsidRDefault="003A1B5D">
      <w:pPr>
        <w:pStyle w:val="a3"/>
        <w:spacing w:before="240" w:beforeAutospacing="0" w:after="0" w:afterAutospacing="0"/>
        <w:jc w:val="center"/>
        <w:rPr>
          <w:sz w:val="20"/>
          <w:szCs w:val="20"/>
        </w:rPr>
      </w:pPr>
      <w:r>
        <w:rPr>
          <w:sz w:val="20"/>
          <w:szCs w:val="20"/>
        </w:rPr>
        <w:t>7</w:t>
      </w:r>
    </w:p>
    <w:p w14:paraId="7FA49F19" w14:textId="77777777" w:rsidR="00000000" w:rsidRDefault="003A1B5D">
      <w:pPr>
        <w:rPr>
          <w:rFonts w:eastAsia="Times New Roman"/>
        </w:rPr>
      </w:pPr>
      <w:r>
        <w:rPr>
          <w:rFonts w:eastAsia="Times New Roman"/>
        </w:rPr>
        <w:pict w14:anchorId="2FC2821B">
          <v:rect id="_x0000_i1033" style="width:0;height:1.5pt" o:hralign="center" o:hrstd="t" o:hr="t" fillcolor="#a0a0a0" stroked="f"/>
        </w:pict>
      </w:r>
    </w:p>
    <w:p w14:paraId="69788953" w14:textId="77777777" w:rsidR="00000000" w:rsidRDefault="003A1B5D">
      <w:pPr>
        <w:pStyle w:val="a3"/>
        <w:spacing w:before="0" w:beforeAutospacing="0" w:after="0" w:afterAutospacing="0"/>
        <w:rPr>
          <w:sz w:val="20"/>
          <w:szCs w:val="20"/>
        </w:rPr>
      </w:pPr>
      <w:r>
        <w:rPr>
          <w:sz w:val="20"/>
          <w:szCs w:val="20"/>
        </w:rPr>
        <w:t> </w:t>
      </w:r>
    </w:p>
    <w:p w14:paraId="5039301C" w14:textId="77777777" w:rsidR="00000000" w:rsidRDefault="003A1B5D">
      <w:pPr>
        <w:pStyle w:val="a3"/>
        <w:spacing w:before="0" w:beforeAutospacing="0" w:after="0" w:afterAutospacing="0"/>
        <w:rPr>
          <w:sz w:val="20"/>
          <w:szCs w:val="20"/>
        </w:rPr>
      </w:pPr>
      <w:r>
        <w:rPr>
          <w:sz w:val="20"/>
          <w:szCs w:val="20"/>
        </w:rPr>
        <w:t> </w:t>
      </w:r>
    </w:p>
    <w:p w14:paraId="3CF77EC9" w14:textId="77777777" w:rsidR="00000000" w:rsidRDefault="003A1B5D">
      <w:pPr>
        <w:jc w:val="both"/>
        <w:divId w:val="91750825"/>
        <w:rPr>
          <w:rFonts w:eastAsia="Times New Roman"/>
        </w:rPr>
      </w:pPr>
      <w:r>
        <w:rPr>
          <w:rFonts w:eastAsia="Times New Roman"/>
          <w:b/>
          <w:bCs/>
          <w:sz w:val="20"/>
          <w:szCs w:val="20"/>
        </w:rPr>
        <w:t>4</w:t>
      </w:r>
      <w:r>
        <w:rPr>
          <w:rFonts w:eastAsia="Times New Roman"/>
          <w:b/>
          <w:bCs/>
          <w:sz w:val="20"/>
          <w:szCs w:val="20"/>
        </w:rPr>
        <w:t>.</w:t>
      </w:r>
    </w:p>
    <w:p w14:paraId="7DC7ABF9" w14:textId="77777777" w:rsidR="00000000" w:rsidRDefault="003A1B5D">
      <w:pPr>
        <w:jc w:val="both"/>
        <w:divId w:val="1867332862"/>
        <w:rPr>
          <w:rFonts w:eastAsia="Times New Roman"/>
        </w:rPr>
      </w:pPr>
      <w:r>
        <w:rPr>
          <w:rFonts w:eastAsia="Times New Roman"/>
          <w:b/>
          <w:bCs/>
          <w:sz w:val="20"/>
          <w:szCs w:val="20"/>
        </w:rPr>
        <w:t>REAL ESTATE TRANSACTION</w:t>
      </w:r>
      <w:r>
        <w:rPr>
          <w:rFonts w:eastAsia="Times New Roman"/>
          <w:b/>
          <w:bCs/>
          <w:sz w:val="20"/>
          <w:szCs w:val="20"/>
        </w:rPr>
        <w:t>S</w:t>
      </w:r>
    </w:p>
    <w:p w14:paraId="701D702E" w14:textId="77777777" w:rsidR="00000000" w:rsidRDefault="003A1B5D">
      <w:pPr>
        <w:pStyle w:val="a3"/>
        <w:spacing w:before="120" w:beforeAutospacing="0" w:after="120" w:afterAutospacing="0"/>
        <w:ind w:left="476"/>
        <w:jc w:val="both"/>
        <w:divId w:val="2136287036"/>
        <w:rPr>
          <w:sz w:val="20"/>
          <w:szCs w:val="20"/>
        </w:rPr>
      </w:pPr>
      <w:r>
        <w:rPr>
          <w:b/>
          <w:bCs/>
          <w:sz w:val="20"/>
          <w:szCs w:val="20"/>
        </w:rPr>
        <w:t>Assets Held For Sale and Disposition</w:t>
      </w:r>
      <w:r>
        <w:rPr>
          <w:b/>
          <w:bCs/>
          <w:sz w:val="20"/>
          <w:szCs w:val="20"/>
        </w:rPr>
        <w:t>s</w:t>
      </w:r>
    </w:p>
    <w:p w14:paraId="34659750" w14:textId="77777777" w:rsidR="00000000" w:rsidRDefault="003A1B5D">
      <w:pPr>
        <w:pStyle w:val="a3"/>
        <w:spacing w:before="120" w:beforeAutospacing="0" w:after="0" w:afterAutospacing="0"/>
        <w:ind w:left="476"/>
        <w:jc w:val="both"/>
        <w:divId w:val="2136287036"/>
        <w:rPr>
          <w:sz w:val="20"/>
          <w:szCs w:val="20"/>
        </w:rPr>
      </w:pPr>
      <w:r>
        <w:rPr>
          <w:sz w:val="20"/>
          <w:szCs w:val="20"/>
        </w:rPr>
        <w:t xml:space="preserve">In September 2022, CoreCivic entered into a Letter of Intent with a third party for the sale of CoreCivic's Roth Hall Residential Reentry Center and the Walker Hall Residential Reentry Center, </w:t>
      </w:r>
      <w:r>
        <w:rPr>
          <w:sz w:val="20"/>
          <w:szCs w:val="20"/>
        </w:rPr>
        <w:t xml:space="preserve">both of which are located in Philadelphia, Pennsylvania and reported in CoreCivic's Properties segment. The gross sales price for the properties is </w:t>
      </w:r>
      <w:r>
        <w:rPr>
          <w:sz w:val="20"/>
          <w:szCs w:val="20"/>
        </w:rPr>
        <w:t>$</w:t>
      </w:r>
      <w:r>
        <w:rPr>
          <w:sz w:val="20"/>
          <w:szCs w:val="20"/>
        </w:rPr>
        <w:t>6.</w:t>
      </w:r>
      <w:r>
        <w:rPr>
          <w:sz w:val="20"/>
          <w:szCs w:val="20"/>
        </w:rPr>
        <w:t>3</w:t>
      </w:r>
      <w:r>
        <w:rPr>
          <w:sz w:val="20"/>
          <w:szCs w:val="20"/>
        </w:rPr>
        <w:t xml:space="preserve"> million. The aggregate carrying value of the properties, amounting to </w:t>
      </w:r>
      <w:r>
        <w:rPr>
          <w:sz w:val="20"/>
          <w:szCs w:val="20"/>
        </w:rPr>
        <w:t>$</w:t>
      </w:r>
      <w:r>
        <w:rPr>
          <w:sz w:val="20"/>
          <w:szCs w:val="20"/>
        </w:rPr>
        <w:t>5.</w:t>
      </w:r>
      <w:r>
        <w:rPr>
          <w:sz w:val="20"/>
          <w:szCs w:val="20"/>
        </w:rPr>
        <w:t>8</w:t>
      </w:r>
      <w:r>
        <w:rPr>
          <w:sz w:val="20"/>
          <w:szCs w:val="20"/>
        </w:rPr>
        <w:t xml:space="preserve"> million, was reflected as as</w:t>
      </w:r>
      <w:r>
        <w:rPr>
          <w:sz w:val="20"/>
          <w:szCs w:val="20"/>
        </w:rPr>
        <w:t>sets held for sale on the Company's consolidated balance sheet as of September 30, 2022</w:t>
      </w:r>
      <w:r>
        <w:rPr>
          <w:sz w:val="20"/>
          <w:szCs w:val="20"/>
        </w:rPr>
        <w:t>.</w:t>
      </w:r>
    </w:p>
    <w:p w14:paraId="386AA29E" w14:textId="77777777" w:rsidR="00000000" w:rsidRDefault="003A1B5D">
      <w:pPr>
        <w:pStyle w:val="a3"/>
        <w:spacing w:before="240" w:beforeAutospacing="0" w:after="0" w:afterAutospacing="0"/>
        <w:ind w:left="476"/>
        <w:jc w:val="both"/>
        <w:divId w:val="2136287036"/>
        <w:rPr>
          <w:sz w:val="20"/>
          <w:szCs w:val="20"/>
        </w:rPr>
      </w:pPr>
      <w:r>
        <w:rPr>
          <w:sz w:val="20"/>
          <w:szCs w:val="20"/>
        </w:rPr>
        <w:t xml:space="preserve">As of September 30, 2022, CoreCivic also had an additional idled residential reentry center in Oklahoma City, Oklahoma with a carrying value of </w:t>
      </w:r>
      <w:r>
        <w:rPr>
          <w:sz w:val="20"/>
          <w:szCs w:val="20"/>
        </w:rPr>
        <w:t>$</w:t>
      </w:r>
      <w:r>
        <w:rPr>
          <w:sz w:val="20"/>
          <w:szCs w:val="20"/>
        </w:rPr>
        <w:t>0.</w:t>
      </w:r>
      <w:r>
        <w:rPr>
          <w:sz w:val="20"/>
          <w:szCs w:val="20"/>
        </w:rPr>
        <w:t>9</w:t>
      </w:r>
      <w:r>
        <w:rPr>
          <w:sz w:val="20"/>
          <w:szCs w:val="20"/>
        </w:rPr>
        <w:t xml:space="preserve"> million classified</w:t>
      </w:r>
      <w:r>
        <w:rPr>
          <w:sz w:val="20"/>
          <w:szCs w:val="20"/>
        </w:rPr>
        <w:t xml:space="preserve"> as assets held for sale and reported in CoreCivic's Community segment. The facility is under a Purchase and Sale Agreement for a gross sales price of </w:t>
      </w:r>
      <w:r>
        <w:rPr>
          <w:sz w:val="20"/>
          <w:szCs w:val="20"/>
        </w:rPr>
        <w:t>$</w:t>
      </w:r>
      <w:r>
        <w:rPr>
          <w:sz w:val="20"/>
          <w:szCs w:val="20"/>
        </w:rPr>
        <w:t>1.</w:t>
      </w:r>
      <w:r>
        <w:rPr>
          <w:sz w:val="20"/>
          <w:szCs w:val="20"/>
        </w:rPr>
        <w:t>0</w:t>
      </w:r>
      <w:r>
        <w:rPr>
          <w:sz w:val="20"/>
          <w:szCs w:val="20"/>
        </w:rPr>
        <w:t xml:space="preserve"> million, which is expected to close in November 2022. Pursuant to the agreement to sell the Oklahoma</w:t>
      </w:r>
      <w:r>
        <w:rPr>
          <w:sz w:val="20"/>
          <w:szCs w:val="20"/>
        </w:rPr>
        <w:t xml:space="preserve"> City property, in the third quarter of 2022, CoreCivic recognized an impairment charge of </w:t>
      </w:r>
      <w:r>
        <w:rPr>
          <w:sz w:val="20"/>
          <w:szCs w:val="20"/>
        </w:rPr>
        <w:t>$</w:t>
      </w:r>
      <w:r>
        <w:rPr>
          <w:sz w:val="20"/>
          <w:szCs w:val="20"/>
        </w:rPr>
        <w:t>3.</w:t>
      </w:r>
      <w:r>
        <w:rPr>
          <w:sz w:val="20"/>
          <w:szCs w:val="20"/>
        </w:rPr>
        <w:t>5</w:t>
      </w:r>
      <w:r>
        <w:rPr>
          <w:sz w:val="20"/>
          <w:szCs w:val="20"/>
        </w:rPr>
        <w:t xml:space="preserve"> million associated with this facility, based on its estimated net realizable value less costs to sell</w:t>
      </w:r>
      <w:r>
        <w:rPr>
          <w:sz w:val="20"/>
          <w:szCs w:val="20"/>
        </w:rPr>
        <w:t>.</w:t>
      </w:r>
    </w:p>
    <w:p w14:paraId="6DED56F8" w14:textId="77777777" w:rsidR="00000000" w:rsidRDefault="003A1B5D">
      <w:pPr>
        <w:pStyle w:val="a3"/>
        <w:spacing w:before="240" w:beforeAutospacing="0" w:after="0" w:afterAutospacing="0"/>
        <w:ind w:left="476"/>
        <w:jc w:val="both"/>
        <w:divId w:val="2136287036"/>
        <w:rPr>
          <w:sz w:val="20"/>
          <w:szCs w:val="20"/>
        </w:rPr>
      </w:pPr>
      <w:r>
        <w:rPr>
          <w:sz w:val="20"/>
          <w:szCs w:val="20"/>
        </w:rPr>
        <w:t>On July 25, 2022, CoreCivic entered into a Purchase and S</w:t>
      </w:r>
      <w:r>
        <w:rPr>
          <w:sz w:val="20"/>
          <w:szCs w:val="20"/>
        </w:rPr>
        <w:t xml:space="preserve">ale Agreement with the Georgia Building Authority for the sale of CoreCivic's McRae Correctional Facility located in McRae, Georgia, and reported in CoreCivic's Safety segment, for a gross sales price of </w:t>
      </w:r>
      <w:r>
        <w:rPr>
          <w:sz w:val="20"/>
          <w:szCs w:val="20"/>
        </w:rPr>
        <w:t>$</w:t>
      </w:r>
      <w:r>
        <w:rPr>
          <w:sz w:val="20"/>
          <w:szCs w:val="20"/>
        </w:rPr>
        <w:t>130.</w:t>
      </w:r>
      <w:r>
        <w:rPr>
          <w:sz w:val="20"/>
          <w:szCs w:val="20"/>
        </w:rPr>
        <w:t>0</w:t>
      </w:r>
      <w:r>
        <w:rPr>
          <w:sz w:val="20"/>
          <w:szCs w:val="20"/>
        </w:rPr>
        <w:t xml:space="preserve"> million. The sale of the McRae facility was c</w:t>
      </w:r>
      <w:r>
        <w:rPr>
          <w:sz w:val="20"/>
          <w:szCs w:val="20"/>
        </w:rPr>
        <w:t xml:space="preserve">ompleted on August 9, 2022. The sale generated net proceeds of </w:t>
      </w:r>
      <w:r>
        <w:rPr>
          <w:sz w:val="20"/>
          <w:szCs w:val="20"/>
        </w:rPr>
        <w:t>$</w:t>
      </w:r>
      <w:r>
        <w:rPr>
          <w:sz w:val="20"/>
          <w:szCs w:val="20"/>
        </w:rPr>
        <w:t>129.</w:t>
      </w:r>
      <w:r>
        <w:rPr>
          <w:sz w:val="20"/>
          <w:szCs w:val="20"/>
        </w:rPr>
        <w:t>7</w:t>
      </w:r>
      <w:r>
        <w:rPr>
          <w:sz w:val="20"/>
          <w:szCs w:val="20"/>
        </w:rPr>
        <w:t xml:space="preserve"> million, resulting in a gain on sale of </w:t>
      </w:r>
      <w:r>
        <w:rPr>
          <w:sz w:val="20"/>
          <w:szCs w:val="20"/>
        </w:rPr>
        <w:t>$</w:t>
      </w:r>
      <w:r>
        <w:rPr>
          <w:sz w:val="20"/>
          <w:szCs w:val="20"/>
        </w:rPr>
        <w:t>77.</w:t>
      </w:r>
      <w:r>
        <w:rPr>
          <w:sz w:val="20"/>
          <w:szCs w:val="20"/>
        </w:rPr>
        <w:t>5</w:t>
      </w:r>
      <w:r>
        <w:rPr>
          <w:sz w:val="20"/>
          <w:szCs w:val="20"/>
        </w:rPr>
        <w:t xml:space="preserve"> million after transaction costs, which was reported in the third quarter of 2022. CoreCivic currently has a management contract with the BOP</w:t>
      </w:r>
      <w:r>
        <w:rPr>
          <w:sz w:val="20"/>
          <w:szCs w:val="20"/>
        </w:rPr>
        <w:t xml:space="preserve"> at the McRae facility, which expires November 30, 2022. As previously disclosed, CoreCivic does not expect the BOP to renew the contract upon its expiration. In connection with the sale, CoreCivic and the Georgia Building Authority entered into an agreeme</w:t>
      </w:r>
      <w:r>
        <w:rPr>
          <w:sz w:val="20"/>
          <w:szCs w:val="20"/>
        </w:rPr>
        <w:t>nt to lease the McRae Correctional Facility to CoreCivic through November 30, 2022 to allow the Company to fulfill its obligations to the BOP</w:t>
      </w:r>
      <w:r>
        <w:rPr>
          <w:sz w:val="20"/>
          <w:szCs w:val="20"/>
        </w:rPr>
        <w:t>.</w:t>
      </w:r>
      <w:r>
        <w:rPr>
          <w:sz w:val="20"/>
          <w:szCs w:val="20"/>
        </w:rPr>
        <w:t xml:space="preserve"> </w:t>
      </w:r>
    </w:p>
    <w:p w14:paraId="452E648D" w14:textId="77777777" w:rsidR="00000000" w:rsidRDefault="003A1B5D">
      <w:pPr>
        <w:pStyle w:val="a3"/>
        <w:spacing w:before="240" w:beforeAutospacing="0" w:after="0" w:afterAutospacing="0"/>
        <w:ind w:left="476"/>
        <w:jc w:val="both"/>
        <w:divId w:val="2136287036"/>
        <w:rPr>
          <w:sz w:val="20"/>
          <w:szCs w:val="20"/>
        </w:rPr>
      </w:pPr>
      <w:r>
        <w:rPr>
          <w:sz w:val="20"/>
          <w:szCs w:val="20"/>
        </w:rPr>
        <w:t>During July 2022, CoreCivic sold its Stockton Female Community Corrections Facility and its Long Beach Community</w:t>
      </w:r>
      <w:r>
        <w:rPr>
          <w:sz w:val="20"/>
          <w:szCs w:val="20"/>
        </w:rPr>
        <w:t xml:space="preserve"> Corrections Center, both located in California, and reported in CoreCivic's Properties segment. The sale of these properties to a third party generated net sales proceeds of </w:t>
      </w:r>
      <w:r>
        <w:rPr>
          <w:sz w:val="20"/>
          <w:szCs w:val="20"/>
        </w:rPr>
        <w:t>$</w:t>
      </w:r>
      <w:r>
        <w:rPr>
          <w:sz w:val="20"/>
          <w:szCs w:val="20"/>
        </w:rPr>
        <w:t>10.</w:t>
      </w:r>
      <w:r>
        <w:rPr>
          <w:sz w:val="20"/>
          <w:szCs w:val="20"/>
        </w:rPr>
        <w:t>9</w:t>
      </w:r>
      <w:r>
        <w:rPr>
          <w:sz w:val="20"/>
          <w:szCs w:val="20"/>
        </w:rPr>
        <w:t xml:space="preserve"> million, resulting in a gain on sale of </w:t>
      </w:r>
      <w:r>
        <w:rPr>
          <w:sz w:val="20"/>
          <w:szCs w:val="20"/>
        </w:rPr>
        <w:t>$</w:t>
      </w:r>
      <w:r>
        <w:rPr>
          <w:sz w:val="20"/>
          <w:szCs w:val="20"/>
        </w:rPr>
        <w:t>2.</w:t>
      </w:r>
      <w:r>
        <w:rPr>
          <w:sz w:val="20"/>
          <w:szCs w:val="20"/>
        </w:rPr>
        <w:t>3</w:t>
      </w:r>
      <w:r>
        <w:rPr>
          <w:sz w:val="20"/>
          <w:szCs w:val="20"/>
        </w:rPr>
        <w:t xml:space="preserve"> million after transaction cost</w:t>
      </w:r>
      <w:r>
        <w:rPr>
          <w:sz w:val="20"/>
          <w:szCs w:val="20"/>
        </w:rPr>
        <w:t>s, which was reported in the third quarter of 2022.</w:t>
      </w:r>
      <w:r>
        <w:rPr>
          <w:sz w:val="20"/>
          <w:szCs w:val="20"/>
        </w:rPr>
        <w:t xml:space="preserve"> </w:t>
      </w:r>
      <w:r>
        <w:rPr>
          <w:sz w:val="20"/>
          <w:szCs w:val="20"/>
        </w:rPr>
        <w:t>During July 2022, CoreCivic also sold an additional undeveloped parcel of land.</w:t>
      </w:r>
      <w:r>
        <w:rPr>
          <w:sz w:val="20"/>
          <w:szCs w:val="20"/>
        </w:rPr>
        <w:t xml:space="preserve"> </w:t>
      </w:r>
      <w:r>
        <w:rPr>
          <w:sz w:val="20"/>
          <w:szCs w:val="20"/>
        </w:rPr>
        <w:t xml:space="preserve">The sale of this parcel generated net sales proceeds of </w:t>
      </w:r>
      <w:r>
        <w:rPr>
          <w:sz w:val="20"/>
          <w:szCs w:val="20"/>
        </w:rPr>
        <w:t>$</w:t>
      </w:r>
      <w:r>
        <w:rPr>
          <w:sz w:val="20"/>
          <w:szCs w:val="20"/>
        </w:rPr>
        <w:t>4.</w:t>
      </w:r>
      <w:r>
        <w:rPr>
          <w:sz w:val="20"/>
          <w:szCs w:val="20"/>
        </w:rPr>
        <w:t>8</w:t>
      </w:r>
      <w:r>
        <w:rPr>
          <w:sz w:val="20"/>
          <w:szCs w:val="20"/>
        </w:rPr>
        <w:t xml:space="preserve"> million, resulting in a gain of </w:t>
      </w:r>
      <w:r>
        <w:rPr>
          <w:sz w:val="20"/>
          <w:szCs w:val="20"/>
        </w:rPr>
        <w:t>$</w:t>
      </w:r>
      <w:r>
        <w:rPr>
          <w:sz w:val="20"/>
          <w:szCs w:val="20"/>
        </w:rPr>
        <w:t>4.</w:t>
      </w:r>
      <w:r>
        <w:rPr>
          <w:sz w:val="20"/>
          <w:szCs w:val="20"/>
        </w:rPr>
        <w:t>2</w:t>
      </w:r>
      <w:r>
        <w:rPr>
          <w:sz w:val="20"/>
          <w:szCs w:val="20"/>
        </w:rPr>
        <w:t xml:space="preserve"> million after transaction </w:t>
      </w:r>
      <w:r>
        <w:rPr>
          <w:sz w:val="20"/>
          <w:szCs w:val="20"/>
        </w:rPr>
        <w:t>costs, which was reported in the third quarter of 2022</w:t>
      </w:r>
      <w:r>
        <w:rPr>
          <w:sz w:val="20"/>
          <w:szCs w:val="20"/>
        </w:rPr>
        <w:t>.</w:t>
      </w:r>
      <w:r>
        <w:rPr>
          <w:sz w:val="20"/>
          <w:szCs w:val="20"/>
        </w:rPr>
        <w:t xml:space="preserve"> </w:t>
      </w:r>
    </w:p>
    <w:p w14:paraId="1FD443D3" w14:textId="77777777" w:rsidR="00000000" w:rsidRDefault="003A1B5D">
      <w:pPr>
        <w:pStyle w:val="a3"/>
        <w:spacing w:before="240" w:beforeAutospacing="0" w:after="0" w:afterAutospacing="0"/>
        <w:ind w:left="476"/>
        <w:jc w:val="both"/>
        <w:divId w:val="2136287036"/>
        <w:rPr>
          <w:sz w:val="20"/>
          <w:szCs w:val="20"/>
        </w:rPr>
      </w:pPr>
      <w:r>
        <w:rPr>
          <w:sz w:val="20"/>
          <w:szCs w:val="20"/>
        </w:rPr>
        <w:t xml:space="preserve">During the second quarter of 2022, CoreCivic sold an undeveloped parcel of land in Kern, California. The sale generated net proceeds of </w:t>
      </w:r>
      <w:r>
        <w:rPr>
          <w:sz w:val="20"/>
          <w:szCs w:val="20"/>
        </w:rPr>
        <w:t>$</w:t>
      </w:r>
      <w:r>
        <w:rPr>
          <w:sz w:val="20"/>
          <w:szCs w:val="20"/>
        </w:rPr>
        <w:t>1.</w:t>
      </w:r>
      <w:r>
        <w:rPr>
          <w:sz w:val="20"/>
          <w:szCs w:val="20"/>
        </w:rPr>
        <w:t>5</w:t>
      </w:r>
      <w:r>
        <w:rPr>
          <w:sz w:val="20"/>
          <w:szCs w:val="20"/>
        </w:rPr>
        <w:t xml:space="preserve"> million, resulting in a gain on sale of </w:t>
      </w:r>
      <w:r>
        <w:rPr>
          <w:sz w:val="20"/>
          <w:szCs w:val="20"/>
        </w:rPr>
        <w:t>$</w:t>
      </w:r>
      <w:r>
        <w:rPr>
          <w:sz w:val="20"/>
          <w:szCs w:val="20"/>
        </w:rPr>
        <w:t>1.</w:t>
      </w:r>
      <w:r>
        <w:rPr>
          <w:sz w:val="20"/>
          <w:szCs w:val="20"/>
        </w:rPr>
        <w:t>1</w:t>
      </w:r>
      <w:r>
        <w:rPr>
          <w:sz w:val="20"/>
          <w:szCs w:val="20"/>
        </w:rPr>
        <w:t xml:space="preserve"> million after</w:t>
      </w:r>
      <w:r>
        <w:rPr>
          <w:sz w:val="20"/>
          <w:szCs w:val="20"/>
        </w:rPr>
        <w:t xml:space="preserve"> transaction costs</w:t>
      </w:r>
      <w:r>
        <w:rPr>
          <w:sz w:val="20"/>
          <w:szCs w:val="20"/>
        </w:rPr>
        <w:t>.</w:t>
      </w:r>
      <w:r>
        <w:rPr>
          <w:sz w:val="20"/>
          <w:szCs w:val="20"/>
        </w:rPr>
        <w:t xml:space="preserve"> </w:t>
      </w:r>
    </w:p>
    <w:p w14:paraId="2D3ABDE2" w14:textId="77777777" w:rsidR="00000000" w:rsidRDefault="003A1B5D">
      <w:pPr>
        <w:pStyle w:val="a3"/>
        <w:spacing w:before="240" w:beforeAutospacing="0" w:after="0" w:afterAutospacing="0"/>
        <w:ind w:left="476"/>
        <w:jc w:val="both"/>
        <w:divId w:val="2136287036"/>
        <w:rPr>
          <w:sz w:val="20"/>
          <w:szCs w:val="20"/>
        </w:rPr>
      </w:pPr>
      <w:r>
        <w:rPr>
          <w:sz w:val="20"/>
          <w:szCs w:val="20"/>
        </w:rPr>
        <w:t>As of December 31, 2021, CoreCivic had</w:t>
      </w:r>
      <w:r>
        <w:rPr>
          <w:sz w:val="20"/>
          <w:szCs w:val="20"/>
        </w:rPr>
        <w:t xml:space="preserve"> </w:t>
      </w:r>
      <w:r>
        <w:rPr>
          <w:sz w:val="20"/>
          <w:szCs w:val="20"/>
        </w:rPr>
        <w:t>tw</w:t>
      </w:r>
      <w:r>
        <w:rPr>
          <w:sz w:val="20"/>
          <w:szCs w:val="20"/>
        </w:rPr>
        <w:t>o</w:t>
      </w:r>
      <w:r>
        <w:rPr>
          <w:sz w:val="20"/>
          <w:szCs w:val="20"/>
        </w:rPr>
        <w:t xml:space="preserve"> facilities in its CoreCivic Community segment held for sale. The aggregate carrying value of the property and equipment of these two facilities, amounting to </w:t>
      </w:r>
      <w:r>
        <w:rPr>
          <w:sz w:val="20"/>
          <w:szCs w:val="20"/>
        </w:rPr>
        <w:t>$</w:t>
      </w:r>
      <w:r>
        <w:rPr>
          <w:sz w:val="20"/>
          <w:szCs w:val="20"/>
        </w:rPr>
        <w:t>7.</w:t>
      </w:r>
      <w:r>
        <w:rPr>
          <w:sz w:val="20"/>
          <w:szCs w:val="20"/>
        </w:rPr>
        <w:t>0</w:t>
      </w:r>
      <w:r>
        <w:rPr>
          <w:sz w:val="20"/>
          <w:szCs w:val="20"/>
        </w:rPr>
        <w:t xml:space="preserve"> million, was reflected as ass</w:t>
      </w:r>
      <w:r>
        <w:rPr>
          <w:sz w:val="20"/>
          <w:szCs w:val="20"/>
        </w:rPr>
        <w:t xml:space="preserve">ets held for sale on the Company's consolidated balance sheet as of December 31, 2021. The Company closed on the sale of these two facilities, one of which was idle, in the first quarter of 2022. The aggregate net sales proceeds of the two facilities was </w:t>
      </w:r>
      <w:r>
        <w:rPr>
          <w:sz w:val="20"/>
          <w:szCs w:val="20"/>
        </w:rPr>
        <w:t>$</w:t>
      </w:r>
      <w:r>
        <w:rPr>
          <w:sz w:val="20"/>
          <w:szCs w:val="20"/>
        </w:rPr>
        <w:t>9.</w:t>
      </w:r>
      <w:r>
        <w:rPr>
          <w:sz w:val="20"/>
          <w:szCs w:val="20"/>
        </w:rPr>
        <w:t>3</w:t>
      </w:r>
      <w:r>
        <w:rPr>
          <w:sz w:val="20"/>
          <w:szCs w:val="20"/>
        </w:rPr>
        <w:t xml:space="preserve"> million, resulting in a net gain on sale of </w:t>
      </w:r>
      <w:r>
        <w:rPr>
          <w:sz w:val="20"/>
          <w:szCs w:val="20"/>
        </w:rPr>
        <w:t>$</w:t>
      </w:r>
      <w:r>
        <w:rPr>
          <w:sz w:val="20"/>
          <w:szCs w:val="20"/>
        </w:rPr>
        <w:t>2.</w:t>
      </w:r>
      <w:r>
        <w:rPr>
          <w:sz w:val="20"/>
          <w:szCs w:val="20"/>
        </w:rPr>
        <w:t>3</w:t>
      </w:r>
      <w:r>
        <w:rPr>
          <w:sz w:val="20"/>
          <w:szCs w:val="20"/>
        </w:rPr>
        <w:t xml:space="preserve"> million after transaction costs</w:t>
      </w:r>
      <w:r>
        <w:rPr>
          <w:sz w:val="20"/>
          <w:szCs w:val="20"/>
        </w:rPr>
        <w:t>.</w:t>
      </w:r>
    </w:p>
    <w:p w14:paraId="419364D6" w14:textId="77777777" w:rsidR="00000000" w:rsidRDefault="003A1B5D">
      <w:pPr>
        <w:pStyle w:val="a3"/>
        <w:spacing w:before="240" w:beforeAutospacing="0" w:after="0" w:afterAutospacing="0"/>
        <w:ind w:left="476"/>
        <w:jc w:val="both"/>
        <w:divId w:val="2136287036"/>
        <w:rPr>
          <w:sz w:val="20"/>
          <w:szCs w:val="20"/>
        </w:rPr>
      </w:pPr>
      <w:r>
        <w:rPr>
          <w:sz w:val="20"/>
          <w:szCs w:val="20"/>
        </w:rPr>
        <w:t>During the full year 2021, CoreCivic completed the sale of</w:t>
      </w:r>
      <w:r>
        <w:rPr>
          <w:sz w:val="20"/>
          <w:szCs w:val="20"/>
        </w:rPr>
        <w:t xml:space="preserve"> </w:t>
      </w:r>
      <w:r>
        <w:rPr>
          <w:sz w:val="20"/>
          <w:szCs w:val="20"/>
        </w:rPr>
        <w:t>fiv</w:t>
      </w:r>
      <w:r>
        <w:rPr>
          <w:sz w:val="20"/>
          <w:szCs w:val="20"/>
        </w:rPr>
        <w:t>e</w:t>
      </w:r>
      <w:r>
        <w:rPr>
          <w:sz w:val="20"/>
          <w:szCs w:val="20"/>
        </w:rPr>
        <w:t xml:space="preserve"> government-leased properties in the Company's Properties segment. The sales of the five properties generat</w:t>
      </w:r>
      <w:r>
        <w:rPr>
          <w:sz w:val="20"/>
          <w:szCs w:val="20"/>
        </w:rPr>
        <w:t xml:space="preserve">ed aggregate net proceeds of </w:t>
      </w:r>
      <w:r>
        <w:rPr>
          <w:sz w:val="20"/>
          <w:szCs w:val="20"/>
        </w:rPr>
        <w:t>$</w:t>
      </w:r>
      <w:r>
        <w:rPr>
          <w:sz w:val="20"/>
          <w:szCs w:val="20"/>
        </w:rPr>
        <w:t>125.</w:t>
      </w:r>
      <w:r>
        <w:rPr>
          <w:sz w:val="20"/>
          <w:szCs w:val="20"/>
        </w:rPr>
        <w:t>0</w:t>
      </w:r>
      <w:r>
        <w:rPr>
          <w:sz w:val="20"/>
          <w:szCs w:val="20"/>
        </w:rPr>
        <w:t xml:space="preserve"> million, after the repayment of mortgage debt and other transaction-related costs, resulting in an aggregate net gain on sale of </w:t>
      </w:r>
      <w:r>
        <w:rPr>
          <w:sz w:val="20"/>
          <w:szCs w:val="20"/>
        </w:rPr>
        <w:t>$</w:t>
      </w:r>
      <w:r>
        <w:rPr>
          <w:sz w:val="20"/>
          <w:szCs w:val="20"/>
        </w:rPr>
        <w:t>38.</w:t>
      </w:r>
      <w:r>
        <w:rPr>
          <w:sz w:val="20"/>
          <w:szCs w:val="20"/>
        </w:rPr>
        <w:t>7</w:t>
      </w:r>
      <w:r>
        <w:rPr>
          <w:sz w:val="20"/>
          <w:szCs w:val="20"/>
        </w:rPr>
        <w:t xml:space="preserve"> million</w:t>
      </w:r>
      <w:r>
        <w:rPr>
          <w:sz w:val="20"/>
          <w:szCs w:val="20"/>
        </w:rPr>
        <w:t>.</w:t>
      </w:r>
      <w:r>
        <w:rPr>
          <w:sz w:val="20"/>
          <w:szCs w:val="20"/>
        </w:rPr>
        <w:t xml:space="preserve"> </w:t>
      </w:r>
    </w:p>
    <w:p w14:paraId="4E90487F" w14:textId="77777777" w:rsidR="00000000" w:rsidRDefault="003A1B5D">
      <w:pPr>
        <w:pStyle w:val="a3"/>
        <w:spacing w:before="240" w:beforeAutospacing="0" w:after="0" w:afterAutospacing="0"/>
        <w:ind w:left="476"/>
        <w:jc w:val="both"/>
        <w:divId w:val="2136287036"/>
        <w:rPr>
          <w:sz w:val="20"/>
          <w:szCs w:val="20"/>
        </w:rPr>
      </w:pPr>
      <w:r>
        <w:rPr>
          <w:sz w:val="20"/>
          <w:szCs w:val="20"/>
        </w:rPr>
        <w:t>CoreCivic determined that its joint venture investment in Government Real E</w:t>
      </w:r>
      <w:r>
        <w:rPr>
          <w:sz w:val="20"/>
          <w:szCs w:val="20"/>
        </w:rPr>
        <w:t>state Solutions, LLC ("GRES"), an unrestricted subsidiary previously controlled by the Company, represented a variable interest entity ("VIE") in accordance with ASC 810, "Consolidation". CoreCivic had</w:t>
      </w:r>
      <w:r>
        <w:rPr>
          <w:sz w:val="20"/>
          <w:szCs w:val="20"/>
        </w:rPr>
        <w:t xml:space="preserve"> </w:t>
      </w:r>
      <w:r>
        <w:rPr>
          <w:sz w:val="20"/>
          <w:szCs w:val="20"/>
        </w:rPr>
        <w:t>10</w:t>
      </w:r>
      <w:r>
        <w:rPr>
          <w:sz w:val="20"/>
          <w:szCs w:val="20"/>
        </w:rPr>
        <w:t>0</w:t>
      </w:r>
      <w:r>
        <w:rPr>
          <w:sz w:val="20"/>
          <w:szCs w:val="20"/>
        </w:rPr>
        <w:t>% voting control in GRES. Accordingly, CoreCivic co</w:t>
      </w:r>
      <w:r>
        <w:rPr>
          <w:sz w:val="20"/>
          <w:szCs w:val="20"/>
        </w:rPr>
        <w:t xml:space="preserve">ncluded that it was the primary beneficiary of GRES and consolidated the VIE. The primary beneficiary is the entity that has (i) the power to direct the activities that most significantly impact the entity's economic performance and (ii) the obligation to </w:t>
      </w:r>
      <w:r>
        <w:rPr>
          <w:sz w:val="20"/>
          <w:szCs w:val="20"/>
        </w:rPr>
        <w:t>absorb losses of the VIE or the right to receive benefits from the VIE that could be significant to the VIE. During June 2021, CoreCivic provided notice to the partners of GRES of its intent to distribute the remaining assets and terminate the partnership.</w:t>
      </w:r>
      <w:r>
        <w:rPr>
          <w:sz w:val="20"/>
          <w:szCs w:val="20"/>
        </w:rPr>
        <w:t xml:space="preserve"> The Company terminated the partnership in September 2021 and cancelled the applicable Operating Partnership Units for no consideration. During the third quarter of 2021, the Company reported an increase to stockholders' equity of </w:t>
      </w:r>
      <w:r>
        <w:rPr>
          <w:sz w:val="20"/>
          <w:szCs w:val="20"/>
        </w:rPr>
        <w:t>$</w:t>
      </w:r>
      <w:r>
        <w:rPr>
          <w:sz w:val="20"/>
          <w:szCs w:val="20"/>
        </w:rPr>
        <w:t>17.</w:t>
      </w:r>
      <w:r>
        <w:rPr>
          <w:sz w:val="20"/>
          <w:szCs w:val="20"/>
        </w:rPr>
        <w:t>4</w:t>
      </w:r>
      <w:r>
        <w:rPr>
          <w:sz w:val="20"/>
          <w:szCs w:val="20"/>
        </w:rPr>
        <w:t xml:space="preserve"> million resulting f</w:t>
      </w:r>
      <w:r>
        <w:rPr>
          <w:sz w:val="20"/>
          <w:szCs w:val="20"/>
        </w:rPr>
        <w:t>rom the termination of the partnership</w:t>
      </w:r>
      <w:r>
        <w:rPr>
          <w:sz w:val="20"/>
          <w:szCs w:val="20"/>
        </w:rPr>
        <w:t>.</w:t>
      </w:r>
    </w:p>
    <w:p w14:paraId="103A196A" w14:textId="77777777" w:rsidR="00000000" w:rsidRDefault="003A1B5D">
      <w:pPr>
        <w:pStyle w:val="a3"/>
        <w:spacing w:before="240" w:beforeAutospacing="0" w:after="0" w:afterAutospacing="0"/>
        <w:jc w:val="center"/>
        <w:divId w:val="2136287036"/>
        <w:rPr>
          <w:sz w:val="20"/>
          <w:szCs w:val="20"/>
        </w:rPr>
      </w:pPr>
      <w:r>
        <w:rPr>
          <w:sz w:val="20"/>
          <w:szCs w:val="20"/>
        </w:rPr>
        <w:t>8</w:t>
      </w:r>
    </w:p>
    <w:p w14:paraId="1FEDB2DA" w14:textId="77777777" w:rsidR="00000000" w:rsidRDefault="003A1B5D">
      <w:pPr>
        <w:divId w:val="2136287036"/>
        <w:rPr>
          <w:rFonts w:eastAsia="Times New Roman"/>
        </w:rPr>
      </w:pPr>
      <w:r>
        <w:rPr>
          <w:rFonts w:eastAsia="Times New Roman"/>
        </w:rPr>
        <w:pict w14:anchorId="540616BB">
          <v:rect id="_x0000_i1034" style="width:0;height:1.5pt" o:hralign="center" o:hrstd="t" o:hr="t" fillcolor="#a0a0a0" stroked="f"/>
        </w:pict>
      </w:r>
    </w:p>
    <w:p w14:paraId="7CF329A3" w14:textId="77777777" w:rsidR="00000000" w:rsidRDefault="003A1B5D">
      <w:pPr>
        <w:pStyle w:val="a3"/>
        <w:spacing w:before="0" w:beforeAutospacing="0" w:after="0" w:afterAutospacing="0"/>
        <w:divId w:val="2136287036"/>
        <w:rPr>
          <w:sz w:val="20"/>
          <w:szCs w:val="20"/>
        </w:rPr>
      </w:pPr>
      <w:r>
        <w:rPr>
          <w:sz w:val="20"/>
          <w:szCs w:val="20"/>
        </w:rPr>
        <w:t> </w:t>
      </w:r>
    </w:p>
    <w:p w14:paraId="17914741" w14:textId="77777777" w:rsidR="00000000" w:rsidRDefault="003A1B5D">
      <w:pPr>
        <w:pStyle w:val="a3"/>
        <w:spacing w:before="360" w:beforeAutospacing="0" w:after="0" w:afterAutospacing="0"/>
        <w:ind w:left="476"/>
        <w:jc w:val="both"/>
        <w:divId w:val="2136287036"/>
        <w:rPr>
          <w:sz w:val="20"/>
          <w:szCs w:val="20"/>
        </w:rPr>
      </w:pPr>
      <w:r>
        <w:rPr>
          <w:b/>
          <w:bCs/>
          <w:sz w:val="20"/>
          <w:szCs w:val="20"/>
        </w:rPr>
        <w:t>Idle Facilitie</w:t>
      </w:r>
      <w:r>
        <w:rPr>
          <w:b/>
          <w:bCs/>
          <w:sz w:val="20"/>
          <w:szCs w:val="20"/>
        </w:rPr>
        <w:t>s</w:t>
      </w:r>
    </w:p>
    <w:p w14:paraId="3B6757F7" w14:textId="77777777" w:rsidR="00000000" w:rsidRDefault="003A1B5D">
      <w:pPr>
        <w:pStyle w:val="a3"/>
        <w:spacing w:before="120" w:beforeAutospacing="0" w:after="0" w:afterAutospacing="0"/>
        <w:ind w:left="476"/>
        <w:jc w:val="both"/>
        <w:divId w:val="2136287036"/>
        <w:rPr>
          <w:sz w:val="20"/>
          <w:szCs w:val="20"/>
        </w:rPr>
      </w:pPr>
      <w:r>
        <w:rPr>
          <w:sz w:val="20"/>
          <w:szCs w:val="20"/>
        </w:rPr>
        <w:t>As of September 30, 202</w:t>
      </w:r>
      <w:r>
        <w:rPr>
          <w:sz w:val="20"/>
          <w:szCs w:val="20"/>
        </w:rPr>
        <w:t>2</w:t>
      </w:r>
      <w:r>
        <w:rPr>
          <w:sz w:val="20"/>
          <w:szCs w:val="20"/>
        </w:rPr>
        <w:t>, CoreCivic had</w:t>
      </w:r>
      <w:r>
        <w:rPr>
          <w:sz w:val="20"/>
          <w:szCs w:val="20"/>
        </w:rPr>
        <w:t xml:space="preserve"> </w:t>
      </w:r>
      <w:r>
        <w:rPr>
          <w:sz w:val="20"/>
          <w:szCs w:val="20"/>
        </w:rPr>
        <w:t>seve</w:t>
      </w:r>
      <w:r>
        <w:rPr>
          <w:sz w:val="20"/>
          <w:szCs w:val="20"/>
        </w:rPr>
        <w:t>n</w:t>
      </w:r>
      <w:r>
        <w:rPr>
          <w:sz w:val="20"/>
          <w:szCs w:val="20"/>
        </w:rPr>
        <w:t xml:space="preserve"> idled CoreCivic Safety correctional facilities that are currently available and being actively marketed as solutio</w:t>
      </w:r>
      <w:r>
        <w:rPr>
          <w:sz w:val="20"/>
          <w:szCs w:val="20"/>
        </w:rPr>
        <w:t>ns to meet the needs of potential customers.</w:t>
      </w:r>
      <w:r>
        <w:rPr>
          <w:sz w:val="20"/>
          <w:szCs w:val="20"/>
        </w:rPr>
        <w:t xml:space="preserve"> </w:t>
      </w:r>
      <w:r>
        <w:rPr>
          <w:sz w:val="20"/>
          <w:szCs w:val="20"/>
        </w:rPr>
        <w:t>The following table summarizes each of the idled facilities and their respective carrying values, excluding equipment and other assets that could generally be transferred and used at other facilities CoreCivic o</w:t>
      </w:r>
      <w:r>
        <w:rPr>
          <w:sz w:val="20"/>
          <w:szCs w:val="20"/>
        </w:rPr>
        <w:t>wns without significant cost (dollars in thousands)</w:t>
      </w:r>
      <w:r>
        <w:rPr>
          <w:sz w:val="20"/>
          <w:szCs w:val="20"/>
        </w:rPr>
        <w:t>:</w:t>
      </w:r>
    </w:p>
    <w:p w14:paraId="06A65FEC" w14:textId="77777777" w:rsidR="00000000" w:rsidRDefault="003A1B5D">
      <w:pPr>
        <w:pStyle w:val="a3"/>
        <w:spacing w:before="0" w:beforeAutospacing="0" w:after="0" w:afterAutospacing="0"/>
        <w:ind w:left="476"/>
        <w:jc w:val="both"/>
        <w:divId w:val="661783178"/>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690"/>
        <w:gridCol w:w="110"/>
        <w:gridCol w:w="111"/>
        <w:gridCol w:w="593"/>
        <w:gridCol w:w="110"/>
        <w:gridCol w:w="110"/>
        <w:gridCol w:w="160"/>
        <w:gridCol w:w="710"/>
        <w:gridCol w:w="110"/>
        <w:gridCol w:w="115"/>
        <w:gridCol w:w="160"/>
        <w:gridCol w:w="710"/>
        <w:gridCol w:w="125"/>
      </w:tblGrid>
      <w:tr w:rsidR="00000000" w14:paraId="6814CDE3" w14:textId="77777777">
        <w:trPr>
          <w:divId w:val="661783178"/>
          <w:tblCellSpacing w:w="15" w:type="dxa"/>
        </w:trPr>
        <w:tc>
          <w:tcPr>
            <w:tcW w:w="2870" w:type="pct"/>
            <w:vAlign w:val="center"/>
            <w:hideMark/>
          </w:tcPr>
          <w:p w14:paraId="37BA9543" w14:textId="77777777" w:rsidR="00000000" w:rsidRDefault="003A1B5D">
            <w:pPr>
              <w:rPr>
                <w:sz w:val="20"/>
                <w:szCs w:val="20"/>
              </w:rPr>
            </w:pPr>
          </w:p>
        </w:tc>
        <w:tc>
          <w:tcPr>
            <w:tcW w:w="49" w:type="pct"/>
            <w:vAlign w:val="center"/>
            <w:hideMark/>
          </w:tcPr>
          <w:p w14:paraId="0BFCEB7B" w14:textId="77777777" w:rsidR="00000000" w:rsidRDefault="003A1B5D">
            <w:pPr>
              <w:rPr>
                <w:rFonts w:eastAsia="Times New Roman"/>
                <w:sz w:val="20"/>
                <w:szCs w:val="20"/>
              </w:rPr>
            </w:pPr>
          </w:p>
        </w:tc>
        <w:tc>
          <w:tcPr>
            <w:tcW w:w="50" w:type="pct"/>
            <w:vAlign w:val="center"/>
            <w:hideMark/>
          </w:tcPr>
          <w:p w14:paraId="00E293BF" w14:textId="77777777" w:rsidR="00000000" w:rsidRDefault="003A1B5D">
            <w:pPr>
              <w:rPr>
                <w:rFonts w:eastAsia="Times New Roman"/>
                <w:sz w:val="20"/>
                <w:szCs w:val="20"/>
              </w:rPr>
            </w:pPr>
          </w:p>
        </w:tc>
        <w:tc>
          <w:tcPr>
            <w:tcW w:w="562" w:type="pct"/>
            <w:vAlign w:val="center"/>
            <w:hideMark/>
          </w:tcPr>
          <w:p w14:paraId="0F4AB37F" w14:textId="77777777" w:rsidR="00000000" w:rsidRDefault="003A1B5D">
            <w:pPr>
              <w:rPr>
                <w:rFonts w:eastAsia="Times New Roman"/>
                <w:sz w:val="20"/>
                <w:szCs w:val="20"/>
              </w:rPr>
            </w:pPr>
          </w:p>
        </w:tc>
        <w:tc>
          <w:tcPr>
            <w:tcW w:w="50" w:type="pct"/>
            <w:vAlign w:val="center"/>
            <w:hideMark/>
          </w:tcPr>
          <w:p w14:paraId="3FD4CFF4" w14:textId="77777777" w:rsidR="00000000" w:rsidRDefault="003A1B5D">
            <w:pPr>
              <w:rPr>
                <w:rFonts w:eastAsia="Times New Roman"/>
                <w:sz w:val="20"/>
                <w:szCs w:val="20"/>
              </w:rPr>
            </w:pPr>
          </w:p>
        </w:tc>
        <w:tc>
          <w:tcPr>
            <w:tcW w:w="70" w:type="pct"/>
            <w:vAlign w:val="center"/>
            <w:hideMark/>
          </w:tcPr>
          <w:p w14:paraId="623A8730" w14:textId="77777777" w:rsidR="00000000" w:rsidRDefault="003A1B5D">
            <w:pPr>
              <w:rPr>
                <w:rFonts w:eastAsia="Times New Roman"/>
                <w:sz w:val="20"/>
                <w:szCs w:val="20"/>
              </w:rPr>
            </w:pPr>
          </w:p>
        </w:tc>
        <w:tc>
          <w:tcPr>
            <w:tcW w:w="50" w:type="pct"/>
            <w:vAlign w:val="center"/>
            <w:hideMark/>
          </w:tcPr>
          <w:p w14:paraId="7A611FCA" w14:textId="77777777" w:rsidR="00000000" w:rsidRDefault="003A1B5D">
            <w:pPr>
              <w:rPr>
                <w:rFonts w:eastAsia="Times New Roman"/>
                <w:sz w:val="20"/>
                <w:szCs w:val="20"/>
              </w:rPr>
            </w:pPr>
          </w:p>
        </w:tc>
        <w:tc>
          <w:tcPr>
            <w:tcW w:w="520" w:type="pct"/>
            <w:vAlign w:val="center"/>
            <w:hideMark/>
          </w:tcPr>
          <w:p w14:paraId="7B0D830A" w14:textId="77777777" w:rsidR="00000000" w:rsidRDefault="003A1B5D">
            <w:pPr>
              <w:rPr>
                <w:rFonts w:eastAsia="Times New Roman"/>
                <w:sz w:val="20"/>
                <w:szCs w:val="20"/>
              </w:rPr>
            </w:pPr>
          </w:p>
        </w:tc>
        <w:tc>
          <w:tcPr>
            <w:tcW w:w="50" w:type="pct"/>
            <w:vAlign w:val="center"/>
            <w:hideMark/>
          </w:tcPr>
          <w:p w14:paraId="5068FDCF" w14:textId="77777777" w:rsidR="00000000" w:rsidRDefault="003A1B5D">
            <w:pPr>
              <w:rPr>
                <w:rFonts w:eastAsia="Times New Roman"/>
                <w:sz w:val="20"/>
                <w:szCs w:val="20"/>
              </w:rPr>
            </w:pPr>
          </w:p>
        </w:tc>
        <w:tc>
          <w:tcPr>
            <w:tcW w:w="70" w:type="pct"/>
            <w:vAlign w:val="center"/>
            <w:hideMark/>
          </w:tcPr>
          <w:p w14:paraId="66DDCCAF" w14:textId="77777777" w:rsidR="00000000" w:rsidRDefault="003A1B5D">
            <w:pPr>
              <w:rPr>
                <w:rFonts w:eastAsia="Times New Roman"/>
                <w:sz w:val="20"/>
                <w:szCs w:val="20"/>
              </w:rPr>
            </w:pPr>
          </w:p>
        </w:tc>
        <w:tc>
          <w:tcPr>
            <w:tcW w:w="50" w:type="pct"/>
            <w:vAlign w:val="center"/>
            <w:hideMark/>
          </w:tcPr>
          <w:p w14:paraId="66023149" w14:textId="77777777" w:rsidR="00000000" w:rsidRDefault="003A1B5D">
            <w:pPr>
              <w:rPr>
                <w:rFonts w:eastAsia="Times New Roman"/>
                <w:sz w:val="20"/>
                <w:szCs w:val="20"/>
              </w:rPr>
            </w:pPr>
          </w:p>
        </w:tc>
        <w:tc>
          <w:tcPr>
            <w:tcW w:w="555" w:type="pct"/>
            <w:vAlign w:val="center"/>
            <w:hideMark/>
          </w:tcPr>
          <w:p w14:paraId="7D29A3F1" w14:textId="77777777" w:rsidR="00000000" w:rsidRDefault="003A1B5D">
            <w:pPr>
              <w:rPr>
                <w:rFonts w:eastAsia="Times New Roman"/>
                <w:sz w:val="20"/>
                <w:szCs w:val="20"/>
              </w:rPr>
            </w:pPr>
          </w:p>
        </w:tc>
        <w:tc>
          <w:tcPr>
            <w:tcW w:w="50" w:type="pct"/>
            <w:vAlign w:val="center"/>
            <w:hideMark/>
          </w:tcPr>
          <w:p w14:paraId="4183605E" w14:textId="77777777" w:rsidR="00000000" w:rsidRDefault="003A1B5D">
            <w:pPr>
              <w:rPr>
                <w:rFonts w:eastAsia="Times New Roman"/>
                <w:sz w:val="20"/>
                <w:szCs w:val="20"/>
              </w:rPr>
            </w:pPr>
          </w:p>
        </w:tc>
      </w:tr>
      <w:tr w:rsidR="00000000" w14:paraId="372C7706" w14:textId="77777777">
        <w:trPr>
          <w:divId w:val="661783178"/>
          <w:trHeight w:val="160"/>
          <w:tblCellSpacing w:w="15" w:type="dxa"/>
        </w:trPr>
        <w:tc>
          <w:tcPr>
            <w:tcW w:w="0" w:type="auto"/>
            <w:vAlign w:val="bottom"/>
            <w:hideMark/>
          </w:tcPr>
          <w:p w14:paraId="012B7235"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7AC90E94"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center"/>
            <w:hideMark/>
          </w:tcPr>
          <w:p w14:paraId="0E412DDE"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center"/>
            <w:hideMark/>
          </w:tcPr>
          <w:p w14:paraId="75896474"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center"/>
            <w:hideMark/>
          </w:tcPr>
          <w:p w14:paraId="32DFA8EF" w14:textId="77777777" w:rsidR="00000000" w:rsidRDefault="003A1B5D">
            <w:pPr>
              <w:pStyle w:val="a3"/>
              <w:spacing w:before="0" w:beforeAutospacing="0" w:after="0" w:afterAutospacing="0"/>
              <w:rPr>
                <w:sz w:val="16"/>
                <w:szCs w:val="16"/>
              </w:rPr>
            </w:pPr>
            <w:r>
              <w:rPr>
                <w:sz w:val="16"/>
                <w:szCs w:val="16"/>
              </w:rPr>
              <w:t> </w:t>
            </w:r>
          </w:p>
        </w:tc>
        <w:tc>
          <w:tcPr>
            <w:tcW w:w="0" w:type="auto"/>
            <w:gridSpan w:val="6"/>
            <w:vAlign w:val="center"/>
            <w:hideMark/>
          </w:tcPr>
          <w:p w14:paraId="496096CA" w14:textId="77777777" w:rsidR="00000000" w:rsidRDefault="003A1B5D">
            <w:pPr>
              <w:pStyle w:val="a3"/>
              <w:spacing w:before="0" w:beforeAutospacing="0" w:after="0" w:afterAutospacing="0"/>
              <w:jc w:val="center"/>
              <w:rPr>
                <w:sz w:val="16"/>
                <w:szCs w:val="16"/>
              </w:rPr>
            </w:pPr>
            <w:r>
              <w:rPr>
                <w:b/>
                <w:bCs/>
                <w:sz w:val="16"/>
                <w:szCs w:val="16"/>
              </w:rPr>
              <w:t>Net Carrying Value</w:t>
            </w:r>
            <w:r>
              <w:rPr>
                <w:b/>
                <w:bCs/>
                <w:sz w:val="16"/>
                <w:szCs w:val="16"/>
              </w:rPr>
              <w:t>s</w:t>
            </w:r>
          </w:p>
        </w:tc>
        <w:tc>
          <w:tcPr>
            <w:tcW w:w="0" w:type="auto"/>
            <w:vAlign w:val="center"/>
            <w:hideMark/>
          </w:tcPr>
          <w:p w14:paraId="1985A58B"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698D187E" w14:textId="77777777">
        <w:trPr>
          <w:divId w:val="661783178"/>
          <w:trHeight w:val="160"/>
          <w:tblCellSpacing w:w="15" w:type="dxa"/>
        </w:trPr>
        <w:tc>
          <w:tcPr>
            <w:tcW w:w="0" w:type="auto"/>
            <w:vAlign w:val="bottom"/>
            <w:hideMark/>
          </w:tcPr>
          <w:p w14:paraId="3FDEFD7E"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68AF9C38"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center"/>
            <w:hideMark/>
          </w:tcPr>
          <w:p w14:paraId="3408FB31" w14:textId="77777777" w:rsidR="00000000" w:rsidRDefault="003A1B5D">
            <w:pPr>
              <w:pStyle w:val="a3"/>
              <w:spacing w:before="0" w:beforeAutospacing="0" w:after="0" w:afterAutospacing="0"/>
              <w:jc w:val="center"/>
              <w:rPr>
                <w:sz w:val="16"/>
                <w:szCs w:val="16"/>
              </w:rPr>
            </w:pPr>
            <w:r>
              <w:rPr>
                <w:b/>
                <w:bCs/>
                <w:sz w:val="16"/>
                <w:szCs w:val="16"/>
              </w:rPr>
              <w:t>Desig</w:t>
            </w:r>
            <w:r>
              <w:rPr>
                <w:b/>
                <w:bCs/>
                <w:sz w:val="16"/>
                <w:szCs w:val="16"/>
              </w:rPr>
              <w:t>n</w:t>
            </w:r>
          </w:p>
        </w:tc>
        <w:tc>
          <w:tcPr>
            <w:tcW w:w="0" w:type="auto"/>
            <w:vAlign w:val="center"/>
            <w:hideMark/>
          </w:tcPr>
          <w:p w14:paraId="57996163"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center"/>
            <w:hideMark/>
          </w:tcPr>
          <w:p w14:paraId="323A03F5"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center"/>
            <w:hideMark/>
          </w:tcPr>
          <w:p w14:paraId="76B6A48B" w14:textId="77777777" w:rsidR="00000000" w:rsidRDefault="003A1B5D">
            <w:pPr>
              <w:pStyle w:val="a3"/>
              <w:spacing w:before="0" w:beforeAutospacing="0" w:after="0" w:afterAutospacing="0"/>
              <w:jc w:val="center"/>
              <w:rPr>
                <w:sz w:val="16"/>
                <w:szCs w:val="16"/>
              </w:rPr>
            </w:pPr>
            <w:r>
              <w:rPr>
                <w:b/>
                <w:bCs/>
                <w:sz w:val="16"/>
                <w:szCs w:val="16"/>
              </w:rPr>
              <w:t>September 30</w:t>
            </w:r>
            <w:r>
              <w:rPr>
                <w:b/>
                <w:bCs/>
                <w:sz w:val="16"/>
                <w:szCs w:val="16"/>
              </w:rPr>
              <w:t>,</w:t>
            </w:r>
          </w:p>
        </w:tc>
        <w:tc>
          <w:tcPr>
            <w:tcW w:w="0" w:type="auto"/>
            <w:vAlign w:val="center"/>
            <w:hideMark/>
          </w:tcPr>
          <w:p w14:paraId="57D360D4"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center"/>
            <w:hideMark/>
          </w:tcPr>
          <w:p w14:paraId="63369A6D"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center"/>
            <w:hideMark/>
          </w:tcPr>
          <w:p w14:paraId="40CF39A4" w14:textId="77777777" w:rsidR="00000000" w:rsidRDefault="003A1B5D">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center"/>
            <w:hideMark/>
          </w:tcPr>
          <w:p w14:paraId="68E30D96"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27148E9A" w14:textId="77777777">
        <w:trPr>
          <w:divId w:val="661783178"/>
          <w:trHeight w:val="160"/>
          <w:tblCellSpacing w:w="15" w:type="dxa"/>
        </w:trPr>
        <w:tc>
          <w:tcPr>
            <w:tcW w:w="0" w:type="auto"/>
            <w:vAlign w:val="bottom"/>
            <w:hideMark/>
          </w:tcPr>
          <w:p w14:paraId="64F19447" w14:textId="77777777" w:rsidR="00000000" w:rsidRDefault="003A1B5D">
            <w:pPr>
              <w:pStyle w:val="a3"/>
              <w:spacing w:before="0" w:beforeAutospacing="0" w:after="0" w:afterAutospacing="0"/>
              <w:jc w:val="center"/>
              <w:rPr>
                <w:sz w:val="16"/>
                <w:szCs w:val="16"/>
              </w:rPr>
            </w:pPr>
            <w:r>
              <w:rPr>
                <w:b/>
                <w:bCs/>
                <w:sz w:val="16"/>
                <w:szCs w:val="16"/>
              </w:rPr>
              <w:t>Facilit</w:t>
            </w:r>
            <w:r>
              <w:rPr>
                <w:b/>
                <w:bCs/>
                <w:sz w:val="16"/>
                <w:szCs w:val="16"/>
              </w:rPr>
              <w:t>y</w:t>
            </w:r>
          </w:p>
        </w:tc>
        <w:tc>
          <w:tcPr>
            <w:tcW w:w="0" w:type="auto"/>
            <w:vAlign w:val="bottom"/>
            <w:hideMark/>
          </w:tcPr>
          <w:p w14:paraId="22D26753"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center"/>
            <w:hideMark/>
          </w:tcPr>
          <w:p w14:paraId="7CD29478" w14:textId="77777777" w:rsidR="00000000" w:rsidRDefault="003A1B5D">
            <w:pPr>
              <w:pStyle w:val="a3"/>
              <w:spacing w:before="0" w:beforeAutospacing="0" w:after="0" w:afterAutospacing="0"/>
              <w:jc w:val="center"/>
              <w:rPr>
                <w:sz w:val="16"/>
                <w:szCs w:val="16"/>
              </w:rPr>
            </w:pPr>
            <w:r>
              <w:rPr>
                <w:b/>
                <w:bCs/>
                <w:sz w:val="16"/>
                <w:szCs w:val="16"/>
              </w:rPr>
              <w:t>Capacit</w:t>
            </w:r>
            <w:r>
              <w:rPr>
                <w:b/>
                <w:bCs/>
                <w:sz w:val="16"/>
                <w:szCs w:val="16"/>
              </w:rPr>
              <w:t>y</w:t>
            </w:r>
          </w:p>
        </w:tc>
        <w:tc>
          <w:tcPr>
            <w:tcW w:w="0" w:type="auto"/>
            <w:vAlign w:val="center"/>
            <w:hideMark/>
          </w:tcPr>
          <w:p w14:paraId="3596BE13"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center"/>
            <w:hideMark/>
          </w:tcPr>
          <w:p w14:paraId="7306A9C1"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center"/>
            <w:hideMark/>
          </w:tcPr>
          <w:p w14:paraId="61AB3C8F"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center"/>
            <w:hideMark/>
          </w:tcPr>
          <w:p w14:paraId="013F2613"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center"/>
            <w:hideMark/>
          </w:tcPr>
          <w:p w14:paraId="6EA45E7F"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center"/>
            <w:hideMark/>
          </w:tcPr>
          <w:p w14:paraId="32CA25CD"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center"/>
            <w:hideMark/>
          </w:tcPr>
          <w:p w14:paraId="1018EBA3"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04C22C6C" w14:textId="77777777">
        <w:trPr>
          <w:divId w:val="661783178"/>
          <w:trHeight w:val="200"/>
          <w:tblCellSpacing w:w="15" w:type="dxa"/>
        </w:trPr>
        <w:tc>
          <w:tcPr>
            <w:tcW w:w="0" w:type="auto"/>
            <w:vAlign w:val="bottom"/>
            <w:hideMark/>
          </w:tcPr>
          <w:p w14:paraId="5AAF813C" w14:textId="77777777" w:rsidR="00000000" w:rsidRDefault="003A1B5D">
            <w:pPr>
              <w:pStyle w:val="a3"/>
              <w:spacing w:before="0" w:beforeAutospacing="0" w:after="0" w:afterAutospacing="0"/>
              <w:rPr>
                <w:sz w:val="20"/>
                <w:szCs w:val="20"/>
              </w:rPr>
            </w:pPr>
            <w:r>
              <w:rPr>
                <w:sz w:val="20"/>
                <w:szCs w:val="20"/>
              </w:rPr>
              <w:t>Prairie Correctional Facilit</w:t>
            </w:r>
            <w:r>
              <w:rPr>
                <w:sz w:val="20"/>
                <w:szCs w:val="20"/>
              </w:rPr>
              <w:t>y</w:t>
            </w:r>
          </w:p>
        </w:tc>
        <w:tc>
          <w:tcPr>
            <w:tcW w:w="0" w:type="auto"/>
            <w:vAlign w:val="bottom"/>
            <w:hideMark/>
          </w:tcPr>
          <w:p w14:paraId="19FDCC1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88B5A6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5182FA2" w14:textId="77777777" w:rsidR="00000000" w:rsidRDefault="003A1B5D">
            <w:pPr>
              <w:pStyle w:val="a3"/>
              <w:spacing w:before="0" w:beforeAutospacing="0" w:after="0" w:afterAutospacing="0"/>
              <w:jc w:val="right"/>
              <w:rPr>
                <w:sz w:val="20"/>
                <w:szCs w:val="20"/>
              </w:rPr>
            </w:pPr>
            <w:r>
              <w:rPr>
                <w:sz w:val="20"/>
                <w:szCs w:val="20"/>
              </w:rPr>
              <w:t>1,60</w:t>
            </w:r>
            <w:r>
              <w:rPr>
                <w:sz w:val="20"/>
                <w:szCs w:val="20"/>
              </w:rPr>
              <w:t>0</w:t>
            </w:r>
          </w:p>
        </w:tc>
        <w:tc>
          <w:tcPr>
            <w:tcW w:w="0" w:type="auto"/>
            <w:noWrap/>
            <w:vAlign w:val="bottom"/>
            <w:hideMark/>
          </w:tcPr>
          <w:p w14:paraId="1BE82A4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4A9AF4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CB5B19F"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116C0C83" w14:textId="77777777" w:rsidR="00000000" w:rsidRDefault="003A1B5D">
            <w:pPr>
              <w:pStyle w:val="a3"/>
              <w:spacing w:before="0" w:beforeAutospacing="0" w:after="0" w:afterAutospacing="0"/>
              <w:jc w:val="right"/>
              <w:rPr>
                <w:sz w:val="20"/>
                <w:szCs w:val="20"/>
              </w:rPr>
            </w:pPr>
            <w:r>
              <w:rPr>
                <w:b/>
                <w:bCs/>
                <w:sz w:val="20"/>
                <w:szCs w:val="20"/>
              </w:rPr>
              <w:t>14,24</w:t>
            </w:r>
            <w:r>
              <w:rPr>
                <w:b/>
                <w:bCs/>
                <w:sz w:val="20"/>
                <w:szCs w:val="20"/>
              </w:rPr>
              <w:t>6</w:t>
            </w:r>
          </w:p>
        </w:tc>
        <w:tc>
          <w:tcPr>
            <w:tcW w:w="0" w:type="auto"/>
            <w:noWrap/>
            <w:vAlign w:val="bottom"/>
            <w:hideMark/>
          </w:tcPr>
          <w:p w14:paraId="7928B8D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A489D66" w14:textId="77777777" w:rsidR="00000000" w:rsidRDefault="003A1B5D">
            <w:pPr>
              <w:pStyle w:val="a3"/>
              <w:spacing w:before="0" w:beforeAutospacing="0" w:after="0" w:afterAutospacing="0"/>
              <w:rPr>
                <w:sz w:val="22"/>
                <w:szCs w:val="22"/>
              </w:rPr>
            </w:pPr>
            <w:r>
              <w:rPr>
                <w:sz w:val="22"/>
                <w:szCs w:val="22"/>
              </w:rPr>
              <w:t> </w:t>
            </w:r>
          </w:p>
        </w:tc>
        <w:tc>
          <w:tcPr>
            <w:tcW w:w="0" w:type="auto"/>
            <w:noWrap/>
            <w:vAlign w:val="bottom"/>
            <w:hideMark/>
          </w:tcPr>
          <w:p w14:paraId="3ECB2500"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12574DC4" w14:textId="77777777" w:rsidR="00000000" w:rsidRDefault="003A1B5D">
            <w:pPr>
              <w:pStyle w:val="a3"/>
              <w:spacing w:before="0" w:beforeAutospacing="0" w:after="0" w:afterAutospacing="0"/>
              <w:jc w:val="right"/>
              <w:rPr>
                <w:sz w:val="20"/>
                <w:szCs w:val="20"/>
              </w:rPr>
            </w:pPr>
            <w:r>
              <w:rPr>
                <w:sz w:val="20"/>
                <w:szCs w:val="20"/>
              </w:rPr>
              <w:t>14,41</w:t>
            </w:r>
            <w:r>
              <w:rPr>
                <w:sz w:val="20"/>
                <w:szCs w:val="20"/>
              </w:rPr>
              <w:t>6</w:t>
            </w:r>
          </w:p>
        </w:tc>
        <w:tc>
          <w:tcPr>
            <w:tcW w:w="0" w:type="auto"/>
            <w:noWrap/>
            <w:vAlign w:val="bottom"/>
            <w:hideMark/>
          </w:tcPr>
          <w:p w14:paraId="3A4F06BC" w14:textId="77777777" w:rsidR="00000000" w:rsidRDefault="003A1B5D">
            <w:pPr>
              <w:pStyle w:val="a3"/>
              <w:spacing w:before="0" w:beforeAutospacing="0" w:after="0" w:afterAutospacing="0"/>
              <w:rPr>
                <w:sz w:val="20"/>
                <w:szCs w:val="20"/>
              </w:rPr>
            </w:pPr>
            <w:r>
              <w:rPr>
                <w:sz w:val="20"/>
                <w:szCs w:val="20"/>
              </w:rPr>
              <w:t> </w:t>
            </w:r>
          </w:p>
        </w:tc>
      </w:tr>
      <w:tr w:rsidR="00000000" w14:paraId="68889E09" w14:textId="77777777">
        <w:trPr>
          <w:divId w:val="661783178"/>
          <w:trHeight w:val="200"/>
          <w:tblCellSpacing w:w="15" w:type="dxa"/>
        </w:trPr>
        <w:tc>
          <w:tcPr>
            <w:tcW w:w="0" w:type="auto"/>
            <w:vAlign w:val="bottom"/>
            <w:hideMark/>
          </w:tcPr>
          <w:p w14:paraId="282EE1B6" w14:textId="77777777" w:rsidR="00000000" w:rsidRDefault="003A1B5D">
            <w:pPr>
              <w:pStyle w:val="a3"/>
              <w:spacing w:before="0" w:beforeAutospacing="0" w:after="0" w:afterAutospacing="0"/>
              <w:rPr>
                <w:sz w:val="20"/>
                <w:szCs w:val="20"/>
              </w:rPr>
            </w:pPr>
            <w:r>
              <w:rPr>
                <w:sz w:val="20"/>
                <w:szCs w:val="20"/>
              </w:rPr>
              <w:t>Huerfano County Correctional Cente</w:t>
            </w:r>
            <w:r>
              <w:rPr>
                <w:sz w:val="20"/>
                <w:szCs w:val="20"/>
              </w:rPr>
              <w:t>r</w:t>
            </w:r>
          </w:p>
        </w:tc>
        <w:tc>
          <w:tcPr>
            <w:tcW w:w="0" w:type="auto"/>
            <w:vAlign w:val="bottom"/>
            <w:hideMark/>
          </w:tcPr>
          <w:p w14:paraId="2995B89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FD8536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9044D44" w14:textId="77777777" w:rsidR="00000000" w:rsidRDefault="003A1B5D">
            <w:pPr>
              <w:pStyle w:val="a3"/>
              <w:spacing w:before="0" w:beforeAutospacing="0" w:after="0" w:afterAutospacing="0"/>
              <w:jc w:val="right"/>
              <w:rPr>
                <w:sz w:val="20"/>
                <w:szCs w:val="20"/>
              </w:rPr>
            </w:pPr>
            <w:r>
              <w:rPr>
                <w:sz w:val="20"/>
                <w:szCs w:val="20"/>
              </w:rPr>
              <w:t>75</w:t>
            </w:r>
            <w:r>
              <w:rPr>
                <w:sz w:val="20"/>
                <w:szCs w:val="20"/>
              </w:rPr>
              <w:t>2</w:t>
            </w:r>
          </w:p>
        </w:tc>
        <w:tc>
          <w:tcPr>
            <w:tcW w:w="0" w:type="auto"/>
            <w:noWrap/>
            <w:vAlign w:val="bottom"/>
            <w:hideMark/>
          </w:tcPr>
          <w:p w14:paraId="1515020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1FC3FC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526AE3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7F5A142" w14:textId="77777777" w:rsidR="00000000" w:rsidRDefault="003A1B5D">
            <w:pPr>
              <w:pStyle w:val="a3"/>
              <w:spacing w:before="0" w:beforeAutospacing="0" w:after="0" w:afterAutospacing="0"/>
              <w:jc w:val="right"/>
              <w:rPr>
                <w:sz w:val="20"/>
                <w:szCs w:val="20"/>
              </w:rPr>
            </w:pPr>
            <w:r>
              <w:rPr>
                <w:b/>
                <w:bCs/>
                <w:sz w:val="20"/>
                <w:szCs w:val="20"/>
              </w:rPr>
              <w:t>14,74</w:t>
            </w:r>
            <w:r>
              <w:rPr>
                <w:b/>
                <w:bCs/>
                <w:sz w:val="20"/>
                <w:szCs w:val="20"/>
              </w:rPr>
              <w:t>4</w:t>
            </w:r>
          </w:p>
        </w:tc>
        <w:tc>
          <w:tcPr>
            <w:tcW w:w="0" w:type="auto"/>
            <w:noWrap/>
            <w:vAlign w:val="bottom"/>
            <w:hideMark/>
          </w:tcPr>
          <w:p w14:paraId="05384CC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BE7168F" w14:textId="77777777" w:rsidR="00000000" w:rsidRDefault="003A1B5D">
            <w:pPr>
              <w:pStyle w:val="a3"/>
              <w:spacing w:before="0" w:beforeAutospacing="0" w:after="0" w:afterAutospacing="0"/>
              <w:rPr>
                <w:sz w:val="22"/>
                <w:szCs w:val="22"/>
              </w:rPr>
            </w:pPr>
            <w:r>
              <w:rPr>
                <w:sz w:val="22"/>
                <w:szCs w:val="22"/>
              </w:rPr>
              <w:t> </w:t>
            </w:r>
          </w:p>
        </w:tc>
        <w:tc>
          <w:tcPr>
            <w:tcW w:w="0" w:type="auto"/>
            <w:noWrap/>
            <w:vAlign w:val="bottom"/>
            <w:hideMark/>
          </w:tcPr>
          <w:p w14:paraId="4B594DB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C07DA59" w14:textId="77777777" w:rsidR="00000000" w:rsidRDefault="003A1B5D">
            <w:pPr>
              <w:pStyle w:val="a3"/>
              <w:spacing w:before="0" w:beforeAutospacing="0" w:after="0" w:afterAutospacing="0"/>
              <w:jc w:val="right"/>
              <w:rPr>
                <w:sz w:val="20"/>
                <w:szCs w:val="20"/>
              </w:rPr>
            </w:pPr>
            <w:r>
              <w:rPr>
                <w:sz w:val="20"/>
                <w:szCs w:val="20"/>
              </w:rPr>
              <w:t>15,23</w:t>
            </w:r>
            <w:r>
              <w:rPr>
                <w:sz w:val="20"/>
                <w:szCs w:val="20"/>
              </w:rPr>
              <w:t>0</w:t>
            </w:r>
          </w:p>
        </w:tc>
        <w:tc>
          <w:tcPr>
            <w:tcW w:w="0" w:type="auto"/>
            <w:noWrap/>
            <w:vAlign w:val="bottom"/>
            <w:hideMark/>
          </w:tcPr>
          <w:p w14:paraId="145052E4" w14:textId="77777777" w:rsidR="00000000" w:rsidRDefault="003A1B5D">
            <w:pPr>
              <w:pStyle w:val="a3"/>
              <w:spacing w:before="0" w:beforeAutospacing="0" w:after="0" w:afterAutospacing="0"/>
              <w:rPr>
                <w:sz w:val="20"/>
                <w:szCs w:val="20"/>
              </w:rPr>
            </w:pPr>
            <w:r>
              <w:rPr>
                <w:sz w:val="20"/>
                <w:szCs w:val="20"/>
              </w:rPr>
              <w:t> </w:t>
            </w:r>
          </w:p>
        </w:tc>
      </w:tr>
      <w:tr w:rsidR="00000000" w14:paraId="1B31EA5B" w14:textId="77777777">
        <w:trPr>
          <w:divId w:val="661783178"/>
          <w:trHeight w:val="200"/>
          <w:tblCellSpacing w:w="15" w:type="dxa"/>
        </w:trPr>
        <w:tc>
          <w:tcPr>
            <w:tcW w:w="0" w:type="auto"/>
            <w:vAlign w:val="bottom"/>
            <w:hideMark/>
          </w:tcPr>
          <w:p w14:paraId="5C23BBB9" w14:textId="77777777" w:rsidR="00000000" w:rsidRDefault="003A1B5D">
            <w:pPr>
              <w:pStyle w:val="a3"/>
              <w:spacing w:before="0" w:beforeAutospacing="0" w:after="0" w:afterAutospacing="0"/>
              <w:rPr>
                <w:sz w:val="20"/>
                <w:szCs w:val="20"/>
              </w:rPr>
            </w:pPr>
            <w:r>
              <w:rPr>
                <w:sz w:val="20"/>
                <w:szCs w:val="20"/>
              </w:rPr>
              <w:t>Diamondback Correctional Facilit</w:t>
            </w:r>
            <w:r>
              <w:rPr>
                <w:sz w:val="20"/>
                <w:szCs w:val="20"/>
              </w:rPr>
              <w:t>y</w:t>
            </w:r>
          </w:p>
        </w:tc>
        <w:tc>
          <w:tcPr>
            <w:tcW w:w="0" w:type="auto"/>
            <w:vAlign w:val="bottom"/>
            <w:hideMark/>
          </w:tcPr>
          <w:p w14:paraId="61E59D1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0C8895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849D6D3" w14:textId="77777777" w:rsidR="00000000" w:rsidRDefault="003A1B5D">
            <w:pPr>
              <w:pStyle w:val="a3"/>
              <w:spacing w:before="0" w:beforeAutospacing="0" w:after="0" w:afterAutospacing="0"/>
              <w:jc w:val="right"/>
              <w:rPr>
                <w:sz w:val="20"/>
                <w:szCs w:val="20"/>
              </w:rPr>
            </w:pPr>
            <w:r>
              <w:rPr>
                <w:sz w:val="20"/>
                <w:szCs w:val="20"/>
              </w:rPr>
              <w:t>2,16</w:t>
            </w:r>
            <w:r>
              <w:rPr>
                <w:sz w:val="20"/>
                <w:szCs w:val="20"/>
              </w:rPr>
              <w:t>0</w:t>
            </w:r>
          </w:p>
        </w:tc>
        <w:tc>
          <w:tcPr>
            <w:tcW w:w="0" w:type="auto"/>
            <w:noWrap/>
            <w:vAlign w:val="bottom"/>
            <w:hideMark/>
          </w:tcPr>
          <w:p w14:paraId="73C33F0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45602B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2B2835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565732D" w14:textId="77777777" w:rsidR="00000000" w:rsidRDefault="003A1B5D">
            <w:pPr>
              <w:pStyle w:val="a3"/>
              <w:spacing w:before="0" w:beforeAutospacing="0" w:after="0" w:afterAutospacing="0"/>
              <w:jc w:val="right"/>
              <w:rPr>
                <w:sz w:val="20"/>
                <w:szCs w:val="20"/>
              </w:rPr>
            </w:pPr>
            <w:r>
              <w:rPr>
                <w:b/>
                <w:bCs/>
                <w:sz w:val="20"/>
                <w:szCs w:val="20"/>
              </w:rPr>
              <w:t>35,83</w:t>
            </w:r>
            <w:r>
              <w:rPr>
                <w:b/>
                <w:bCs/>
                <w:sz w:val="20"/>
                <w:szCs w:val="20"/>
              </w:rPr>
              <w:t>5</w:t>
            </w:r>
          </w:p>
        </w:tc>
        <w:tc>
          <w:tcPr>
            <w:tcW w:w="0" w:type="auto"/>
            <w:noWrap/>
            <w:vAlign w:val="bottom"/>
            <w:hideMark/>
          </w:tcPr>
          <w:p w14:paraId="000065A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A47BAFD" w14:textId="77777777" w:rsidR="00000000" w:rsidRDefault="003A1B5D">
            <w:pPr>
              <w:pStyle w:val="a3"/>
              <w:spacing w:before="0" w:beforeAutospacing="0" w:after="0" w:afterAutospacing="0"/>
              <w:rPr>
                <w:sz w:val="22"/>
                <w:szCs w:val="22"/>
              </w:rPr>
            </w:pPr>
            <w:r>
              <w:rPr>
                <w:sz w:val="22"/>
                <w:szCs w:val="22"/>
              </w:rPr>
              <w:t> </w:t>
            </w:r>
          </w:p>
        </w:tc>
        <w:tc>
          <w:tcPr>
            <w:tcW w:w="0" w:type="auto"/>
            <w:noWrap/>
            <w:vAlign w:val="bottom"/>
            <w:hideMark/>
          </w:tcPr>
          <w:p w14:paraId="1CDD4C2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0BF96C2" w14:textId="77777777" w:rsidR="00000000" w:rsidRDefault="003A1B5D">
            <w:pPr>
              <w:pStyle w:val="a3"/>
              <w:spacing w:before="0" w:beforeAutospacing="0" w:after="0" w:afterAutospacing="0"/>
              <w:jc w:val="right"/>
              <w:rPr>
                <w:sz w:val="20"/>
                <w:szCs w:val="20"/>
              </w:rPr>
            </w:pPr>
            <w:r>
              <w:rPr>
                <w:sz w:val="20"/>
                <w:szCs w:val="20"/>
              </w:rPr>
              <w:t>36,91</w:t>
            </w:r>
            <w:r>
              <w:rPr>
                <w:sz w:val="20"/>
                <w:szCs w:val="20"/>
              </w:rPr>
              <w:t>7</w:t>
            </w:r>
          </w:p>
        </w:tc>
        <w:tc>
          <w:tcPr>
            <w:tcW w:w="0" w:type="auto"/>
            <w:noWrap/>
            <w:vAlign w:val="bottom"/>
            <w:hideMark/>
          </w:tcPr>
          <w:p w14:paraId="010796D4" w14:textId="77777777" w:rsidR="00000000" w:rsidRDefault="003A1B5D">
            <w:pPr>
              <w:pStyle w:val="a3"/>
              <w:spacing w:before="0" w:beforeAutospacing="0" w:after="0" w:afterAutospacing="0"/>
              <w:rPr>
                <w:sz w:val="20"/>
                <w:szCs w:val="20"/>
              </w:rPr>
            </w:pPr>
            <w:r>
              <w:rPr>
                <w:sz w:val="20"/>
                <w:szCs w:val="20"/>
              </w:rPr>
              <w:t> </w:t>
            </w:r>
          </w:p>
        </w:tc>
      </w:tr>
      <w:tr w:rsidR="00000000" w14:paraId="1B93C34D" w14:textId="77777777">
        <w:trPr>
          <w:divId w:val="661783178"/>
          <w:trHeight w:val="200"/>
          <w:tblCellSpacing w:w="15" w:type="dxa"/>
        </w:trPr>
        <w:tc>
          <w:tcPr>
            <w:tcW w:w="0" w:type="auto"/>
            <w:vAlign w:val="bottom"/>
            <w:hideMark/>
          </w:tcPr>
          <w:p w14:paraId="64F86665" w14:textId="77777777" w:rsidR="00000000" w:rsidRDefault="003A1B5D">
            <w:pPr>
              <w:pStyle w:val="a3"/>
              <w:spacing w:before="0" w:beforeAutospacing="0" w:after="0" w:afterAutospacing="0"/>
              <w:rPr>
                <w:sz w:val="20"/>
                <w:szCs w:val="20"/>
              </w:rPr>
            </w:pPr>
            <w:r>
              <w:rPr>
                <w:sz w:val="20"/>
                <w:szCs w:val="20"/>
              </w:rPr>
              <w:t>Marion Adjustment Cente</w:t>
            </w:r>
            <w:r>
              <w:rPr>
                <w:sz w:val="20"/>
                <w:szCs w:val="20"/>
              </w:rPr>
              <w:t>r</w:t>
            </w:r>
          </w:p>
        </w:tc>
        <w:tc>
          <w:tcPr>
            <w:tcW w:w="0" w:type="auto"/>
            <w:vAlign w:val="bottom"/>
            <w:hideMark/>
          </w:tcPr>
          <w:p w14:paraId="287D250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401F76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A7CE1F1" w14:textId="77777777" w:rsidR="00000000" w:rsidRDefault="003A1B5D">
            <w:pPr>
              <w:pStyle w:val="a3"/>
              <w:spacing w:before="0" w:beforeAutospacing="0" w:after="0" w:afterAutospacing="0"/>
              <w:jc w:val="right"/>
              <w:rPr>
                <w:sz w:val="20"/>
                <w:szCs w:val="20"/>
              </w:rPr>
            </w:pPr>
            <w:r>
              <w:rPr>
                <w:sz w:val="20"/>
                <w:szCs w:val="20"/>
              </w:rPr>
              <w:t>82</w:t>
            </w:r>
            <w:r>
              <w:rPr>
                <w:sz w:val="20"/>
                <w:szCs w:val="20"/>
              </w:rPr>
              <w:t>6</w:t>
            </w:r>
          </w:p>
        </w:tc>
        <w:tc>
          <w:tcPr>
            <w:tcW w:w="0" w:type="auto"/>
            <w:noWrap/>
            <w:vAlign w:val="bottom"/>
            <w:hideMark/>
          </w:tcPr>
          <w:p w14:paraId="63F4A4E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B662CC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9D0640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A9A0795" w14:textId="77777777" w:rsidR="00000000" w:rsidRDefault="003A1B5D">
            <w:pPr>
              <w:pStyle w:val="a3"/>
              <w:spacing w:before="0" w:beforeAutospacing="0" w:after="0" w:afterAutospacing="0"/>
              <w:jc w:val="right"/>
              <w:rPr>
                <w:sz w:val="20"/>
                <w:szCs w:val="20"/>
              </w:rPr>
            </w:pPr>
            <w:r>
              <w:rPr>
                <w:b/>
                <w:bCs/>
                <w:sz w:val="20"/>
                <w:szCs w:val="20"/>
              </w:rPr>
              <w:t>10,43</w:t>
            </w:r>
            <w:r>
              <w:rPr>
                <w:b/>
                <w:bCs/>
                <w:sz w:val="20"/>
                <w:szCs w:val="20"/>
              </w:rPr>
              <w:t>0</w:t>
            </w:r>
          </w:p>
        </w:tc>
        <w:tc>
          <w:tcPr>
            <w:tcW w:w="0" w:type="auto"/>
            <w:noWrap/>
            <w:vAlign w:val="bottom"/>
            <w:hideMark/>
          </w:tcPr>
          <w:p w14:paraId="7221AAF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0A84BF4" w14:textId="77777777" w:rsidR="00000000" w:rsidRDefault="003A1B5D">
            <w:pPr>
              <w:pStyle w:val="a3"/>
              <w:spacing w:before="0" w:beforeAutospacing="0" w:after="0" w:afterAutospacing="0"/>
              <w:rPr>
                <w:sz w:val="22"/>
                <w:szCs w:val="22"/>
              </w:rPr>
            </w:pPr>
            <w:r>
              <w:rPr>
                <w:sz w:val="22"/>
                <w:szCs w:val="22"/>
              </w:rPr>
              <w:t> </w:t>
            </w:r>
          </w:p>
        </w:tc>
        <w:tc>
          <w:tcPr>
            <w:tcW w:w="0" w:type="auto"/>
            <w:noWrap/>
            <w:vAlign w:val="bottom"/>
            <w:hideMark/>
          </w:tcPr>
          <w:p w14:paraId="2376861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503E266" w14:textId="77777777" w:rsidR="00000000" w:rsidRDefault="003A1B5D">
            <w:pPr>
              <w:pStyle w:val="a3"/>
              <w:spacing w:before="0" w:beforeAutospacing="0" w:after="0" w:afterAutospacing="0"/>
              <w:jc w:val="right"/>
              <w:rPr>
                <w:sz w:val="20"/>
                <w:szCs w:val="20"/>
              </w:rPr>
            </w:pPr>
            <w:r>
              <w:rPr>
                <w:sz w:val="20"/>
                <w:szCs w:val="20"/>
              </w:rPr>
              <w:t>10,74</w:t>
            </w:r>
            <w:r>
              <w:rPr>
                <w:sz w:val="20"/>
                <w:szCs w:val="20"/>
              </w:rPr>
              <w:t>3</w:t>
            </w:r>
          </w:p>
        </w:tc>
        <w:tc>
          <w:tcPr>
            <w:tcW w:w="0" w:type="auto"/>
            <w:noWrap/>
            <w:vAlign w:val="bottom"/>
            <w:hideMark/>
          </w:tcPr>
          <w:p w14:paraId="5111310E" w14:textId="77777777" w:rsidR="00000000" w:rsidRDefault="003A1B5D">
            <w:pPr>
              <w:pStyle w:val="a3"/>
              <w:spacing w:before="0" w:beforeAutospacing="0" w:after="0" w:afterAutospacing="0"/>
              <w:rPr>
                <w:sz w:val="20"/>
                <w:szCs w:val="20"/>
              </w:rPr>
            </w:pPr>
            <w:r>
              <w:rPr>
                <w:sz w:val="20"/>
                <w:szCs w:val="20"/>
              </w:rPr>
              <w:t> </w:t>
            </w:r>
          </w:p>
        </w:tc>
      </w:tr>
      <w:tr w:rsidR="00000000" w14:paraId="7E9CC067" w14:textId="77777777">
        <w:trPr>
          <w:divId w:val="661783178"/>
          <w:trHeight w:val="200"/>
          <w:tblCellSpacing w:w="15" w:type="dxa"/>
        </w:trPr>
        <w:tc>
          <w:tcPr>
            <w:tcW w:w="0" w:type="auto"/>
            <w:vAlign w:val="bottom"/>
            <w:hideMark/>
          </w:tcPr>
          <w:p w14:paraId="0EB812F4" w14:textId="77777777" w:rsidR="00000000" w:rsidRDefault="003A1B5D">
            <w:pPr>
              <w:pStyle w:val="a3"/>
              <w:spacing w:before="0" w:beforeAutospacing="0" w:after="0" w:afterAutospacing="0"/>
              <w:rPr>
                <w:sz w:val="20"/>
                <w:szCs w:val="20"/>
              </w:rPr>
            </w:pPr>
            <w:r>
              <w:rPr>
                <w:sz w:val="20"/>
                <w:szCs w:val="20"/>
              </w:rPr>
              <w:t>Kit Carson Correctional Cente</w:t>
            </w:r>
            <w:r>
              <w:rPr>
                <w:sz w:val="20"/>
                <w:szCs w:val="20"/>
              </w:rPr>
              <w:t>r</w:t>
            </w:r>
          </w:p>
        </w:tc>
        <w:tc>
          <w:tcPr>
            <w:tcW w:w="0" w:type="auto"/>
            <w:vAlign w:val="bottom"/>
            <w:hideMark/>
          </w:tcPr>
          <w:p w14:paraId="46BBD40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EC23C5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C9235CA" w14:textId="77777777" w:rsidR="00000000" w:rsidRDefault="003A1B5D">
            <w:pPr>
              <w:pStyle w:val="a3"/>
              <w:spacing w:before="0" w:beforeAutospacing="0" w:after="0" w:afterAutospacing="0"/>
              <w:jc w:val="right"/>
              <w:rPr>
                <w:sz w:val="20"/>
                <w:szCs w:val="20"/>
              </w:rPr>
            </w:pPr>
            <w:r>
              <w:rPr>
                <w:sz w:val="20"/>
                <w:szCs w:val="20"/>
              </w:rPr>
              <w:t>1,48</w:t>
            </w:r>
            <w:r>
              <w:rPr>
                <w:sz w:val="20"/>
                <w:szCs w:val="20"/>
              </w:rPr>
              <w:t>8</w:t>
            </w:r>
          </w:p>
        </w:tc>
        <w:tc>
          <w:tcPr>
            <w:tcW w:w="0" w:type="auto"/>
            <w:noWrap/>
            <w:vAlign w:val="bottom"/>
            <w:hideMark/>
          </w:tcPr>
          <w:p w14:paraId="4026723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DF81D6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28D544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2E63F45" w14:textId="77777777" w:rsidR="00000000" w:rsidRDefault="003A1B5D">
            <w:pPr>
              <w:pStyle w:val="a3"/>
              <w:spacing w:before="0" w:beforeAutospacing="0" w:after="0" w:afterAutospacing="0"/>
              <w:jc w:val="right"/>
              <w:rPr>
                <w:sz w:val="20"/>
                <w:szCs w:val="20"/>
              </w:rPr>
            </w:pPr>
            <w:r>
              <w:rPr>
                <w:b/>
                <w:bCs/>
                <w:sz w:val="20"/>
                <w:szCs w:val="20"/>
              </w:rPr>
              <w:t>49,61</w:t>
            </w:r>
            <w:r>
              <w:rPr>
                <w:b/>
                <w:bCs/>
                <w:sz w:val="20"/>
                <w:szCs w:val="20"/>
              </w:rPr>
              <w:t>1</w:t>
            </w:r>
          </w:p>
        </w:tc>
        <w:tc>
          <w:tcPr>
            <w:tcW w:w="0" w:type="auto"/>
            <w:noWrap/>
            <w:vAlign w:val="bottom"/>
            <w:hideMark/>
          </w:tcPr>
          <w:p w14:paraId="261604F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5CA76B1" w14:textId="77777777" w:rsidR="00000000" w:rsidRDefault="003A1B5D">
            <w:pPr>
              <w:pStyle w:val="a3"/>
              <w:spacing w:before="0" w:beforeAutospacing="0" w:after="0" w:afterAutospacing="0"/>
              <w:rPr>
                <w:sz w:val="22"/>
                <w:szCs w:val="22"/>
              </w:rPr>
            </w:pPr>
            <w:r>
              <w:rPr>
                <w:sz w:val="22"/>
                <w:szCs w:val="22"/>
              </w:rPr>
              <w:t> </w:t>
            </w:r>
          </w:p>
        </w:tc>
        <w:tc>
          <w:tcPr>
            <w:tcW w:w="0" w:type="auto"/>
            <w:noWrap/>
            <w:vAlign w:val="bottom"/>
            <w:hideMark/>
          </w:tcPr>
          <w:p w14:paraId="333825C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C0E86C9" w14:textId="77777777" w:rsidR="00000000" w:rsidRDefault="003A1B5D">
            <w:pPr>
              <w:pStyle w:val="a3"/>
              <w:spacing w:before="0" w:beforeAutospacing="0" w:after="0" w:afterAutospacing="0"/>
              <w:jc w:val="right"/>
              <w:rPr>
                <w:sz w:val="20"/>
                <w:szCs w:val="20"/>
              </w:rPr>
            </w:pPr>
            <w:r>
              <w:rPr>
                <w:sz w:val="20"/>
                <w:szCs w:val="20"/>
              </w:rPr>
              <w:t>50,95</w:t>
            </w:r>
            <w:r>
              <w:rPr>
                <w:sz w:val="20"/>
                <w:szCs w:val="20"/>
              </w:rPr>
              <w:t>0</w:t>
            </w:r>
          </w:p>
        </w:tc>
        <w:tc>
          <w:tcPr>
            <w:tcW w:w="0" w:type="auto"/>
            <w:noWrap/>
            <w:vAlign w:val="bottom"/>
            <w:hideMark/>
          </w:tcPr>
          <w:p w14:paraId="24557CAD" w14:textId="77777777" w:rsidR="00000000" w:rsidRDefault="003A1B5D">
            <w:pPr>
              <w:pStyle w:val="a3"/>
              <w:spacing w:before="0" w:beforeAutospacing="0" w:after="0" w:afterAutospacing="0"/>
              <w:rPr>
                <w:sz w:val="20"/>
                <w:szCs w:val="20"/>
              </w:rPr>
            </w:pPr>
            <w:r>
              <w:rPr>
                <w:sz w:val="20"/>
                <w:szCs w:val="20"/>
              </w:rPr>
              <w:t> </w:t>
            </w:r>
          </w:p>
        </w:tc>
      </w:tr>
      <w:tr w:rsidR="00000000" w14:paraId="7924A2B7" w14:textId="77777777">
        <w:trPr>
          <w:divId w:val="661783178"/>
          <w:trHeight w:val="200"/>
          <w:tblCellSpacing w:w="15" w:type="dxa"/>
        </w:trPr>
        <w:tc>
          <w:tcPr>
            <w:tcW w:w="0" w:type="auto"/>
            <w:vAlign w:val="bottom"/>
            <w:hideMark/>
          </w:tcPr>
          <w:p w14:paraId="5E8E1B2A" w14:textId="77777777" w:rsidR="00000000" w:rsidRDefault="003A1B5D">
            <w:pPr>
              <w:pStyle w:val="a3"/>
              <w:spacing w:before="0" w:beforeAutospacing="0" w:after="0" w:afterAutospacing="0"/>
              <w:rPr>
                <w:sz w:val="20"/>
                <w:szCs w:val="20"/>
              </w:rPr>
            </w:pPr>
            <w:r>
              <w:rPr>
                <w:sz w:val="20"/>
                <w:szCs w:val="20"/>
              </w:rPr>
              <w:t>West Tennessee Detention Facilit</w:t>
            </w:r>
            <w:r>
              <w:rPr>
                <w:sz w:val="20"/>
                <w:szCs w:val="20"/>
              </w:rPr>
              <w:t>y</w:t>
            </w:r>
          </w:p>
        </w:tc>
        <w:tc>
          <w:tcPr>
            <w:tcW w:w="0" w:type="auto"/>
            <w:vAlign w:val="bottom"/>
            <w:hideMark/>
          </w:tcPr>
          <w:p w14:paraId="0CB4FBE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630274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060AE22" w14:textId="77777777" w:rsidR="00000000" w:rsidRDefault="003A1B5D">
            <w:pPr>
              <w:pStyle w:val="a3"/>
              <w:spacing w:before="0" w:beforeAutospacing="0" w:after="0" w:afterAutospacing="0"/>
              <w:jc w:val="right"/>
              <w:rPr>
                <w:sz w:val="20"/>
                <w:szCs w:val="20"/>
              </w:rPr>
            </w:pPr>
            <w:r>
              <w:rPr>
                <w:sz w:val="20"/>
                <w:szCs w:val="20"/>
              </w:rPr>
              <w:t>60</w:t>
            </w:r>
            <w:r>
              <w:rPr>
                <w:sz w:val="20"/>
                <w:szCs w:val="20"/>
              </w:rPr>
              <w:t>0</w:t>
            </w:r>
          </w:p>
        </w:tc>
        <w:tc>
          <w:tcPr>
            <w:tcW w:w="0" w:type="auto"/>
            <w:noWrap/>
            <w:vAlign w:val="bottom"/>
            <w:hideMark/>
          </w:tcPr>
          <w:p w14:paraId="28051D2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73D247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FAD7A6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D3E3EC1" w14:textId="77777777" w:rsidR="00000000" w:rsidRDefault="003A1B5D">
            <w:pPr>
              <w:pStyle w:val="a3"/>
              <w:spacing w:before="0" w:beforeAutospacing="0" w:after="0" w:afterAutospacing="0"/>
              <w:jc w:val="right"/>
              <w:rPr>
                <w:sz w:val="20"/>
                <w:szCs w:val="20"/>
              </w:rPr>
            </w:pPr>
            <w:r>
              <w:rPr>
                <w:b/>
                <w:bCs/>
                <w:sz w:val="20"/>
                <w:szCs w:val="20"/>
              </w:rPr>
              <w:t>19,84</w:t>
            </w:r>
            <w:r>
              <w:rPr>
                <w:b/>
                <w:bCs/>
                <w:sz w:val="20"/>
                <w:szCs w:val="20"/>
              </w:rPr>
              <w:t>0</w:t>
            </w:r>
          </w:p>
        </w:tc>
        <w:tc>
          <w:tcPr>
            <w:tcW w:w="0" w:type="auto"/>
            <w:noWrap/>
            <w:vAlign w:val="bottom"/>
            <w:hideMark/>
          </w:tcPr>
          <w:p w14:paraId="47FA2A7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33BBB1F" w14:textId="77777777" w:rsidR="00000000" w:rsidRDefault="003A1B5D">
            <w:pPr>
              <w:pStyle w:val="a3"/>
              <w:spacing w:before="0" w:beforeAutospacing="0" w:after="0" w:afterAutospacing="0"/>
              <w:rPr>
                <w:sz w:val="22"/>
                <w:szCs w:val="22"/>
              </w:rPr>
            </w:pPr>
            <w:r>
              <w:rPr>
                <w:sz w:val="22"/>
                <w:szCs w:val="22"/>
              </w:rPr>
              <w:t> </w:t>
            </w:r>
          </w:p>
        </w:tc>
        <w:tc>
          <w:tcPr>
            <w:tcW w:w="0" w:type="auto"/>
            <w:noWrap/>
            <w:vAlign w:val="bottom"/>
            <w:hideMark/>
          </w:tcPr>
          <w:p w14:paraId="05866E5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1434CBB" w14:textId="77777777" w:rsidR="00000000" w:rsidRDefault="003A1B5D">
            <w:pPr>
              <w:pStyle w:val="a3"/>
              <w:spacing w:before="0" w:beforeAutospacing="0" w:after="0" w:afterAutospacing="0"/>
              <w:jc w:val="right"/>
              <w:rPr>
                <w:sz w:val="20"/>
                <w:szCs w:val="20"/>
              </w:rPr>
            </w:pPr>
            <w:r>
              <w:rPr>
                <w:sz w:val="20"/>
                <w:szCs w:val="20"/>
              </w:rPr>
              <w:t>20,62</w:t>
            </w:r>
            <w:r>
              <w:rPr>
                <w:sz w:val="20"/>
                <w:szCs w:val="20"/>
              </w:rPr>
              <w:t>2</w:t>
            </w:r>
          </w:p>
        </w:tc>
        <w:tc>
          <w:tcPr>
            <w:tcW w:w="0" w:type="auto"/>
            <w:noWrap/>
            <w:vAlign w:val="bottom"/>
            <w:hideMark/>
          </w:tcPr>
          <w:p w14:paraId="5DE36EF5" w14:textId="77777777" w:rsidR="00000000" w:rsidRDefault="003A1B5D">
            <w:pPr>
              <w:pStyle w:val="a3"/>
              <w:spacing w:before="0" w:beforeAutospacing="0" w:after="0" w:afterAutospacing="0"/>
              <w:rPr>
                <w:sz w:val="20"/>
                <w:szCs w:val="20"/>
              </w:rPr>
            </w:pPr>
            <w:r>
              <w:rPr>
                <w:sz w:val="20"/>
                <w:szCs w:val="20"/>
              </w:rPr>
              <w:t> </w:t>
            </w:r>
          </w:p>
        </w:tc>
      </w:tr>
      <w:tr w:rsidR="00000000" w14:paraId="7DD90971" w14:textId="77777777">
        <w:trPr>
          <w:divId w:val="661783178"/>
          <w:trHeight w:val="200"/>
          <w:tblCellSpacing w:w="15" w:type="dxa"/>
        </w:trPr>
        <w:tc>
          <w:tcPr>
            <w:tcW w:w="0" w:type="auto"/>
            <w:vAlign w:val="bottom"/>
            <w:hideMark/>
          </w:tcPr>
          <w:p w14:paraId="0D832E09" w14:textId="77777777" w:rsidR="00000000" w:rsidRDefault="003A1B5D">
            <w:pPr>
              <w:pStyle w:val="a3"/>
              <w:spacing w:before="0" w:beforeAutospacing="0" w:after="0" w:afterAutospacing="0"/>
              <w:rPr>
                <w:sz w:val="20"/>
                <w:szCs w:val="20"/>
              </w:rPr>
            </w:pPr>
            <w:r>
              <w:rPr>
                <w:sz w:val="20"/>
                <w:szCs w:val="20"/>
              </w:rPr>
              <w:t>Leavenworth Detention Cente</w:t>
            </w:r>
            <w:r>
              <w:rPr>
                <w:sz w:val="20"/>
                <w:szCs w:val="20"/>
              </w:rPr>
              <w:t>r</w:t>
            </w:r>
          </w:p>
        </w:tc>
        <w:tc>
          <w:tcPr>
            <w:tcW w:w="0" w:type="auto"/>
            <w:vAlign w:val="bottom"/>
            <w:hideMark/>
          </w:tcPr>
          <w:p w14:paraId="7C89C3F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C2EE8F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EAD163D" w14:textId="77777777" w:rsidR="00000000" w:rsidRDefault="003A1B5D">
            <w:pPr>
              <w:pStyle w:val="a3"/>
              <w:spacing w:before="0" w:beforeAutospacing="0" w:after="0" w:afterAutospacing="0"/>
              <w:jc w:val="right"/>
              <w:rPr>
                <w:sz w:val="20"/>
                <w:szCs w:val="20"/>
              </w:rPr>
            </w:pPr>
            <w:r>
              <w:rPr>
                <w:sz w:val="20"/>
                <w:szCs w:val="20"/>
              </w:rPr>
              <w:t>1,03</w:t>
            </w:r>
            <w:r>
              <w:rPr>
                <w:sz w:val="20"/>
                <w:szCs w:val="20"/>
              </w:rPr>
              <w:t>3</w:t>
            </w:r>
          </w:p>
        </w:tc>
        <w:tc>
          <w:tcPr>
            <w:tcW w:w="0" w:type="auto"/>
            <w:noWrap/>
            <w:vAlign w:val="bottom"/>
            <w:hideMark/>
          </w:tcPr>
          <w:p w14:paraId="113B045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0216F5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DB852B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34AEE1B" w14:textId="77777777" w:rsidR="00000000" w:rsidRDefault="003A1B5D">
            <w:pPr>
              <w:pStyle w:val="a3"/>
              <w:spacing w:before="0" w:beforeAutospacing="0" w:after="0" w:afterAutospacing="0"/>
              <w:jc w:val="right"/>
              <w:rPr>
                <w:sz w:val="20"/>
                <w:szCs w:val="20"/>
              </w:rPr>
            </w:pPr>
            <w:r>
              <w:rPr>
                <w:b/>
                <w:bCs/>
                <w:sz w:val="20"/>
                <w:szCs w:val="20"/>
              </w:rPr>
              <w:t>52,45</w:t>
            </w:r>
            <w:r>
              <w:rPr>
                <w:b/>
                <w:bCs/>
                <w:sz w:val="20"/>
                <w:szCs w:val="20"/>
              </w:rPr>
              <w:t>3</w:t>
            </w:r>
          </w:p>
        </w:tc>
        <w:tc>
          <w:tcPr>
            <w:tcW w:w="0" w:type="auto"/>
            <w:noWrap/>
            <w:vAlign w:val="bottom"/>
            <w:hideMark/>
          </w:tcPr>
          <w:p w14:paraId="4C9D6CA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E5E439E" w14:textId="77777777" w:rsidR="00000000" w:rsidRDefault="003A1B5D">
            <w:pPr>
              <w:pStyle w:val="a3"/>
              <w:spacing w:before="0" w:beforeAutospacing="0" w:after="0" w:afterAutospacing="0"/>
              <w:rPr>
                <w:sz w:val="22"/>
                <w:szCs w:val="22"/>
              </w:rPr>
            </w:pPr>
            <w:r>
              <w:rPr>
                <w:sz w:val="22"/>
                <w:szCs w:val="22"/>
              </w:rPr>
              <w:t> </w:t>
            </w:r>
          </w:p>
        </w:tc>
        <w:tc>
          <w:tcPr>
            <w:tcW w:w="0" w:type="auto"/>
            <w:noWrap/>
            <w:vAlign w:val="bottom"/>
            <w:hideMark/>
          </w:tcPr>
          <w:p w14:paraId="1154F56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356D3E0" w14:textId="77777777" w:rsidR="00000000" w:rsidRDefault="003A1B5D">
            <w:pPr>
              <w:pStyle w:val="a3"/>
              <w:spacing w:before="0" w:beforeAutospacing="0" w:after="0" w:afterAutospacing="0"/>
              <w:jc w:val="right"/>
              <w:rPr>
                <w:sz w:val="20"/>
                <w:szCs w:val="20"/>
              </w:rPr>
            </w:pPr>
            <w:r>
              <w:rPr>
                <w:sz w:val="20"/>
                <w:szCs w:val="20"/>
              </w:rPr>
              <w:t>54,16</w:t>
            </w:r>
            <w:r>
              <w:rPr>
                <w:sz w:val="20"/>
                <w:szCs w:val="20"/>
              </w:rPr>
              <w:t>2</w:t>
            </w:r>
          </w:p>
        </w:tc>
        <w:tc>
          <w:tcPr>
            <w:tcW w:w="0" w:type="auto"/>
            <w:noWrap/>
            <w:vAlign w:val="bottom"/>
            <w:hideMark/>
          </w:tcPr>
          <w:p w14:paraId="350AE3FC" w14:textId="77777777" w:rsidR="00000000" w:rsidRDefault="003A1B5D">
            <w:pPr>
              <w:pStyle w:val="a3"/>
              <w:spacing w:before="0" w:beforeAutospacing="0" w:after="0" w:afterAutospacing="0"/>
              <w:rPr>
                <w:sz w:val="20"/>
                <w:szCs w:val="20"/>
              </w:rPr>
            </w:pPr>
            <w:r>
              <w:rPr>
                <w:sz w:val="20"/>
                <w:szCs w:val="20"/>
              </w:rPr>
              <w:t> </w:t>
            </w:r>
          </w:p>
        </w:tc>
      </w:tr>
      <w:tr w:rsidR="00000000" w14:paraId="68EBCDB9" w14:textId="77777777">
        <w:trPr>
          <w:divId w:val="661783178"/>
          <w:trHeight w:val="200"/>
          <w:tblCellSpacing w:w="15" w:type="dxa"/>
        </w:trPr>
        <w:tc>
          <w:tcPr>
            <w:tcW w:w="0" w:type="auto"/>
            <w:hideMark/>
          </w:tcPr>
          <w:p w14:paraId="0A4C3E8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A07419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36B3BE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3E6F4A5" w14:textId="77777777" w:rsidR="00000000" w:rsidRDefault="003A1B5D">
            <w:pPr>
              <w:pStyle w:val="a3"/>
              <w:spacing w:before="0" w:beforeAutospacing="0" w:after="0" w:afterAutospacing="0"/>
              <w:jc w:val="right"/>
              <w:rPr>
                <w:sz w:val="20"/>
                <w:szCs w:val="20"/>
              </w:rPr>
            </w:pPr>
            <w:r>
              <w:rPr>
                <w:sz w:val="20"/>
                <w:szCs w:val="20"/>
              </w:rPr>
              <w:t>8,45</w:t>
            </w:r>
            <w:r>
              <w:rPr>
                <w:sz w:val="20"/>
                <w:szCs w:val="20"/>
              </w:rPr>
              <w:t>9</w:t>
            </w:r>
          </w:p>
        </w:tc>
        <w:tc>
          <w:tcPr>
            <w:tcW w:w="0" w:type="auto"/>
            <w:noWrap/>
            <w:vAlign w:val="bottom"/>
            <w:hideMark/>
          </w:tcPr>
          <w:p w14:paraId="7E44606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032BF5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5E21197"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5CC9AA2A" w14:textId="77777777" w:rsidR="00000000" w:rsidRDefault="003A1B5D">
            <w:pPr>
              <w:pStyle w:val="a3"/>
              <w:spacing w:before="0" w:beforeAutospacing="0" w:after="0" w:afterAutospacing="0"/>
              <w:jc w:val="right"/>
              <w:rPr>
                <w:sz w:val="20"/>
                <w:szCs w:val="20"/>
              </w:rPr>
            </w:pPr>
            <w:r>
              <w:rPr>
                <w:b/>
                <w:bCs/>
                <w:sz w:val="20"/>
                <w:szCs w:val="20"/>
              </w:rPr>
              <w:t>197,15</w:t>
            </w:r>
            <w:r>
              <w:rPr>
                <w:b/>
                <w:bCs/>
                <w:sz w:val="20"/>
                <w:szCs w:val="20"/>
              </w:rPr>
              <w:t>9</w:t>
            </w:r>
          </w:p>
        </w:tc>
        <w:tc>
          <w:tcPr>
            <w:tcW w:w="0" w:type="auto"/>
            <w:noWrap/>
            <w:vAlign w:val="bottom"/>
            <w:hideMark/>
          </w:tcPr>
          <w:p w14:paraId="3F92051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FD94806" w14:textId="77777777" w:rsidR="00000000" w:rsidRDefault="003A1B5D">
            <w:pPr>
              <w:pStyle w:val="a3"/>
              <w:spacing w:before="0" w:beforeAutospacing="0" w:after="0" w:afterAutospacing="0"/>
              <w:rPr>
                <w:sz w:val="22"/>
                <w:szCs w:val="22"/>
              </w:rPr>
            </w:pPr>
            <w:r>
              <w:rPr>
                <w:sz w:val="22"/>
                <w:szCs w:val="22"/>
              </w:rPr>
              <w:t> </w:t>
            </w:r>
          </w:p>
        </w:tc>
        <w:tc>
          <w:tcPr>
            <w:tcW w:w="0" w:type="auto"/>
            <w:noWrap/>
            <w:vAlign w:val="bottom"/>
            <w:hideMark/>
          </w:tcPr>
          <w:p w14:paraId="2DACE8C5"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5D6A9832" w14:textId="77777777" w:rsidR="00000000" w:rsidRDefault="003A1B5D">
            <w:pPr>
              <w:pStyle w:val="a3"/>
              <w:spacing w:before="0" w:beforeAutospacing="0" w:after="0" w:afterAutospacing="0"/>
              <w:jc w:val="right"/>
              <w:rPr>
                <w:sz w:val="20"/>
                <w:szCs w:val="20"/>
              </w:rPr>
            </w:pPr>
            <w:r>
              <w:rPr>
                <w:sz w:val="20"/>
                <w:szCs w:val="20"/>
              </w:rPr>
              <w:t>203,04</w:t>
            </w:r>
            <w:r>
              <w:rPr>
                <w:sz w:val="20"/>
                <w:szCs w:val="20"/>
              </w:rPr>
              <w:t>0</w:t>
            </w:r>
          </w:p>
        </w:tc>
        <w:tc>
          <w:tcPr>
            <w:tcW w:w="0" w:type="auto"/>
            <w:noWrap/>
            <w:vAlign w:val="bottom"/>
            <w:hideMark/>
          </w:tcPr>
          <w:p w14:paraId="5D5D8CB4" w14:textId="77777777" w:rsidR="00000000" w:rsidRDefault="003A1B5D">
            <w:pPr>
              <w:pStyle w:val="a3"/>
              <w:spacing w:before="0" w:beforeAutospacing="0" w:after="0" w:afterAutospacing="0"/>
              <w:rPr>
                <w:sz w:val="20"/>
                <w:szCs w:val="20"/>
              </w:rPr>
            </w:pPr>
            <w:r>
              <w:rPr>
                <w:sz w:val="20"/>
                <w:szCs w:val="20"/>
              </w:rPr>
              <w:t> </w:t>
            </w:r>
          </w:p>
        </w:tc>
      </w:tr>
    </w:tbl>
    <w:p w14:paraId="39402778" w14:textId="77777777" w:rsidR="00000000" w:rsidRDefault="003A1B5D">
      <w:pPr>
        <w:pStyle w:val="a3"/>
        <w:spacing w:before="0" w:beforeAutospacing="0" w:after="0" w:afterAutospacing="0"/>
        <w:jc w:val="both"/>
        <w:divId w:val="2136287036"/>
        <w:rPr>
          <w:sz w:val="20"/>
          <w:szCs w:val="20"/>
        </w:rPr>
      </w:pPr>
      <w:r>
        <w:rPr>
          <w:sz w:val="20"/>
          <w:szCs w:val="20"/>
        </w:rPr>
        <w:t> </w:t>
      </w:r>
    </w:p>
    <w:p w14:paraId="6D370AB2" w14:textId="77777777" w:rsidR="00000000" w:rsidRDefault="003A1B5D">
      <w:pPr>
        <w:pStyle w:val="a3"/>
        <w:spacing w:before="0" w:beforeAutospacing="0" w:after="0" w:afterAutospacing="0"/>
        <w:ind w:left="476"/>
        <w:jc w:val="both"/>
        <w:divId w:val="2136287036"/>
        <w:rPr>
          <w:sz w:val="20"/>
          <w:szCs w:val="20"/>
        </w:rPr>
      </w:pPr>
      <w:r>
        <w:rPr>
          <w:sz w:val="20"/>
          <w:szCs w:val="20"/>
        </w:rPr>
        <w:t>As of September 30, 202</w:t>
      </w:r>
      <w:r>
        <w:rPr>
          <w:sz w:val="20"/>
          <w:szCs w:val="20"/>
        </w:rPr>
        <w:t>2</w:t>
      </w:r>
      <w:r>
        <w:rPr>
          <w:sz w:val="20"/>
          <w:szCs w:val="20"/>
        </w:rPr>
        <w:t>, CoreCivic also had</w:t>
      </w:r>
      <w:r>
        <w:rPr>
          <w:sz w:val="20"/>
          <w:szCs w:val="20"/>
        </w:rPr>
        <w:t xml:space="preserve"> </w:t>
      </w:r>
      <w:r>
        <w:rPr>
          <w:sz w:val="20"/>
          <w:szCs w:val="20"/>
        </w:rPr>
        <w:t>on</w:t>
      </w:r>
      <w:r>
        <w:rPr>
          <w:sz w:val="20"/>
          <w:szCs w:val="20"/>
        </w:rPr>
        <w:t>e</w:t>
      </w:r>
      <w:r>
        <w:rPr>
          <w:sz w:val="20"/>
          <w:szCs w:val="20"/>
        </w:rPr>
        <w:t xml:space="preserve"> </w:t>
      </w:r>
      <w:r>
        <w:rPr>
          <w:sz w:val="20"/>
          <w:szCs w:val="20"/>
        </w:rPr>
        <w:t>idled non-core facility in its Safety segment containing</w:t>
      </w:r>
      <w:r>
        <w:rPr>
          <w:sz w:val="20"/>
          <w:szCs w:val="20"/>
        </w:rPr>
        <w:t xml:space="preserve"> </w:t>
      </w:r>
      <w:r>
        <w:rPr>
          <w:sz w:val="20"/>
          <w:szCs w:val="20"/>
        </w:rPr>
        <w:t>24</w:t>
      </w:r>
      <w:r>
        <w:rPr>
          <w:sz w:val="20"/>
          <w:szCs w:val="20"/>
        </w:rPr>
        <w:t>0</w:t>
      </w:r>
      <w:r>
        <w:rPr>
          <w:sz w:val="20"/>
          <w:szCs w:val="20"/>
        </w:rPr>
        <w:t xml:space="preserve"> beds with a net book value of</w:t>
      </w:r>
      <w:r>
        <w:rPr>
          <w:sz w:val="20"/>
          <w:szCs w:val="20"/>
        </w:rPr>
        <w:t xml:space="preserve"> </w:t>
      </w:r>
      <w:r>
        <w:rPr>
          <w:sz w:val="20"/>
          <w:szCs w:val="20"/>
        </w:rPr>
        <w:t>$</w:t>
      </w:r>
      <w:r>
        <w:rPr>
          <w:sz w:val="20"/>
          <w:szCs w:val="20"/>
        </w:rPr>
        <w:t>3.</w:t>
      </w:r>
      <w:r>
        <w:rPr>
          <w:sz w:val="20"/>
          <w:szCs w:val="20"/>
        </w:rPr>
        <w:t>0</w:t>
      </w:r>
      <w:r>
        <w:rPr>
          <w:sz w:val="20"/>
          <w:szCs w:val="20"/>
        </w:rPr>
        <w:t xml:space="preserve"> millio</w:t>
      </w:r>
      <w:r>
        <w:rPr>
          <w:sz w:val="20"/>
          <w:szCs w:val="20"/>
        </w:rPr>
        <w:t>n</w:t>
      </w:r>
      <w:r>
        <w:rPr>
          <w:sz w:val="20"/>
          <w:szCs w:val="20"/>
        </w:rPr>
        <w:t>, and</w:t>
      </w:r>
      <w:r>
        <w:rPr>
          <w:sz w:val="20"/>
          <w:szCs w:val="20"/>
        </w:rPr>
        <w:t xml:space="preserve"> </w:t>
      </w:r>
      <w:r>
        <w:rPr>
          <w:sz w:val="20"/>
          <w:szCs w:val="20"/>
        </w:rPr>
        <w:t>thre</w:t>
      </w:r>
      <w:r>
        <w:rPr>
          <w:sz w:val="20"/>
          <w:szCs w:val="20"/>
        </w:rPr>
        <w:t>e</w:t>
      </w:r>
      <w:r>
        <w:rPr>
          <w:sz w:val="20"/>
          <w:szCs w:val="20"/>
        </w:rPr>
        <w:t xml:space="preserve"> idled facilities in its Community segment (one of which is held for sale), containing an aggregate of</w:t>
      </w:r>
      <w:r>
        <w:rPr>
          <w:sz w:val="20"/>
          <w:szCs w:val="20"/>
        </w:rPr>
        <w:t xml:space="preserve"> </w:t>
      </w:r>
      <w:r>
        <w:rPr>
          <w:sz w:val="20"/>
          <w:szCs w:val="20"/>
        </w:rPr>
        <w:t>65</w:t>
      </w:r>
      <w:r>
        <w:rPr>
          <w:sz w:val="20"/>
          <w:szCs w:val="20"/>
        </w:rPr>
        <w:t>0</w:t>
      </w:r>
      <w:r>
        <w:rPr>
          <w:sz w:val="20"/>
          <w:szCs w:val="20"/>
        </w:rPr>
        <w:t xml:space="preserve"> beds with an aggregate net book val</w:t>
      </w:r>
      <w:r>
        <w:rPr>
          <w:sz w:val="20"/>
          <w:szCs w:val="20"/>
        </w:rPr>
        <w:t>ue of</w:t>
      </w:r>
      <w:r>
        <w:rPr>
          <w:sz w:val="20"/>
          <w:szCs w:val="20"/>
        </w:rPr>
        <w:t xml:space="preserve"> </w:t>
      </w:r>
      <w:r>
        <w:rPr>
          <w:sz w:val="20"/>
          <w:szCs w:val="20"/>
        </w:rPr>
        <w:t>$</w:t>
      </w:r>
      <w:r>
        <w:rPr>
          <w:sz w:val="20"/>
          <w:szCs w:val="20"/>
        </w:rPr>
        <w:t>5.</w:t>
      </w:r>
      <w:r>
        <w:rPr>
          <w:sz w:val="20"/>
          <w:szCs w:val="20"/>
        </w:rPr>
        <w:t>1</w:t>
      </w:r>
      <w:r>
        <w:rPr>
          <w:sz w:val="20"/>
          <w:szCs w:val="20"/>
        </w:rPr>
        <w:t xml:space="preserve"> millio</w:t>
      </w:r>
      <w:r>
        <w:rPr>
          <w:sz w:val="20"/>
          <w:szCs w:val="20"/>
        </w:rPr>
        <w:t>n</w:t>
      </w:r>
      <w:r>
        <w:rPr>
          <w:sz w:val="20"/>
          <w:szCs w:val="20"/>
        </w:rPr>
        <w:t>.</w:t>
      </w:r>
      <w:r>
        <w:rPr>
          <w:sz w:val="20"/>
          <w:szCs w:val="20"/>
        </w:rPr>
        <w:t xml:space="preserve"> </w:t>
      </w:r>
    </w:p>
    <w:p w14:paraId="73A24247" w14:textId="77777777" w:rsidR="00000000" w:rsidRDefault="003A1B5D">
      <w:pPr>
        <w:pStyle w:val="a3"/>
        <w:spacing w:before="240" w:beforeAutospacing="0" w:after="0" w:afterAutospacing="0"/>
        <w:ind w:left="476"/>
        <w:jc w:val="both"/>
        <w:divId w:val="2136287036"/>
        <w:rPr>
          <w:sz w:val="20"/>
          <w:szCs w:val="20"/>
        </w:rPr>
      </w:pPr>
      <w:r>
        <w:rPr>
          <w:sz w:val="20"/>
          <w:szCs w:val="20"/>
        </w:rPr>
        <w:t>CoreCivic incurred operating expenses at these idled facilities of approximately</w:t>
      </w:r>
      <w:r>
        <w:rPr>
          <w:sz w:val="20"/>
          <w:szCs w:val="20"/>
        </w:rPr>
        <w:t xml:space="preserve"> </w:t>
      </w:r>
      <w:r>
        <w:rPr>
          <w:sz w:val="20"/>
          <w:szCs w:val="20"/>
        </w:rPr>
        <w:t>$</w:t>
      </w:r>
      <w:r>
        <w:rPr>
          <w:sz w:val="20"/>
          <w:szCs w:val="20"/>
        </w:rPr>
        <w:t>2.</w:t>
      </w:r>
      <w:r>
        <w:rPr>
          <w:sz w:val="20"/>
          <w:szCs w:val="20"/>
        </w:rPr>
        <w:t>9</w:t>
      </w:r>
      <w:r>
        <w:rPr>
          <w:sz w:val="20"/>
          <w:szCs w:val="20"/>
        </w:rPr>
        <w:t xml:space="preserve"> millio</w:t>
      </w:r>
      <w:r>
        <w:rPr>
          <w:sz w:val="20"/>
          <w:szCs w:val="20"/>
        </w:rPr>
        <w:t>n</w:t>
      </w:r>
      <w:r>
        <w:rPr>
          <w:sz w:val="20"/>
          <w:szCs w:val="20"/>
        </w:rPr>
        <w:t xml:space="preserve"> and</w:t>
      </w:r>
      <w:r>
        <w:rPr>
          <w:sz w:val="20"/>
          <w:szCs w:val="20"/>
        </w:rPr>
        <w:t xml:space="preserve"> </w:t>
      </w:r>
      <w:r>
        <w:rPr>
          <w:sz w:val="20"/>
          <w:szCs w:val="20"/>
        </w:rPr>
        <w:t>$</w:t>
      </w:r>
      <w:r>
        <w:rPr>
          <w:sz w:val="20"/>
          <w:szCs w:val="20"/>
        </w:rPr>
        <w:t>2.</w:t>
      </w:r>
      <w:r>
        <w:rPr>
          <w:sz w:val="20"/>
          <w:szCs w:val="20"/>
        </w:rPr>
        <w:t>0</w:t>
      </w:r>
      <w:r>
        <w:rPr>
          <w:sz w:val="20"/>
          <w:szCs w:val="20"/>
        </w:rPr>
        <w:t xml:space="preserve"> millio</w:t>
      </w:r>
      <w:r>
        <w:rPr>
          <w:sz w:val="20"/>
          <w:szCs w:val="20"/>
        </w:rPr>
        <w:t>n</w:t>
      </w:r>
      <w:r>
        <w:rPr>
          <w:sz w:val="20"/>
          <w:szCs w:val="20"/>
        </w:rPr>
        <w:t xml:space="preserve"> during the period they were idle for the three months ended September 30, 2022 and 2021, respectively. CoreCivic incurred op</w:t>
      </w:r>
      <w:r>
        <w:rPr>
          <w:sz w:val="20"/>
          <w:szCs w:val="20"/>
        </w:rPr>
        <w:t>erating expenses at these idled facilities of approximately</w:t>
      </w:r>
      <w:r>
        <w:rPr>
          <w:sz w:val="20"/>
          <w:szCs w:val="20"/>
        </w:rPr>
        <w:t xml:space="preserve"> </w:t>
      </w:r>
      <w:r>
        <w:rPr>
          <w:sz w:val="20"/>
          <w:szCs w:val="20"/>
        </w:rPr>
        <w:t>$</w:t>
      </w:r>
      <w:r>
        <w:rPr>
          <w:sz w:val="20"/>
          <w:szCs w:val="20"/>
        </w:rPr>
        <w:t>7.</w:t>
      </w:r>
      <w:r>
        <w:rPr>
          <w:sz w:val="20"/>
          <w:szCs w:val="20"/>
        </w:rPr>
        <w:t>6</w:t>
      </w:r>
      <w:r>
        <w:rPr>
          <w:sz w:val="20"/>
          <w:szCs w:val="20"/>
        </w:rPr>
        <w:t xml:space="preserve"> millio</w:t>
      </w:r>
      <w:r>
        <w:rPr>
          <w:sz w:val="20"/>
          <w:szCs w:val="20"/>
        </w:rPr>
        <w:t>n</w:t>
      </w:r>
      <w:r>
        <w:rPr>
          <w:sz w:val="20"/>
          <w:szCs w:val="20"/>
        </w:rPr>
        <w:t xml:space="preserve"> and</w:t>
      </w:r>
      <w:r>
        <w:rPr>
          <w:sz w:val="20"/>
          <w:szCs w:val="20"/>
        </w:rPr>
        <w:t xml:space="preserve"> </w:t>
      </w:r>
      <w:r>
        <w:rPr>
          <w:sz w:val="20"/>
          <w:szCs w:val="20"/>
        </w:rPr>
        <w:t>$</w:t>
      </w:r>
      <w:r>
        <w:rPr>
          <w:sz w:val="20"/>
          <w:szCs w:val="20"/>
        </w:rPr>
        <w:t>6.</w:t>
      </w:r>
      <w:r>
        <w:rPr>
          <w:sz w:val="20"/>
          <w:szCs w:val="20"/>
        </w:rPr>
        <w:t>0</w:t>
      </w:r>
      <w:r>
        <w:rPr>
          <w:sz w:val="20"/>
          <w:szCs w:val="20"/>
        </w:rPr>
        <w:t xml:space="preserve"> millio</w:t>
      </w:r>
      <w:r>
        <w:rPr>
          <w:sz w:val="20"/>
          <w:szCs w:val="20"/>
        </w:rPr>
        <w:t>n</w:t>
      </w:r>
      <w:r>
        <w:rPr>
          <w:sz w:val="20"/>
          <w:szCs w:val="20"/>
        </w:rPr>
        <w:t xml:space="preserve"> during the period they were idle for the nine months ended September 30, 2022 and 202</w:t>
      </w:r>
      <w:r>
        <w:rPr>
          <w:sz w:val="20"/>
          <w:szCs w:val="20"/>
        </w:rPr>
        <w:t>1</w:t>
      </w:r>
      <w:r>
        <w:rPr>
          <w:sz w:val="20"/>
          <w:szCs w:val="20"/>
        </w:rPr>
        <w:t>, respectively. The amount for the nine months ended September 30, 2022 excludes</w:t>
      </w:r>
      <w:r>
        <w:rPr>
          <w:sz w:val="20"/>
          <w:szCs w:val="20"/>
        </w:rPr>
        <w:t xml:space="preserve"> </w:t>
      </w:r>
      <w:r>
        <w:rPr>
          <w:sz w:val="20"/>
          <w:szCs w:val="20"/>
        </w:rPr>
        <w:t>$</w:t>
      </w:r>
      <w:r>
        <w:rPr>
          <w:sz w:val="20"/>
          <w:szCs w:val="20"/>
        </w:rPr>
        <w:t>3.</w:t>
      </w:r>
      <w:r>
        <w:rPr>
          <w:sz w:val="20"/>
          <w:szCs w:val="20"/>
        </w:rPr>
        <w:t>5</w:t>
      </w:r>
      <w:r>
        <w:rPr>
          <w:sz w:val="20"/>
          <w:szCs w:val="20"/>
        </w:rPr>
        <w:t xml:space="preserve"> million of operating expenses incurred at the West Tennessee Detention Facility and the Leavenworth Detention Center during the three months ended March 31, 2022. The West Tennessee facility was idled upon the expiration of a USMS contract on Septemb</w:t>
      </w:r>
      <w:r>
        <w:rPr>
          <w:sz w:val="20"/>
          <w:szCs w:val="20"/>
        </w:rPr>
        <w:t>er 30, 2021, and the Leavenworth facility was idled upon the expiration of a USMS contract on December 31, 2021. Although recently idled, CoreCivic retained a certain staffing level at both facilities during the first three months of 2022 in order to quick</w:t>
      </w:r>
      <w:r>
        <w:rPr>
          <w:sz w:val="20"/>
          <w:szCs w:val="20"/>
        </w:rPr>
        <w:t>ly respond in the event the Company was able to enter into new contracts with government agencies promptly following the contract expirations. The Company also continued to incur expenses related to transportation services provided by staff at the Leavenwo</w:t>
      </w:r>
      <w:r>
        <w:rPr>
          <w:sz w:val="20"/>
          <w:szCs w:val="20"/>
        </w:rPr>
        <w:t>rth facility during the first three months of 2022</w:t>
      </w:r>
      <w:r>
        <w:rPr>
          <w:sz w:val="20"/>
          <w:szCs w:val="20"/>
        </w:rPr>
        <w:t>.</w:t>
      </w:r>
      <w:r>
        <w:rPr>
          <w:sz w:val="20"/>
          <w:szCs w:val="20"/>
        </w:rPr>
        <w:t xml:space="preserve"> </w:t>
      </w:r>
    </w:p>
    <w:p w14:paraId="32D58220" w14:textId="77777777" w:rsidR="00000000" w:rsidRDefault="003A1B5D">
      <w:pPr>
        <w:pStyle w:val="a3"/>
        <w:spacing w:before="240" w:beforeAutospacing="0" w:after="0" w:afterAutospacing="0"/>
        <w:ind w:left="476"/>
        <w:jc w:val="both"/>
        <w:divId w:val="2136287036"/>
        <w:rPr>
          <w:sz w:val="20"/>
          <w:szCs w:val="20"/>
        </w:rPr>
      </w:pPr>
      <w:r>
        <w:rPr>
          <w:sz w:val="20"/>
          <w:szCs w:val="20"/>
        </w:rPr>
        <w:t>The Company estimated undiscounted cash flows for each facility with an impairment indicator, including the idle facilities described above. The Company’s estimated undiscounted cash flows reflect the Co</w:t>
      </w:r>
      <w:r>
        <w:rPr>
          <w:sz w:val="20"/>
          <w:szCs w:val="20"/>
        </w:rPr>
        <w:t>mpany’s most recent expectations around potential utilization and/or sale of the facilities and projected cash flows based on historical cash flows, cash flows of comparable facilities, and recent contract negotiations for utilization. The Company conclude</w:t>
      </w:r>
      <w:r>
        <w:rPr>
          <w:sz w:val="20"/>
          <w:szCs w:val="20"/>
        </w:rPr>
        <w:t>d that the estimated undiscounted cash flows exceeded carrying values for each facility as of September 30, 2022 and December 31, 2021</w:t>
      </w:r>
      <w:r>
        <w:rPr>
          <w:sz w:val="20"/>
          <w:szCs w:val="20"/>
        </w:rPr>
        <w:t>.</w:t>
      </w:r>
      <w:r>
        <w:rPr>
          <w:sz w:val="20"/>
          <w:szCs w:val="20"/>
        </w:rPr>
        <w:t xml:space="preserve"> </w:t>
      </w:r>
    </w:p>
    <w:p w14:paraId="43EDC17E" w14:textId="77777777" w:rsidR="00000000" w:rsidRDefault="003A1B5D">
      <w:pPr>
        <w:pStyle w:val="a3"/>
        <w:spacing w:before="240" w:beforeAutospacing="0" w:after="0" w:afterAutospacing="0"/>
        <w:ind w:left="476"/>
        <w:jc w:val="both"/>
        <w:divId w:val="2136287036"/>
        <w:rPr>
          <w:sz w:val="20"/>
          <w:szCs w:val="20"/>
        </w:rPr>
      </w:pPr>
      <w:r>
        <w:rPr>
          <w:sz w:val="20"/>
          <w:szCs w:val="20"/>
        </w:rPr>
        <w:t>CoreCivic evaluates on a quarterly basis market developments for the potential utilization of each of its idle properti</w:t>
      </w:r>
      <w:r>
        <w:rPr>
          <w:sz w:val="20"/>
          <w:szCs w:val="20"/>
        </w:rPr>
        <w:t>es in order to identify events that may cause CoreCivic to reconsider its assumptions with respect to the recoverability of book values as compared to undiscounted cash flows. CoreCivic considers the cancellation of a contract in its Safety or Community se</w:t>
      </w:r>
      <w:r>
        <w:rPr>
          <w:sz w:val="20"/>
          <w:szCs w:val="20"/>
        </w:rPr>
        <w:t>gment or an expiration and non-renewal of a lease agreement in its CoreCivic Properties segment as indicators of impairment and tests each of the idled properties for impairment when it was notified by the respective customers or tenants that they would no</w:t>
      </w:r>
      <w:r>
        <w:rPr>
          <w:sz w:val="20"/>
          <w:szCs w:val="20"/>
        </w:rPr>
        <w:t xml:space="preserve"> longer be utilizing such property</w:t>
      </w:r>
      <w:r>
        <w:rPr>
          <w:sz w:val="20"/>
          <w:szCs w:val="20"/>
        </w:rPr>
        <w:t>.</w:t>
      </w:r>
      <w:r>
        <w:rPr>
          <w:sz w:val="20"/>
          <w:szCs w:val="20"/>
        </w:rPr>
        <w:t xml:space="preserve"> </w:t>
      </w:r>
    </w:p>
    <w:p w14:paraId="1324DDA3" w14:textId="77777777" w:rsidR="00000000" w:rsidRDefault="003A1B5D">
      <w:pPr>
        <w:pStyle w:val="a3"/>
        <w:spacing w:before="240" w:beforeAutospacing="0" w:after="0" w:afterAutospacing="0"/>
        <w:ind w:left="476"/>
        <w:jc w:val="both"/>
        <w:rPr>
          <w:sz w:val="20"/>
          <w:szCs w:val="20"/>
        </w:rPr>
      </w:pPr>
      <w:r>
        <w:rPr>
          <w:sz w:val="20"/>
          <w:szCs w:val="20"/>
        </w:rPr>
        <w:t> </w:t>
      </w:r>
    </w:p>
    <w:p w14:paraId="0857680C" w14:textId="77777777" w:rsidR="00000000" w:rsidRDefault="003A1B5D">
      <w:pPr>
        <w:pStyle w:val="a3"/>
        <w:spacing w:before="240" w:beforeAutospacing="0" w:after="0" w:afterAutospacing="0"/>
        <w:ind w:left="476"/>
        <w:jc w:val="both"/>
        <w:rPr>
          <w:sz w:val="20"/>
          <w:szCs w:val="20"/>
        </w:rPr>
      </w:pPr>
      <w:r>
        <w:rPr>
          <w:sz w:val="20"/>
          <w:szCs w:val="20"/>
        </w:rPr>
        <w:t> </w:t>
      </w:r>
    </w:p>
    <w:p w14:paraId="1C3F3FD2" w14:textId="77777777" w:rsidR="00000000" w:rsidRDefault="003A1B5D">
      <w:pPr>
        <w:pStyle w:val="a3"/>
        <w:spacing w:before="0" w:beforeAutospacing="0" w:after="0" w:afterAutospacing="0"/>
        <w:rPr>
          <w:sz w:val="20"/>
          <w:szCs w:val="20"/>
        </w:rPr>
      </w:pPr>
      <w:r>
        <w:rPr>
          <w:sz w:val="20"/>
          <w:szCs w:val="20"/>
        </w:rPr>
        <w:t> </w:t>
      </w:r>
    </w:p>
    <w:p w14:paraId="41801C41" w14:textId="77777777" w:rsidR="00000000" w:rsidRDefault="003A1B5D">
      <w:pPr>
        <w:pStyle w:val="a3"/>
        <w:spacing w:before="240" w:beforeAutospacing="0" w:after="0" w:afterAutospacing="0"/>
        <w:jc w:val="center"/>
        <w:rPr>
          <w:sz w:val="20"/>
          <w:szCs w:val="20"/>
        </w:rPr>
      </w:pPr>
      <w:r>
        <w:rPr>
          <w:sz w:val="20"/>
          <w:szCs w:val="20"/>
        </w:rPr>
        <w:t>9</w:t>
      </w:r>
    </w:p>
    <w:p w14:paraId="6AC8AF98" w14:textId="77777777" w:rsidR="00000000" w:rsidRDefault="003A1B5D">
      <w:pPr>
        <w:rPr>
          <w:rFonts w:eastAsia="Times New Roman"/>
        </w:rPr>
      </w:pPr>
      <w:r>
        <w:rPr>
          <w:rFonts w:eastAsia="Times New Roman"/>
        </w:rPr>
        <w:pict w14:anchorId="08A2E45F">
          <v:rect id="_x0000_i1035" style="width:0;height:1.5pt" o:hralign="center" o:hrstd="t" o:hr="t" fillcolor="#a0a0a0" stroked="f"/>
        </w:pict>
      </w:r>
    </w:p>
    <w:p w14:paraId="30054D16" w14:textId="77777777" w:rsidR="00000000" w:rsidRDefault="003A1B5D">
      <w:pPr>
        <w:pStyle w:val="a3"/>
        <w:spacing w:before="0" w:beforeAutospacing="0" w:after="0" w:afterAutospacing="0"/>
        <w:rPr>
          <w:sz w:val="20"/>
          <w:szCs w:val="20"/>
        </w:rPr>
      </w:pPr>
      <w:r>
        <w:rPr>
          <w:sz w:val="20"/>
          <w:szCs w:val="20"/>
        </w:rPr>
        <w:t> </w:t>
      </w:r>
    </w:p>
    <w:p w14:paraId="566B0A00" w14:textId="77777777" w:rsidR="00000000" w:rsidRDefault="003A1B5D">
      <w:pPr>
        <w:pStyle w:val="a3"/>
        <w:spacing w:before="240" w:beforeAutospacing="0" w:after="0" w:afterAutospacing="0"/>
        <w:ind w:left="476"/>
        <w:jc w:val="both"/>
        <w:rPr>
          <w:sz w:val="20"/>
          <w:szCs w:val="20"/>
        </w:rPr>
      </w:pPr>
      <w:r>
        <w:rPr>
          <w:sz w:val="20"/>
          <w:szCs w:val="20"/>
        </w:rPr>
        <w:t> </w:t>
      </w:r>
    </w:p>
    <w:p w14:paraId="636B8700" w14:textId="77777777" w:rsidR="00000000" w:rsidRDefault="003A1B5D">
      <w:pPr>
        <w:jc w:val="both"/>
        <w:divId w:val="845098044"/>
        <w:rPr>
          <w:rFonts w:eastAsia="Times New Roman"/>
        </w:rPr>
      </w:pPr>
      <w:r>
        <w:rPr>
          <w:rFonts w:eastAsia="Times New Roman"/>
          <w:b/>
          <w:bCs/>
          <w:sz w:val="20"/>
          <w:szCs w:val="20"/>
        </w:rPr>
        <w:t>5</w:t>
      </w:r>
      <w:r>
        <w:rPr>
          <w:rFonts w:eastAsia="Times New Roman"/>
          <w:b/>
          <w:bCs/>
          <w:sz w:val="20"/>
          <w:szCs w:val="20"/>
        </w:rPr>
        <w:t>.</w:t>
      </w:r>
    </w:p>
    <w:p w14:paraId="2F270582" w14:textId="77777777" w:rsidR="00000000" w:rsidRDefault="003A1B5D">
      <w:pPr>
        <w:jc w:val="both"/>
        <w:divId w:val="865404743"/>
        <w:rPr>
          <w:rFonts w:eastAsia="Times New Roman"/>
        </w:rPr>
      </w:pPr>
      <w:r>
        <w:rPr>
          <w:rFonts w:eastAsia="Times New Roman"/>
          <w:b/>
          <w:bCs/>
          <w:sz w:val="20"/>
          <w:szCs w:val="20"/>
        </w:rPr>
        <w:t>DEB</w:t>
      </w:r>
      <w:r>
        <w:rPr>
          <w:rFonts w:eastAsia="Times New Roman"/>
          <w:b/>
          <w:bCs/>
          <w:sz w:val="20"/>
          <w:szCs w:val="20"/>
        </w:rPr>
        <w:t>T</w:t>
      </w:r>
    </w:p>
    <w:p w14:paraId="070B2565" w14:textId="77777777" w:rsidR="00000000" w:rsidRDefault="003A1B5D">
      <w:pPr>
        <w:pStyle w:val="a3"/>
        <w:spacing w:before="120" w:beforeAutospacing="0" w:after="0" w:afterAutospacing="0"/>
        <w:ind w:left="476"/>
        <w:jc w:val="both"/>
        <w:divId w:val="1449885078"/>
        <w:rPr>
          <w:sz w:val="20"/>
          <w:szCs w:val="20"/>
        </w:rPr>
      </w:pPr>
      <w:r>
        <w:rPr>
          <w:sz w:val="20"/>
          <w:szCs w:val="20"/>
        </w:rPr>
        <w:t>Debt outstanding as of</w:t>
      </w:r>
      <w:r>
        <w:rPr>
          <w:sz w:val="20"/>
          <w:szCs w:val="20"/>
        </w:rPr>
        <w:t xml:space="preserve"> </w:t>
      </w:r>
      <w:r>
        <w:rPr>
          <w:sz w:val="20"/>
          <w:szCs w:val="20"/>
        </w:rPr>
        <w:t>September 30, 2022 and December 31, 2021 consisted of the following (in thousands)</w:t>
      </w:r>
      <w:r>
        <w:rPr>
          <w:sz w:val="20"/>
          <w:szCs w:val="20"/>
        </w:rPr>
        <w:t>:</w:t>
      </w:r>
      <w:r>
        <w:rPr>
          <w:sz w:val="20"/>
          <w:szCs w:val="20"/>
        </w:rPr>
        <w:t xml:space="preserve"> </w:t>
      </w:r>
    </w:p>
    <w:p w14:paraId="51A64D03" w14:textId="77777777" w:rsidR="00000000" w:rsidRDefault="003A1B5D">
      <w:pPr>
        <w:pStyle w:val="a3"/>
        <w:spacing w:before="0" w:beforeAutospacing="0" w:after="0" w:afterAutospacing="0"/>
        <w:jc w:val="both"/>
        <w:divId w:val="1449885078"/>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4116"/>
        <w:gridCol w:w="110"/>
        <w:gridCol w:w="160"/>
        <w:gridCol w:w="860"/>
        <w:gridCol w:w="127"/>
        <w:gridCol w:w="110"/>
        <w:gridCol w:w="160"/>
        <w:gridCol w:w="860"/>
        <w:gridCol w:w="142"/>
      </w:tblGrid>
      <w:tr w:rsidR="00000000" w14:paraId="58E781C4" w14:textId="77777777">
        <w:trPr>
          <w:divId w:val="1449885078"/>
          <w:tblCellSpacing w:w="15" w:type="dxa"/>
        </w:trPr>
        <w:tc>
          <w:tcPr>
            <w:tcW w:w="3387" w:type="pct"/>
            <w:vAlign w:val="center"/>
            <w:hideMark/>
          </w:tcPr>
          <w:p w14:paraId="73E54434" w14:textId="77777777" w:rsidR="00000000" w:rsidRDefault="003A1B5D">
            <w:pPr>
              <w:rPr>
                <w:sz w:val="20"/>
                <w:szCs w:val="20"/>
              </w:rPr>
            </w:pPr>
          </w:p>
        </w:tc>
        <w:tc>
          <w:tcPr>
            <w:tcW w:w="63" w:type="pct"/>
            <w:vAlign w:val="center"/>
            <w:hideMark/>
          </w:tcPr>
          <w:p w14:paraId="3D76701C" w14:textId="77777777" w:rsidR="00000000" w:rsidRDefault="003A1B5D">
            <w:pPr>
              <w:rPr>
                <w:rFonts w:eastAsia="Times New Roman"/>
                <w:sz w:val="20"/>
                <w:szCs w:val="20"/>
              </w:rPr>
            </w:pPr>
          </w:p>
        </w:tc>
        <w:tc>
          <w:tcPr>
            <w:tcW w:w="50" w:type="pct"/>
            <w:vAlign w:val="center"/>
            <w:hideMark/>
          </w:tcPr>
          <w:p w14:paraId="03B7A756" w14:textId="77777777" w:rsidR="00000000" w:rsidRDefault="003A1B5D">
            <w:pPr>
              <w:rPr>
                <w:rFonts w:eastAsia="Times New Roman"/>
                <w:sz w:val="20"/>
                <w:szCs w:val="20"/>
              </w:rPr>
            </w:pPr>
          </w:p>
        </w:tc>
        <w:tc>
          <w:tcPr>
            <w:tcW w:w="642" w:type="pct"/>
            <w:vAlign w:val="center"/>
            <w:hideMark/>
          </w:tcPr>
          <w:p w14:paraId="379B3475" w14:textId="77777777" w:rsidR="00000000" w:rsidRDefault="003A1B5D">
            <w:pPr>
              <w:rPr>
                <w:rFonts w:eastAsia="Times New Roman"/>
                <w:sz w:val="20"/>
                <w:szCs w:val="20"/>
              </w:rPr>
            </w:pPr>
          </w:p>
        </w:tc>
        <w:tc>
          <w:tcPr>
            <w:tcW w:w="50" w:type="pct"/>
            <w:vAlign w:val="center"/>
            <w:hideMark/>
          </w:tcPr>
          <w:p w14:paraId="58383868" w14:textId="77777777" w:rsidR="00000000" w:rsidRDefault="003A1B5D">
            <w:pPr>
              <w:rPr>
                <w:rFonts w:eastAsia="Times New Roman"/>
                <w:sz w:val="20"/>
                <w:szCs w:val="20"/>
              </w:rPr>
            </w:pPr>
          </w:p>
        </w:tc>
        <w:tc>
          <w:tcPr>
            <w:tcW w:w="63" w:type="pct"/>
            <w:vAlign w:val="center"/>
            <w:hideMark/>
          </w:tcPr>
          <w:p w14:paraId="7FD8C7B1" w14:textId="77777777" w:rsidR="00000000" w:rsidRDefault="003A1B5D">
            <w:pPr>
              <w:rPr>
                <w:rFonts w:eastAsia="Times New Roman"/>
                <w:sz w:val="20"/>
                <w:szCs w:val="20"/>
              </w:rPr>
            </w:pPr>
          </w:p>
        </w:tc>
        <w:tc>
          <w:tcPr>
            <w:tcW w:w="50" w:type="pct"/>
            <w:vAlign w:val="center"/>
            <w:hideMark/>
          </w:tcPr>
          <w:p w14:paraId="3A71D04E" w14:textId="77777777" w:rsidR="00000000" w:rsidRDefault="003A1B5D">
            <w:pPr>
              <w:rPr>
                <w:rFonts w:eastAsia="Times New Roman"/>
                <w:sz w:val="20"/>
                <w:szCs w:val="20"/>
              </w:rPr>
            </w:pPr>
          </w:p>
        </w:tc>
        <w:tc>
          <w:tcPr>
            <w:tcW w:w="642" w:type="pct"/>
            <w:vAlign w:val="center"/>
            <w:hideMark/>
          </w:tcPr>
          <w:p w14:paraId="3B5115AE" w14:textId="77777777" w:rsidR="00000000" w:rsidRDefault="003A1B5D">
            <w:pPr>
              <w:rPr>
                <w:rFonts w:eastAsia="Times New Roman"/>
                <w:sz w:val="20"/>
                <w:szCs w:val="20"/>
              </w:rPr>
            </w:pPr>
          </w:p>
        </w:tc>
        <w:tc>
          <w:tcPr>
            <w:tcW w:w="50" w:type="pct"/>
            <w:vAlign w:val="center"/>
            <w:hideMark/>
          </w:tcPr>
          <w:p w14:paraId="30B989C8" w14:textId="77777777" w:rsidR="00000000" w:rsidRDefault="003A1B5D">
            <w:pPr>
              <w:rPr>
                <w:rFonts w:eastAsia="Times New Roman"/>
                <w:sz w:val="20"/>
                <w:szCs w:val="20"/>
              </w:rPr>
            </w:pPr>
          </w:p>
        </w:tc>
      </w:tr>
      <w:tr w:rsidR="00000000" w14:paraId="3271C1CC" w14:textId="77777777">
        <w:trPr>
          <w:divId w:val="1449885078"/>
          <w:trHeight w:val="160"/>
          <w:tblCellSpacing w:w="15" w:type="dxa"/>
        </w:trPr>
        <w:tc>
          <w:tcPr>
            <w:tcW w:w="0" w:type="auto"/>
            <w:hideMark/>
          </w:tcPr>
          <w:p w14:paraId="446A1A50"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35804E4C"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16488E48" w14:textId="77777777" w:rsidR="00000000" w:rsidRDefault="003A1B5D">
            <w:pPr>
              <w:pStyle w:val="a3"/>
              <w:spacing w:before="0" w:beforeAutospacing="0" w:after="0" w:afterAutospacing="0"/>
              <w:jc w:val="center"/>
              <w:rPr>
                <w:sz w:val="16"/>
                <w:szCs w:val="16"/>
              </w:rPr>
            </w:pPr>
            <w:r>
              <w:rPr>
                <w:b/>
                <w:bCs/>
                <w:sz w:val="16"/>
                <w:szCs w:val="16"/>
              </w:rPr>
              <w:t>September 30</w:t>
            </w:r>
            <w:r>
              <w:rPr>
                <w:b/>
                <w:bCs/>
                <w:sz w:val="16"/>
                <w:szCs w:val="16"/>
              </w:rPr>
              <w:t>,</w:t>
            </w:r>
          </w:p>
        </w:tc>
        <w:tc>
          <w:tcPr>
            <w:tcW w:w="0" w:type="auto"/>
            <w:vAlign w:val="bottom"/>
            <w:hideMark/>
          </w:tcPr>
          <w:p w14:paraId="78871D5F"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727EAEB5"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010156DC" w14:textId="77777777" w:rsidR="00000000" w:rsidRDefault="003A1B5D">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14:paraId="2B6DE833"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43BA505E" w14:textId="77777777">
        <w:trPr>
          <w:divId w:val="1449885078"/>
          <w:trHeight w:val="160"/>
          <w:tblCellSpacing w:w="15" w:type="dxa"/>
        </w:trPr>
        <w:tc>
          <w:tcPr>
            <w:tcW w:w="0" w:type="auto"/>
            <w:hideMark/>
          </w:tcPr>
          <w:p w14:paraId="51248936"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01B0B380"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center"/>
            <w:hideMark/>
          </w:tcPr>
          <w:p w14:paraId="72E2ED3E"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center"/>
            <w:hideMark/>
          </w:tcPr>
          <w:p w14:paraId="06B46920"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5231B5EF"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581D6C56"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7BD20943"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12A41F3D" w14:textId="77777777">
        <w:trPr>
          <w:divId w:val="1449885078"/>
          <w:trHeight w:val="200"/>
          <w:tblCellSpacing w:w="15" w:type="dxa"/>
        </w:trPr>
        <w:tc>
          <w:tcPr>
            <w:tcW w:w="0" w:type="auto"/>
            <w:hideMark/>
          </w:tcPr>
          <w:p w14:paraId="5DA9F7E5" w14:textId="77777777" w:rsidR="00000000" w:rsidRDefault="003A1B5D">
            <w:pPr>
              <w:pStyle w:val="a3"/>
              <w:spacing w:before="0" w:beforeAutospacing="0" w:after="0" w:afterAutospacing="0"/>
              <w:rPr>
                <w:sz w:val="20"/>
                <w:szCs w:val="20"/>
              </w:rPr>
            </w:pPr>
            <w:r>
              <w:rPr>
                <w:sz w:val="20"/>
                <w:szCs w:val="20"/>
              </w:rPr>
              <w:t>Revolving Credit Facility maturing</w:t>
            </w:r>
            <w:r>
              <w:rPr>
                <w:sz w:val="20"/>
                <w:szCs w:val="20"/>
              </w:rPr>
              <w:t xml:space="preserve"> </w:t>
            </w:r>
            <w:r>
              <w:rPr>
                <w:sz w:val="20"/>
                <w:szCs w:val="20"/>
              </w:rPr>
              <w:t>May 202</w:t>
            </w:r>
            <w:r>
              <w:rPr>
                <w:sz w:val="20"/>
                <w:szCs w:val="20"/>
              </w:rPr>
              <w:t>6</w:t>
            </w:r>
            <w:r>
              <w:rPr>
                <w:sz w:val="20"/>
                <w:szCs w:val="20"/>
              </w:rPr>
              <w:t>.</w:t>
            </w:r>
            <w:r>
              <w:rPr>
                <w:sz w:val="20"/>
                <w:szCs w:val="20"/>
              </w:rPr>
              <w:t xml:space="preserve"> </w:t>
            </w:r>
            <w:r>
              <w:rPr>
                <w:sz w:val="20"/>
                <w:szCs w:val="20"/>
              </w:rPr>
              <w:t xml:space="preserve">Interest payable </w:t>
            </w:r>
            <w:r>
              <w:rPr>
                <w:sz w:val="20"/>
                <w:szCs w:val="20"/>
              </w:rPr>
              <w:br/>
            </w:r>
            <w:r>
              <w:rPr>
                <w:sz w:val="20"/>
                <w:szCs w:val="20"/>
              </w:rPr>
              <w:t>periodically at variable interest rates</w:t>
            </w:r>
            <w:r>
              <w:rPr>
                <w:sz w:val="20"/>
                <w:szCs w:val="20"/>
              </w:rPr>
              <w:t>.</w:t>
            </w:r>
          </w:p>
        </w:tc>
        <w:tc>
          <w:tcPr>
            <w:tcW w:w="0" w:type="auto"/>
            <w:vAlign w:val="bottom"/>
            <w:hideMark/>
          </w:tcPr>
          <w:p w14:paraId="5C97EC8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B5AA754"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FD20DA4" w14:textId="77777777" w:rsidR="00000000" w:rsidRDefault="003A1B5D">
            <w:pPr>
              <w:pStyle w:val="a3"/>
              <w:spacing w:before="0" w:beforeAutospacing="0" w:after="0" w:afterAutospacing="0"/>
              <w:jc w:val="right"/>
              <w:rPr>
                <w:sz w:val="20"/>
                <w:szCs w:val="20"/>
              </w:rPr>
            </w:pPr>
            <w:r>
              <w:rPr>
                <w:b/>
                <w:bCs/>
                <w:sz w:val="20"/>
                <w:szCs w:val="20"/>
              </w:rPr>
              <w:t>—</w:t>
            </w:r>
          </w:p>
        </w:tc>
        <w:tc>
          <w:tcPr>
            <w:tcW w:w="0" w:type="auto"/>
            <w:noWrap/>
            <w:vAlign w:val="bottom"/>
            <w:hideMark/>
          </w:tcPr>
          <w:p w14:paraId="68623B6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B8D846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F1D6725"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460AB65B"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24029894" w14:textId="77777777" w:rsidR="00000000" w:rsidRDefault="003A1B5D">
            <w:pPr>
              <w:pStyle w:val="a3"/>
              <w:spacing w:before="0" w:beforeAutospacing="0" w:after="0" w:afterAutospacing="0"/>
              <w:rPr>
                <w:sz w:val="20"/>
                <w:szCs w:val="20"/>
              </w:rPr>
            </w:pPr>
            <w:r>
              <w:rPr>
                <w:sz w:val="20"/>
                <w:szCs w:val="20"/>
              </w:rPr>
              <w:t> </w:t>
            </w:r>
          </w:p>
        </w:tc>
      </w:tr>
      <w:tr w:rsidR="00000000" w14:paraId="54C34FC2" w14:textId="77777777">
        <w:trPr>
          <w:divId w:val="1449885078"/>
          <w:trHeight w:val="200"/>
          <w:tblCellSpacing w:w="15" w:type="dxa"/>
        </w:trPr>
        <w:tc>
          <w:tcPr>
            <w:tcW w:w="0" w:type="auto"/>
            <w:hideMark/>
          </w:tcPr>
          <w:p w14:paraId="3D4F26DA" w14:textId="77777777" w:rsidR="00000000" w:rsidRDefault="003A1B5D">
            <w:pPr>
              <w:pStyle w:val="a3"/>
              <w:spacing w:before="0" w:beforeAutospacing="0" w:after="0" w:afterAutospacing="0"/>
              <w:rPr>
                <w:sz w:val="20"/>
                <w:szCs w:val="20"/>
              </w:rPr>
            </w:pPr>
            <w:r>
              <w:rPr>
                <w:sz w:val="20"/>
                <w:szCs w:val="20"/>
              </w:rPr>
              <w:t>Term Loan A maturing</w:t>
            </w:r>
            <w:r>
              <w:rPr>
                <w:sz w:val="20"/>
                <w:szCs w:val="20"/>
              </w:rPr>
              <w:t xml:space="preserve"> </w:t>
            </w:r>
            <w:r>
              <w:rPr>
                <w:sz w:val="20"/>
                <w:szCs w:val="20"/>
              </w:rPr>
              <w:t>May 202</w:t>
            </w:r>
            <w:r>
              <w:rPr>
                <w:sz w:val="20"/>
                <w:szCs w:val="20"/>
              </w:rPr>
              <w:t>6</w:t>
            </w:r>
            <w:r>
              <w:rPr>
                <w:sz w:val="20"/>
                <w:szCs w:val="20"/>
              </w:rPr>
              <w:t>.</w:t>
            </w:r>
            <w:r>
              <w:rPr>
                <w:sz w:val="20"/>
                <w:szCs w:val="20"/>
              </w:rPr>
              <w:t xml:space="preserve"> </w:t>
            </w:r>
            <w:r>
              <w:rPr>
                <w:sz w:val="20"/>
                <w:szCs w:val="20"/>
              </w:rPr>
              <w:t xml:space="preserve">Interest payable periodically </w:t>
            </w:r>
            <w:r>
              <w:rPr>
                <w:sz w:val="20"/>
                <w:szCs w:val="20"/>
              </w:rPr>
              <w:br/>
              <w:t>at variable interest rate</w:t>
            </w:r>
            <w:r>
              <w:rPr>
                <w:sz w:val="20"/>
                <w:szCs w:val="20"/>
              </w:rPr>
              <w:t>s</w:t>
            </w:r>
            <w:r>
              <w:rPr>
                <w:sz w:val="20"/>
                <w:szCs w:val="20"/>
              </w:rPr>
              <w:t xml:space="preserve">. The rate at September 30, 2022 and </w:t>
            </w:r>
            <w:r>
              <w:rPr>
                <w:sz w:val="20"/>
                <w:szCs w:val="20"/>
              </w:rPr>
              <w:br/>
              <w:t>    December 31, 2021 was</w:t>
            </w:r>
            <w:r>
              <w:rPr>
                <w:sz w:val="20"/>
                <w:szCs w:val="20"/>
              </w:rPr>
              <w:t xml:space="preserve"> </w:t>
            </w:r>
            <w:r>
              <w:rPr>
                <w:sz w:val="20"/>
                <w:szCs w:val="20"/>
              </w:rPr>
              <w:t>6.</w:t>
            </w:r>
            <w:r>
              <w:rPr>
                <w:sz w:val="20"/>
                <w:szCs w:val="20"/>
              </w:rPr>
              <w:t>6</w:t>
            </w:r>
            <w:r>
              <w:rPr>
                <w:sz w:val="20"/>
                <w:szCs w:val="20"/>
              </w:rPr>
              <w:t>% and</w:t>
            </w:r>
            <w:r>
              <w:rPr>
                <w:sz w:val="20"/>
                <w:szCs w:val="20"/>
              </w:rPr>
              <w:t xml:space="preserve"> </w:t>
            </w:r>
            <w:r>
              <w:rPr>
                <w:sz w:val="20"/>
                <w:szCs w:val="20"/>
              </w:rPr>
              <w:t>1.</w:t>
            </w:r>
            <w:r>
              <w:rPr>
                <w:sz w:val="20"/>
                <w:szCs w:val="20"/>
              </w:rPr>
              <w:t>4</w:t>
            </w:r>
            <w:r>
              <w:rPr>
                <w:sz w:val="20"/>
                <w:szCs w:val="20"/>
              </w:rPr>
              <w:t xml:space="preserve">%, respectively. </w:t>
            </w:r>
            <w:r>
              <w:rPr>
                <w:sz w:val="20"/>
                <w:szCs w:val="20"/>
              </w:rPr>
              <w:t>Unamortized</w:t>
            </w:r>
            <w:r>
              <w:rPr>
                <w:sz w:val="20"/>
                <w:szCs w:val="20"/>
              </w:rPr>
              <w:br/>
              <w:t xml:space="preserve">    debt issuance costs amounted to </w:t>
            </w:r>
            <w:r>
              <w:rPr>
                <w:sz w:val="20"/>
                <w:szCs w:val="20"/>
              </w:rPr>
              <w:t>$</w:t>
            </w:r>
            <w:r>
              <w:rPr>
                <w:sz w:val="20"/>
                <w:szCs w:val="20"/>
              </w:rPr>
              <w:t>1.</w:t>
            </w:r>
            <w:r>
              <w:rPr>
                <w:sz w:val="20"/>
                <w:szCs w:val="20"/>
              </w:rPr>
              <w:t>4</w:t>
            </w:r>
            <w:r>
              <w:rPr>
                <w:sz w:val="20"/>
                <w:szCs w:val="20"/>
              </w:rPr>
              <w:t> million at September 30, 2022.</w:t>
            </w:r>
            <w:r>
              <w:rPr>
                <w:sz w:val="20"/>
                <w:szCs w:val="20"/>
              </w:rPr>
              <w:br/>
              <w:t xml:space="preserve">    The Term Loan A was paid-down and the maturity was extended in </w:t>
            </w:r>
            <w:r>
              <w:rPr>
                <w:sz w:val="20"/>
                <w:szCs w:val="20"/>
              </w:rPr>
              <w:br/>
              <w:t xml:space="preserve">    the second quarter of 2022 in connection with an amendment and </w:t>
            </w:r>
            <w:r>
              <w:rPr>
                <w:sz w:val="20"/>
                <w:szCs w:val="20"/>
              </w:rPr>
              <w:br/>
              <w:t>    restatement of the Bank Credit F</w:t>
            </w:r>
            <w:r>
              <w:rPr>
                <w:sz w:val="20"/>
                <w:szCs w:val="20"/>
              </w:rPr>
              <w:t>acility, as further described below</w:t>
            </w:r>
            <w:r>
              <w:rPr>
                <w:sz w:val="20"/>
                <w:szCs w:val="20"/>
              </w:rPr>
              <w:t>.</w:t>
            </w:r>
          </w:p>
        </w:tc>
        <w:tc>
          <w:tcPr>
            <w:tcW w:w="0" w:type="auto"/>
            <w:vAlign w:val="bottom"/>
            <w:hideMark/>
          </w:tcPr>
          <w:p w14:paraId="20923BC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50D3A0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77829D7" w14:textId="77777777" w:rsidR="00000000" w:rsidRDefault="003A1B5D">
            <w:pPr>
              <w:pStyle w:val="a3"/>
              <w:spacing w:before="0" w:beforeAutospacing="0" w:after="0" w:afterAutospacing="0"/>
              <w:jc w:val="right"/>
              <w:rPr>
                <w:sz w:val="20"/>
                <w:szCs w:val="20"/>
              </w:rPr>
            </w:pPr>
            <w:r>
              <w:rPr>
                <w:b/>
                <w:bCs/>
                <w:sz w:val="20"/>
                <w:szCs w:val="20"/>
              </w:rPr>
              <w:t>97,50</w:t>
            </w:r>
            <w:r>
              <w:rPr>
                <w:b/>
                <w:bCs/>
                <w:sz w:val="20"/>
                <w:szCs w:val="20"/>
              </w:rPr>
              <w:t>0</w:t>
            </w:r>
          </w:p>
        </w:tc>
        <w:tc>
          <w:tcPr>
            <w:tcW w:w="0" w:type="auto"/>
            <w:noWrap/>
            <w:vAlign w:val="bottom"/>
            <w:hideMark/>
          </w:tcPr>
          <w:p w14:paraId="27E9C3E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E0DEBA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7166B5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220C43F" w14:textId="77777777" w:rsidR="00000000" w:rsidRDefault="003A1B5D">
            <w:pPr>
              <w:pStyle w:val="a3"/>
              <w:spacing w:before="0" w:beforeAutospacing="0" w:after="0" w:afterAutospacing="0"/>
              <w:jc w:val="right"/>
              <w:rPr>
                <w:sz w:val="20"/>
                <w:szCs w:val="20"/>
              </w:rPr>
            </w:pPr>
            <w:r>
              <w:rPr>
                <w:sz w:val="20"/>
                <w:szCs w:val="20"/>
              </w:rPr>
              <w:t>170,00</w:t>
            </w:r>
            <w:r>
              <w:rPr>
                <w:sz w:val="20"/>
                <w:szCs w:val="20"/>
              </w:rPr>
              <w:t>0</w:t>
            </w:r>
          </w:p>
        </w:tc>
        <w:tc>
          <w:tcPr>
            <w:tcW w:w="0" w:type="auto"/>
            <w:noWrap/>
            <w:vAlign w:val="bottom"/>
            <w:hideMark/>
          </w:tcPr>
          <w:p w14:paraId="3E155DFC" w14:textId="77777777" w:rsidR="00000000" w:rsidRDefault="003A1B5D">
            <w:pPr>
              <w:pStyle w:val="a3"/>
              <w:spacing w:before="0" w:beforeAutospacing="0" w:after="0" w:afterAutospacing="0"/>
              <w:rPr>
                <w:sz w:val="20"/>
                <w:szCs w:val="20"/>
              </w:rPr>
            </w:pPr>
            <w:r>
              <w:rPr>
                <w:sz w:val="20"/>
                <w:szCs w:val="20"/>
              </w:rPr>
              <w:t> </w:t>
            </w:r>
          </w:p>
        </w:tc>
      </w:tr>
      <w:tr w:rsidR="00000000" w14:paraId="5B09E26D" w14:textId="77777777">
        <w:trPr>
          <w:divId w:val="1449885078"/>
          <w:trHeight w:val="200"/>
          <w:tblCellSpacing w:w="15" w:type="dxa"/>
        </w:trPr>
        <w:tc>
          <w:tcPr>
            <w:tcW w:w="0" w:type="auto"/>
            <w:hideMark/>
          </w:tcPr>
          <w:p w14:paraId="63D7B3B2" w14:textId="77777777" w:rsidR="00000000" w:rsidRDefault="003A1B5D">
            <w:pPr>
              <w:pStyle w:val="a3"/>
              <w:spacing w:before="0" w:beforeAutospacing="0" w:after="0" w:afterAutospacing="0"/>
              <w:rPr>
                <w:sz w:val="20"/>
                <w:szCs w:val="20"/>
              </w:rPr>
            </w:pPr>
            <w:r>
              <w:rPr>
                <w:sz w:val="20"/>
                <w:szCs w:val="20"/>
              </w:rPr>
              <w:t>Term Loan B.</w:t>
            </w:r>
            <w:r>
              <w:rPr>
                <w:sz w:val="20"/>
                <w:szCs w:val="20"/>
              </w:rPr>
              <w:t xml:space="preserve"> </w:t>
            </w:r>
            <w:r>
              <w:rPr>
                <w:sz w:val="20"/>
                <w:szCs w:val="20"/>
              </w:rPr>
              <w:t xml:space="preserve">Interest was payable periodically at variable </w:t>
            </w:r>
            <w:r>
              <w:rPr>
                <w:sz w:val="20"/>
                <w:szCs w:val="20"/>
              </w:rPr>
              <w:br/>
              <w:t>interest rates</w:t>
            </w:r>
            <w:r>
              <w:rPr>
                <w:sz w:val="20"/>
                <w:szCs w:val="20"/>
              </w:rPr>
              <w:t>.</w:t>
            </w:r>
            <w:r>
              <w:rPr>
                <w:sz w:val="20"/>
                <w:szCs w:val="20"/>
              </w:rPr>
              <w:t> The rate at December 31, 2021 was</w:t>
            </w:r>
            <w:r>
              <w:rPr>
                <w:sz w:val="20"/>
                <w:szCs w:val="20"/>
              </w:rPr>
              <w:t xml:space="preserve"> </w:t>
            </w:r>
            <w:r>
              <w:rPr>
                <w:sz w:val="20"/>
                <w:szCs w:val="20"/>
              </w:rPr>
              <w:t>5.</w:t>
            </w:r>
            <w:r>
              <w:rPr>
                <w:sz w:val="20"/>
                <w:szCs w:val="20"/>
              </w:rPr>
              <w:t>5</w:t>
            </w:r>
            <w:r>
              <w:rPr>
                <w:sz w:val="20"/>
                <w:szCs w:val="20"/>
              </w:rPr>
              <w:t xml:space="preserve">%. </w:t>
            </w:r>
            <w:r>
              <w:rPr>
                <w:sz w:val="20"/>
                <w:szCs w:val="20"/>
              </w:rPr>
              <w:br/>
              <w:t xml:space="preserve">    Unamortized debt issuance costs amounted to </w:t>
            </w:r>
            <w:r>
              <w:rPr>
                <w:sz w:val="20"/>
                <w:szCs w:val="20"/>
              </w:rPr>
              <w:t>$</w:t>
            </w:r>
            <w:r>
              <w:rPr>
                <w:sz w:val="20"/>
                <w:szCs w:val="20"/>
              </w:rPr>
              <w:t>2.</w:t>
            </w:r>
            <w:r>
              <w:rPr>
                <w:sz w:val="20"/>
                <w:szCs w:val="20"/>
              </w:rPr>
              <w:t>0</w:t>
            </w:r>
            <w:r>
              <w:rPr>
                <w:sz w:val="20"/>
                <w:szCs w:val="20"/>
              </w:rPr>
              <w:t> million</w:t>
            </w:r>
            <w:r>
              <w:rPr>
                <w:sz w:val="20"/>
                <w:szCs w:val="20"/>
              </w:rPr>
              <w:br/>
              <w:t>    at Decemb</w:t>
            </w:r>
            <w:r>
              <w:rPr>
                <w:sz w:val="20"/>
                <w:szCs w:val="20"/>
              </w:rPr>
              <w:t xml:space="preserve">er 31, 2021. The Term Loan B was repaid in the </w:t>
            </w:r>
            <w:r>
              <w:rPr>
                <w:sz w:val="20"/>
                <w:szCs w:val="20"/>
              </w:rPr>
              <w:br/>
              <w:t>    second quarter of 2022, as further described below</w:t>
            </w:r>
            <w:r>
              <w:rPr>
                <w:sz w:val="20"/>
                <w:szCs w:val="20"/>
              </w:rPr>
              <w:t>.</w:t>
            </w:r>
          </w:p>
        </w:tc>
        <w:tc>
          <w:tcPr>
            <w:tcW w:w="0" w:type="auto"/>
            <w:vAlign w:val="bottom"/>
            <w:hideMark/>
          </w:tcPr>
          <w:p w14:paraId="651594E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7FEF2B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AB2D755" w14:textId="77777777" w:rsidR="00000000" w:rsidRDefault="003A1B5D">
            <w:pPr>
              <w:pStyle w:val="a3"/>
              <w:spacing w:before="0" w:beforeAutospacing="0" w:after="0" w:afterAutospacing="0"/>
              <w:jc w:val="right"/>
              <w:rPr>
                <w:sz w:val="20"/>
                <w:szCs w:val="20"/>
              </w:rPr>
            </w:pPr>
            <w:r>
              <w:rPr>
                <w:b/>
                <w:bCs/>
                <w:sz w:val="20"/>
                <w:szCs w:val="20"/>
              </w:rPr>
              <w:t>—</w:t>
            </w:r>
          </w:p>
        </w:tc>
        <w:tc>
          <w:tcPr>
            <w:tcW w:w="0" w:type="auto"/>
            <w:noWrap/>
            <w:vAlign w:val="bottom"/>
            <w:hideMark/>
          </w:tcPr>
          <w:p w14:paraId="19FBCB3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BAF058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474912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6F1F935" w14:textId="77777777" w:rsidR="00000000" w:rsidRDefault="003A1B5D">
            <w:pPr>
              <w:pStyle w:val="a3"/>
              <w:spacing w:before="0" w:beforeAutospacing="0" w:after="0" w:afterAutospacing="0"/>
              <w:jc w:val="right"/>
              <w:rPr>
                <w:sz w:val="20"/>
                <w:szCs w:val="20"/>
              </w:rPr>
            </w:pPr>
            <w:r>
              <w:rPr>
                <w:sz w:val="20"/>
                <w:szCs w:val="20"/>
              </w:rPr>
              <w:t>128,75</w:t>
            </w:r>
            <w:r>
              <w:rPr>
                <w:sz w:val="20"/>
                <w:szCs w:val="20"/>
              </w:rPr>
              <w:t>0</w:t>
            </w:r>
          </w:p>
        </w:tc>
        <w:tc>
          <w:tcPr>
            <w:tcW w:w="0" w:type="auto"/>
            <w:noWrap/>
            <w:vAlign w:val="bottom"/>
            <w:hideMark/>
          </w:tcPr>
          <w:p w14:paraId="3BF2573F" w14:textId="77777777" w:rsidR="00000000" w:rsidRDefault="003A1B5D">
            <w:pPr>
              <w:pStyle w:val="a3"/>
              <w:spacing w:before="0" w:beforeAutospacing="0" w:after="0" w:afterAutospacing="0"/>
              <w:rPr>
                <w:sz w:val="20"/>
                <w:szCs w:val="20"/>
              </w:rPr>
            </w:pPr>
            <w:r>
              <w:rPr>
                <w:sz w:val="20"/>
                <w:szCs w:val="20"/>
              </w:rPr>
              <w:t> </w:t>
            </w:r>
          </w:p>
        </w:tc>
      </w:tr>
      <w:tr w:rsidR="00000000" w14:paraId="385EC5DB" w14:textId="77777777">
        <w:trPr>
          <w:divId w:val="1449885078"/>
          <w:trHeight w:val="200"/>
          <w:tblCellSpacing w:w="15" w:type="dxa"/>
        </w:trPr>
        <w:tc>
          <w:tcPr>
            <w:tcW w:w="0" w:type="auto"/>
            <w:hideMark/>
          </w:tcPr>
          <w:p w14:paraId="254067EF" w14:textId="77777777" w:rsidR="00000000" w:rsidRDefault="003A1B5D">
            <w:pPr>
              <w:pStyle w:val="a3"/>
              <w:spacing w:before="0" w:beforeAutospacing="0" w:after="0" w:afterAutospacing="0"/>
              <w:rPr>
                <w:sz w:val="20"/>
                <w:szCs w:val="20"/>
              </w:rPr>
            </w:pPr>
            <w:r>
              <w:rPr>
                <w:sz w:val="20"/>
                <w:szCs w:val="20"/>
              </w:rPr>
              <w:t>4.62</w:t>
            </w:r>
            <w:r>
              <w:rPr>
                <w:sz w:val="20"/>
                <w:szCs w:val="20"/>
              </w:rPr>
              <w:t>5</w:t>
            </w:r>
            <w:r>
              <w:rPr>
                <w:sz w:val="20"/>
                <w:szCs w:val="20"/>
              </w:rPr>
              <w:t>% Senior Notes maturin</w:t>
            </w:r>
            <w:r>
              <w:rPr>
                <w:sz w:val="20"/>
                <w:szCs w:val="20"/>
              </w:rPr>
              <w:t>g</w:t>
            </w:r>
            <w:r>
              <w:rPr>
                <w:sz w:val="20"/>
                <w:szCs w:val="20"/>
              </w:rPr>
              <w:t xml:space="preserve"> May 202</w:t>
            </w:r>
            <w:r>
              <w:rPr>
                <w:sz w:val="20"/>
                <w:szCs w:val="20"/>
              </w:rPr>
              <w:t>3</w:t>
            </w:r>
            <w:r>
              <w:rPr>
                <w:sz w:val="20"/>
                <w:szCs w:val="20"/>
              </w:rPr>
              <w:t xml:space="preserve">. Unamortized debt </w:t>
            </w:r>
            <w:r>
              <w:rPr>
                <w:sz w:val="20"/>
                <w:szCs w:val="20"/>
              </w:rPr>
              <w:br/>
              <w:t xml:space="preserve">    issuance costs amounted to </w:t>
            </w:r>
            <w:r>
              <w:rPr>
                <w:sz w:val="20"/>
                <w:szCs w:val="20"/>
              </w:rPr>
              <w:t>$</w:t>
            </w:r>
            <w:r>
              <w:rPr>
                <w:sz w:val="20"/>
                <w:szCs w:val="20"/>
              </w:rPr>
              <w:t>0.</w:t>
            </w:r>
            <w:r>
              <w:rPr>
                <w:sz w:val="20"/>
                <w:szCs w:val="20"/>
              </w:rPr>
              <w:t>1</w:t>
            </w:r>
            <w:r>
              <w:rPr>
                <w:sz w:val="20"/>
                <w:szCs w:val="20"/>
              </w:rPr>
              <w:t xml:space="preserve"> million and </w:t>
            </w:r>
            <w:r>
              <w:rPr>
                <w:sz w:val="20"/>
                <w:szCs w:val="20"/>
              </w:rPr>
              <w:t>$</w:t>
            </w:r>
            <w:r>
              <w:rPr>
                <w:sz w:val="20"/>
                <w:szCs w:val="20"/>
              </w:rPr>
              <w:t>0.</w:t>
            </w:r>
            <w:r>
              <w:rPr>
                <w:sz w:val="20"/>
                <w:szCs w:val="20"/>
              </w:rPr>
              <w:t>4</w:t>
            </w:r>
            <w:r>
              <w:rPr>
                <w:sz w:val="20"/>
                <w:szCs w:val="20"/>
              </w:rPr>
              <w:t> </w:t>
            </w:r>
            <w:r>
              <w:rPr>
                <w:sz w:val="20"/>
                <w:szCs w:val="20"/>
              </w:rPr>
              <w:t xml:space="preserve">million at </w:t>
            </w:r>
            <w:r>
              <w:rPr>
                <w:sz w:val="20"/>
                <w:szCs w:val="20"/>
              </w:rPr>
              <w:br/>
              <w:t>    September 30, 2022 and December 31, 2021, respectively</w:t>
            </w:r>
            <w:r>
              <w:rPr>
                <w:sz w:val="20"/>
                <w:szCs w:val="20"/>
              </w:rPr>
              <w:t>.</w:t>
            </w:r>
          </w:p>
        </w:tc>
        <w:tc>
          <w:tcPr>
            <w:tcW w:w="0" w:type="auto"/>
            <w:vAlign w:val="bottom"/>
            <w:hideMark/>
          </w:tcPr>
          <w:p w14:paraId="32E00AB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8083F4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F71AD50" w14:textId="77777777" w:rsidR="00000000" w:rsidRDefault="003A1B5D">
            <w:pPr>
              <w:pStyle w:val="a3"/>
              <w:spacing w:before="0" w:beforeAutospacing="0" w:after="0" w:afterAutospacing="0"/>
              <w:jc w:val="right"/>
              <w:rPr>
                <w:sz w:val="20"/>
                <w:szCs w:val="20"/>
              </w:rPr>
            </w:pPr>
            <w:r>
              <w:rPr>
                <w:b/>
                <w:bCs/>
                <w:sz w:val="20"/>
                <w:szCs w:val="20"/>
              </w:rPr>
              <w:t>166,51</w:t>
            </w:r>
            <w:r>
              <w:rPr>
                <w:b/>
                <w:bCs/>
                <w:sz w:val="20"/>
                <w:szCs w:val="20"/>
              </w:rPr>
              <w:t>9</w:t>
            </w:r>
          </w:p>
        </w:tc>
        <w:tc>
          <w:tcPr>
            <w:tcW w:w="0" w:type="auto"/>
            <w:noWrap/>
            <w:vAlign w:val="bottom"/>
            <w:hideMark/>
          </w:tcPr>
          <w:p w14:paraId="5712BA5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482909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FF2B30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CCBAF4C" w14:textId="77777777" w:rsidR="00000000" w:rsidRDefault="003A1B5D">
            <w:pPr>
              <w:pStyle w:val="a3"/>
              <w:spacing w:before="0" w:beforeAutospacing="0" w:after="0" w:afterAutospacing="0"/>
              <w:jc w:val="right"/>
              <w:rPr>
                <w:sz w:val="20"/>
                <w:szCs w:val="20"/>
              </w:rPr>
            </w:pPr>
            <w:r>
              <w:rPr>
                <w:sz w:val="20"/>
                <w:szCs w:val="20"/>
              </w:rPr>
              <w:t>173,65</w:t>
            </w:r>
            <w:r>
              <w:rPr>
                <w:sz w:val="20"/>
                <w:szCs w:val="20"/>
              </w:rPr>
              <w:t>0</w:t>
            </w:r>
          </w:p>
        </w:tc>
        <w:tc>
          <w:tcPr>
            <w:tcW w:w="0" w:type="auto"/>
            <w:noWrap/>
            <w:vAlign w:val="bottom"/>
            <w:hideMark/>
          </w:tcPr>
          <w:p w14:paraId="6D10CB93" w14:textId="77777777" w:rsidR="00000000" w:rsidRDefault="003A1B5D">
            <w:pPr>
              <w:pStyle w:val="a3"/>
              <w:spacing w:before="0" w:beforeAutospacing="0" w:after="0" w:afterAutospacing="0"/>
              <w:rPr>
                <w:sz w:val="20"/>
                <w:szCs w:val="20"/>
              </w:rPr>
            </w:pPr>
            <w:r>
              <w:rPr>
                <w:sz w:val="20"/>
                <w:szCs w:val="20"/>
              </w:rPr>
              <w:t> </w:t>
            </w:r>
          </w:p>
        </w:tc>
      </w:tr>
      <w:tr w:rsidR="00000000" w14:paraId="41FEF3FB" w14:textId="77777777">
        <w:trPr>
          <w:divId w:val="1449885078"/>
          <w:trHeight w:val="200"/>
          <w:tblCellSpacing w:w="15" w:type="dxa"/>
        </w:trPr>
        <w:tc>
          <w:tcPr>
            <w:tcW w:w="0" w:type="auto"/>
            <w:hideMark/>
          </w:tcPr>
          <w:p w14:paraId="26D93B5A" w14:textId="77777777" w:rsidR="00000000" w:rsidRDefault="003A1B5D">
            <w:pPr>
              <w:pStyle w:val="a3"/>
              <w:spacing w:before="0" w:beforeAutospacing="0" w:after="0" w:afterAutospacing="0"/>
              <w:rPr>
                <w:sz w:val="20"/>
                <w:szCs w:val="20"/>
              </w:rPr>
            </w:pPr>
            <w:r>
              <w:rPr>
                <w:sz w:val="20"/>
                <w:szCs w:val="20"/>
              </w:rPr>
              <w:t>4.7</w:t>
            </w:r>
            <w:r>
              <w:rPr>
                <w:sz w:val="20"/>
                <w:szCs w:val="20"/>
              </w:rPr>
              <w:t>5</w:t>
            </w:r>
            <w:r>
              <w:rPr>
                <w:sz w:val="20"/>
                <w:szCs w:val="20"/>
              </w:rPr>
              <w:t>% Senior Notes maturing</w:t>
            </w:r>
            <w:r>
              <w:rPr>
                <w:sz w:val="20"/>
                <w:szCs w:val="20"/>
              </w:rPr>
              <w:t xml:space="preserve"> </w:t>
            </w:r>
            <w:r>
              <w:rPr>
                <w:sz w:val="20"/>
                <w:szCs w:val="20"/>
              </w:rPr>
              <w:t>October 202</w:t>
            </w:r>
            <w:r>
              <w:rPr>
                <w:sz w:val="20"/>
                <w:szCs w:val="20"/>
              </w:rPr>
              <w:t>7</w:t>
            </w:r>
            <w:r>
              <w:rPr>
                <w:sz w:val="20"/>
                <w:szCs w:val="20"/>
              </w:rPr>
              <w:t>. Unamortized debt</w:t>
            </w:r>
            <w:r>
              <w:rPr>
                <w:sz w:val="20"/>
                <w:szCs w:val="20"/>
              </w:rPr>
              <w:br/>
              <w:t xml:space="preserve">    issuance costs amounted to </w:t>
            </w:r>
            <w:r>
              <w:rPr>
                <w:sz w:val="20"/>
                <w:szCs w:val="20"/>
              </w:rPr>
              <w:t>$</w:t>
            </w:r>
            <w:r>
              <w:rPr>
                <w:sz w:val="20"/>
                <w:szCs w:val="20"/>
              </w:rPr>
              <w:t>2.</w:t>
            </w:r>
            <w:r>
              <w:rPr>
                <w:sz w:val="20"/>
                <w:szCs w:val="20"/>
              </w:rPr>
              <w:t>0</w:t>
            </w:r>
            <w:r>
              <w:rPr>
                <w:sz w:val="20"/>
                <w:szCs w:val="20"/>
              </w:rPr>
              <w:t xml:space="preserve"> million and </w:t>
            </w:r>
            <w:r>
              <w:rPr>
                <w:sz w:val="20"/>
                <w:szCs w:val="20"/>
              </w:rPr>
              <w:t>$</w:t>
            </w:r>
            <w:r>
              <w:rPr>
                <w:sz w:val="20"/>
                <w:szCs w:val="20"/>
              </w:rPr>
              <w:t>2.</w:t>
            </w:r>
            <w:r>
              <w:rPr>
                <w:sz w:val="20"/>
                <w:szCs w:val="20"/>
              </w:rPr>
              <w:t>3</w:t>
            </w:r>
            <w:r>
              <w:rPr>
                <w:sz w:val="20"/>
                <w:szCs w:val="20"/>
              </w:rPr>
              <w:t xml:space="preserve"> million at </w:t>
            </w:r>
            <w:r>
              <w:rPr>
                <w:sz w:val="20"/>
                <w:szCs w:val="20"/>
              </w:rPr>
              <w:br/>
              <w:t>    September 30, 2022 and Dece</w:t>
            </w:r>
            <w:r>
              <w:rPr>
                <w:sz w:val="20"/>
                <w:szCs w:val="20"/>
              </w:rPr>
              <w:t>mber 31, 2021, respectively</w:t>
            </w:r>
            <w:r>
              <w:rPr>
                <w:sz w:val="20"/>
                <w:szCs w:val="20"/>
              </w:rPr>
              <w:t>.</w:t>
            </w:r>
          </w:p>
        </w:tc>
        <w:tc>
          <w:tcPr>
            <w:tcW w:w="0" w:type="auto"/>
            <w:vAlign w:val="bottom"/>
            <w:hideMark/>
          </w:tcPr>
          <w:p w14:paraId="76C6A88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E3C7C7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180B6D4" w14:textId="77777777" w:rsidR="00000000" w:rsidRDefault="003A1B5D">
            <w:pPr>
              <w:pStyle w:val="a3"/>
              <w:spacing w:before="0" w:beforeAutospacing="0" w:after="0" w:afterAutospacing="0"/>
              <w:jc w:val="right"/>
              <w:rPr>
                <w:sz w:val="20"/>
                <w:szCs w:val="20"/>
              </w:rPr>
            </w:pPr>
            <w:r>
              <w:rPr>
                <w:b/>
                <w:bCs/>
                <w:sz w:val="20"/>
                <w:szCs w:val="20"/>
              </w:rPr>
              <w:t>250,00</w:t>
            </w:r>
            <w:r>
              <w:rPr>
                <w:b/>
                <w:bCs/>
                <w:sz w:val="20"/>
                <w:szCs w:val="20"/>
              </w:rPr>
              <w:t>0</w:t>
            </w:r>
          </w:p>
        </w:tc>
        <w:tc>
          <w:tcPr>
            <w:tcW w:w="0" w:type="auto"/>
            <w:noWrap/>
            <w:vAlign w:val="bottom"/>
            <w:hideMark/>
          </w:tcPr>
          <w:p w14:paraId="31F2C0A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8D688A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9449C3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82AFE39" w14:textId="77777777" w:rsidR="00000000" w:rsidRDefault="003A1B5D">
            <w:pPr>
              <w:pStyle w:val="a3"/>
              <w:spacing w:before="0" w:beforeAutospacing="0" w:after="0" w:afterAutospacing="0"/>
              <w:jc w:val="right"/>
              <w:rPr>
                <w:sz w:val="20"/>
                <w:szCs w:val="20"/>
              </w:rPr>
            </w:pPr>
            <w:r>
              <w:rPr>
                <w:sz w:val="20"/>
                <w:szCs w:val="20"/>
              </w:rPr>
              <w:t>250,00</w:t>
            </w:r>
            <w:r>
              <w:rPr>
                <w:sz w:val="20"/>
                <w:szCs w:val="20"/>
              </w:rPr>
              <w:t>0</w:t>
            </w:r>
          </w:p>
        </w:tc>
        <w:tc>
          <w:tcPr>
            <w:tcW w:w="0" w:type="auto"/>
            <w:noWrap/>
            <w:vAlign w:val="bottom"/>
            <w:hideMark/>
          </w:tcPr>
          <w:p w14:paraId="7467824F" w14:textId="77777777" w:rsidR="00000000" w:rsidRDefault="003A1B5D">
            <w:pPr>
              <w:pStyle w:val="a3"/>
              <w:spacing w:before="0" w:beforeAutospacing="0" w:after="0" w:afterAutospacing="0"/>
              <w:rPr>
                <w:sz w:val="20"/>
                <w:szCs w:val="20"/>
              </w:rPr>
            </w:pPr>
            <w:r>
              <w:rPr>
                <w:sz w:val="20"/>
                <w:szCs w:val="20"/>
              </w:rPr>
              <w:t> </w:t>
            </w:r>
          </w:p>
        </w:tc>
      </w:tr>
      <w:tr w:rsidR="00000000" w14:paraId="3DE416B0" w14:textId="77777777">
        <w:trPr>
          <w:divId w:val="1449885078"/>
          <w:trHeight w:val="200"/>
          <w:tblCellSpacing w:w="15" w:type="dxa"/>
        </w:trPr>
        <w:tc>
          <w:tcPr>
            <w:tcW w:w="0" w:type="auto"/>
            <w:hideMark/>
          </w:tcPr>
          <w:p w14:paraId="6CE2B195" w14:textId="77777777" w:rsidR="00000000" w:rsidRDefault="003A1B5D">
            <w:pPr>
              <w:pStyle w:val="a3"/>
              <w:spacing w:before="0" w:beforeAutospacing="0" w:after="0" w:afterAutospacing="0"/>
              <w:rPr>
                <w:sz w:val="20"/>
                <w:szCs w:val="20"/>
              </w:rPr>
            </w:pPr>
            <w:r>
              <w:rPr>
                <w:sz w:val="20"/>
                <w:szCs w:val="20"/>
              </w:rPr>
              <w:t>8.2</w:t>
            </w:r>
            <w:r>
              <w:rPr>
                <w:sz w:val="20"/>
                <w:szCs w:val="20"/>
              </w:rPr>
              <w:t>5</w:t>
            </w:r>
            <w:r>
              <w:rPr>
                <w:sz w:val="20"/>
                <w:szCs w:val="20"/>
              </w:rPr>
              <w:t>% Senior Notes maturing</w:t>
            </w:r>
            <w:r>
              <w:rPr>
                <w:sz w:val="20"/>
                <w:szCs w:val="20"/>
              </w:rPr>
              <w:t xml:space="preserve"> </w:t>
            </w:r>
            <w:r>
              <w:rPr>
                <w:sz w:val="20"/>
                <w:szCs w:val="20"/>
              </w:rPr>
              <w:t>April 202</w:t>
            </w:r>
            <w:r>
              <w:rPr>
                <w:sz w:val="20"/>
                <w:szCs w:val="20"/>
              </w:rPr>
              <w:t>6</w:t>
            </w:r>
            <w:r>
              <w:rPr>
                <w:sz w:val="20"/>
                <w:szCs w:val="20"/>
              </w:rPr>
              <w:t>. Unamortized debt</w:t>
            </w:r>
            <w:r>
              <w:rPr>
                <w:sz w:val="20"/>
                <w:szCs w:val="20"/>
              </w:rPr>
              <w:br/>
              <w:t xml:space="preserve">    issuance costs amounted to </w:t>
            </w:r>
            <w:r>
              <w:rPr>
                <w:sz w:val="20"/>
                <w:szCs w:val="20"/>
              </w:rPr>
              <w:t>$</w:t>
            </w:r>
            <w:r>
              <w:rPr>
                <w:sz w:val="20"/>
                <w:szCs w:val="20"/>
              </w:rPr>
              <w:t>10.</w:t>
            </w:r>
            <w:r>
              <w:rPr>
                <w:sz w:val="20"/>
                <w:szCs w:val="20"/>
              </w:rPr>
              <w:t>0</w:t>
            </w:r>
            <w:r>
              <w:rPr>
                <w:sz w:val="20"/>
                <w:szCs w:val="20"/>
              </w:rPr>
              <w:t xml:space="preserve"> million and </w:t>
            </w:r>
            <w:r>
              <w:rPr>
                <w:sz w:val="20"/>
                <w:szCs w:val="20"/>
              </w:rPr>
              <w:t>$</w:t>
            </w:r>
            <w:r>
              <w:rPr>
                <w:sz w:val="20"/>
                <w:szCs w:val="20"/>
              </w:rPr>
              <w:t>12.</w:t>
            </w:r>
            <w:r>
              <w:rPr>
                <w:sz w:val="20"/>
                <w:szCs w:val="20"/>
              </w:rPr>
              <w:t>9</w:t>
            </w:r>
            <w:r>
              <w:rPr>
                <w:sz w:val="20"/>
                <w:szCs w:val="20"/>
              </w:rPr>
              <w:t> million at</w:t>
            </w:r>
            <w:r>
              <w:rPr>
                <w:sz w:val="20"/>
                <w:szCs w:val="20"/>
              </w:rPr>
              <w:br/>
              <w:t>    September 30, 2022 and December 31, 2021, respectively</w:t>
            </w:r>
            <w:r>
              <w:rPr>
                <w:sz w:val="20"/>
                <w:szCs w:val="20"/>
              </w:rPr>
              <w:t>.</w:t>
            </w:r>
          </w:p>
        </w:tc>
        <w:tc>
          <w:tcPr>
            <w:tcW w:w="0" w:type="auto"/>
            <w:vAlign w:val="bottom"/>
            <w:hideMark/>
          </w:tcPr>
          <w:p w14:paraId="4FC3935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CF783B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E85A00E" w14:textId="77777777" w:rsidR="00000000" w:rsidRDefault="003A1B5D">
            <w:pPr>
              <w:pStyle w:val="a3"/>
              <w:spacing w:before="0" w:beforeAutospacing="0" w:after="0" w:afterAutospacing="0"/>
              <w:jc w:val="right"/>
              <w:rPr>
                <w:sz w:val="20"/>
                <w:szCs w:val="20"/>
              </w:rPr>
            </w:pPr>
            <w:r>
              <w:rPr>
                <w:b/>
                <w:bCs/>
                <w:sz w:val="20"/>
                <w:szCs w:val="20"/>
              </w:rPr>
              <w:t>641,53</w:t>
            </w:r>
            <w:r>
              <w:rPr>
                <w:b/>
                <w:bCs/>
                <w:sz w:val="20"/>
                <w:szCs w:val="20"/>
              </w:rPr>
              <w:t>5</w:t>
            </w:r>
          </w:p>
        </w:tc>
        <w:tc>
          <w:tcPr>
            <w:tcW w:w="0" w:type="auto"/>
            <w:noWrap/>
            <w:vAlign w:val="bottom"/>
            <w:hideMark/>
          </w:tcPr>
          <w:p w14:paraId="475A345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A96E61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A05DD3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E037CAB" w14:textId="77777777" w:rsidR="00000000" w:rsidRDefault="003A1B5D">
            <w:pPr>
              <w:pStyle w:val="a3"/>
              <w:spacing w:before="0" w:beforeAutospacing="0" w:after="0" w:afterAutospacing="0"/>
              <w:jc w:val="right"/>
              <w:rPr>
                <w:sz w:val="20"/>
                <w:szCs w:val="20"/>
              </w:rPr>
            </w:pPr>
            <w:r>
              <w:rPr>
                <w:sz w:val="20"/>
                <w:szCs w:val="20"/>
              </w:rPr>
              <w:t>675,00</w:t>
            </w:r>
            <w:r>
              <w:rPr>
                <w:sz w:val="20"/>
                <w:szCs w:val="20"/>
              </w:rPr>
              <w:t>0</w:t>
            </w:r>
          </w:p>
        </w:tc>
        <w:tc>
          <w:tcPr>
            <w:tcW w:w="0" w:type="auto"/>
            <w:noWrap/>
            <w:vAlign w:val="bottom"/>
            <w:hideMark/>
          </w:tcPr>
          <w:p w14:paraId="36D253C2" w14:textId="77777777" w:rsidR="00000000" w:rsidRDefault="003A1B5D">
            <w:pPr>
              <w:pStyle w:val="a3"/>
              <w:spacing w:before="0" w:beforeAutospacing="0" w:after="0" w:afterAutospacing="0"/>
              <w:rPr>
                <w:sz w:val="20"/>
                <w:szCs w:val="20"/>
              </w:rPr>
            </w:pPr>
            <w:r>
              <w:rPr>
                <w:sz w:val="20"/>
                <w:szCs w:val="20"/>
              </w:rPr>
              <w:t> </w:t>
            </w:r>
          </w:p>
        </w:tc>
      </w:tr>
      <w:tr w:rsidR="00000000" w14:paraId="16C3192F" w14:textId="77777777">
        <w:trPr>
          <w:divId w:val="1449885078"/>
          <w:trHeight w:val="200"/>
          <w:tblCellSpacing w:w="15" w:type="dxa"/>
        </w:trPr>
        <w:tc>
          <w:tcPr>
            <w:tcW w:w="0" w:type="auto"/>
            <w:hideMark/>
          </w:tcPr>
          <w:p w14:paraId="72473646" w14:textId="77777777" w:rsidR="00000000" w:rsidRDefault="003A1B5D">
            <w:pPr>
              <w:pStyle w:val="a3"/>
              <w:spacing w:before="0" w:beforeAutospacing="0" w:after="0" w:afterAutospacing="0"/>
              <w:rPr>
                <w:sz w:val="20"/>
                <w:szCs w:val="20"/>
              </w:rPr>
            </w:pPr>
            <w:r>
              <w:rPr>
                <w:sz w:val="20"/>
                <w:szCs w:val="20"/>
              </w:rPr>
              <w:t>4.4</w:t>
            </w:r>
            <w:r>
              <w:rPr>
                <w:sz w:val="20"/>
                <w:szCs w:val="20"/>
              </w:rPr>
              <w:t>3</w:t>
            </w:r>
            <w:r>
              <w:rPr>
                <w:sz w:val="20"/>
                <w:szCs w:val="20"/>
              </w:rPr>
              <w:t>% Lansing Correctional Facility Non-Recourse Mortgage Note</w:t>
            </w:r>
            <w:r>
              <w:rPr>
                <w:sz w:val="20"/>
                <w:szCs w:val="20"/>
              </w:rPr>
              <w:br/>
              <w:t>    maturing</w:t>
            </w:r>
            <w:r>
              <w:rPr>
                <w:sz w:val="20"/>
                <w:szCs w:val="20"/>
              </w:rPr>
              <w:t xml:space="preserve"> </w:t>
            </w:r>
            <w:r>
              <w:rPr>
                <w:sz w:val="20"/>
                <w:szCs w:val="20"/>
              </w:rPr>
              <w:t>January 204</w:t>
            </w:r>
            <w:r>
              <w:rPr>
                <w:sz w:val="20"/>
                <w:szCs w:val="20"/>
              </w:rPr>
              <w:t>0</w:t>
            </w:r>
            <w:r>
              <w:rPr>
                <w:sz w:val="20"/>
                <w:szCs w:val="20"/>
              </w:rPr>
              <w:t xml:space="preserve">. Unamortized debt issuance costs </w:t>
            </w:r>
            <w:r>
              <w:rPr>
                <w:sz w:val="20"/>
                <w:szCs w:val="20"/>
              </w:rPr>
              <w:br/>
              <w:t xml:space="preserve">    amounted to </w:t>
            </w:r>
            <w:r>
              <w:rPr>
                <w:sz w:val="20"/>
                <w:szCs w:val="20"/>
              </w:rPr>
              <w:t>$</w:t>
            </w:r>
            <w:r>
              <w:rPr>
                <w:sz w:val="20"/>
                <w:szCs w:val="20"/>
              </w:rPr>
              <w:t>2.</w:t>
            </w:r>
            <w:r>
              <w:rPr>
                <w:sz w:val="20"/>
                <w:szCs w:val="20"/>
              </w:rPr>
              <w:t>8</w:t>
            </w:r>
            <w:r>
              <w:rPr>
                <w:sz w:val="20"/>
                <w:szCs w:val="20"/>
              </w:rPr>
              <w:t xml:space="preserve"> million and </w:t>
            </w:r>
            <w:r>
              <w:rPr>
                <w:sz w:val="20"/>
                <w:szCs w:val="20"/>
              </w:rPr>
              <w:t>$</w:t>
            </w:r>
            <w:r>
              <w:rPr>
                <w:sz w:val="20"/>
                <w:szCs w:val="20"/>
              </w:rPr>
              <w:t>3.</w:t>
            </w:r>
            <w:r>
              <w:rPr>
                <w:sz w:val="20"/>
                <w:szCs w:val="20"/>
              </w:rPr>
              <w:t>0</w:t>
            </w:r>
            <w:r>
              <w:rPr>
                <w:sz w:val="20"/>
                <w:szCs w:val="20"/>
              </w:rPr>
              <w:t> million at September 30, 2022 and</w:t>
            </w:r>
            <w:r>
              <w:rPr>
                <w:sz w:val="20"/>
                <w:szCs w:val="20"/>
              </w:rPr>
              <w:br/>
              <w:t>    December 31, 2021, respectively</w:t>
            </w:r>
            <w:r>
              <w:rPr>
                <w:sz w:val="20"/>
                <w:szCs w:val="20"/>
              </w:rPr>
              <w:t>.</w:t>
            </w:r>
          </w:p>
        </w:tc>
        <w:tc>
          <w:tcPr>
            <w:tcW w:w="0" w:type="auto"/>
            <w:vAlign w:val="bottom"/>
            <w:hideMark/>
          </w:tcPr>
          <w:p w14:paraId="30FA218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6E5FD7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039462C" w14:textId="77777777" w:rsidR="00000000" w:rsidRDefault="003A1B5D">
            <w:pPr>
              <w:pStyle w:val="a3"/>
              <w:spacing w:before="0" w:beforeAutospacing="0" w:after="0" w:afterAutospacing="0"/>
              <w:jc w:val="right"/>
              <w:rPr>
                <w:sz w:val="20"/>
                <w:szCs w:val="20"/>
              </w:rPr>
            </w:pPr>
            <w:r>
              <w:rPr>
                <w:b/>
                <w:bCs/>
                <w:sz w:val="20"/>
                <w:szCs w:val="20"/>
              </w:rPr>
              <w:t>151,55</w:t>
            </w:r>
            <w:r>
              <w:rPr>
                <w:b/>
                <w:bCs/>
                <w:sz w:val="20"/>
                <w:szCs w:val="20"/>
              </w:rPr>
              <w:t>5</w:t>
            </w:r>
          </w:p>
        </w:tc>
        <w:tc>
          <w:tcPr>
            <w:tcW w:w="0" w:type="auto"/>
            <w:noWrap/>
            <w:vAlign w:val="bottom"/>
            <w:hideMark/>
          </w:tcPr>
          <w:p w14:paraId="7045E99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51E228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01ED65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A112D15" w14:textId="77777777" w:rsidR="00000000" w:rsidRDefault="003A1B5D">
            <w:pPr>
              <w:pStyle w:val="a3"/>
              <w:spacing w:before="0" w:beforeAutospacing="0" w:after="0" w:afterAutospacing="0"/>
              <w:jc w:val="right"/>
              <w:rPr>
                <w:sz w:val="20"/>
                <w:szCs w:val="20"/>
              </w:rPr>
            </w:pPr>
            <w:r>
              <w:rPr>
                <w:sz w:val="20"/>
                <w:szCs w:val="20"/>
              </w:rPr>
              <w:t>154,53</w:t>
            </w:r>
            <w:r>
              <w:rPr>
                <w:sz w:val="20"/>
                <w:szCs w:val="20"/>
              </w:rPr>
              <w:t>2</w:t>
            </w:r>
          </w:p>
        </w:tc>
        <w:tc>
          <w:tcPr>
            <w:tcW w:w="0" w:type="auto"/>
            <w:noWrap/>
            <w:vAlign w:val="bottom"/>
            <w:hideMark/>
          </w:tcPr>
          <w:p w14:paraId="6FFB4CED" w14:textId="77777777" w:rsidR="00000000" w:rsidRDefault="003A1B5D">
            <w:pPr>
              <w:pStyle w:val="a3"/>
              <w:spacing w:before="0" w:beforeAutospacing="0" w:after="0" w:afterAutospacing="0"/>
              <w:rPr>
                <w:sz w:val="20"/>
                <w:szCs w:val="20"/>
              </w:rPr>
            </w:pPr>
            <w:r>
              <w:rPr>
                <w:sz w:val="20"/>
                <w:szCs w:val="20"/>
              </w:rPr>
              <w:t> </w:t>
            </w:r>
          </w:p>
        </w:tc>
      </w:tr>
      <w:tr w:rsidR="00000000" w14:paraId="121359FE" w14:textId="77777777">
        <w:trPr>
          <w:divId w:val="1449885078"/>
          <w:trHeight w:val="200"/>
          <w:tblCellSpacing w:w="15" w:type="dxa"/>
        </w:trPr>
        <w:tc>
          <w:tcPr>
            <w:tcW w:w="0" w:type="auto"/>
            <w:hideMark/>
          </w:tcPr>
          <w:p w14:paraId="55A9E7EE" w14:textId="77777777" w:rsidR="00000000" w:rsidRDefault="003A1B5D">
            <w:pPr>
              <w:pStyle w:val="a3"/>
              <w:spacing w:before="0" w:beforeAutospacing="0" w:after="0" w:afterAutospacing="0"/>
              <w:rPr>
                <w:sz w:val="20"/>
                <w:szCs w:val="20"/>
              </w:rPr>
            </w:pPr>
            <w:r>
              <w:rPr>
                <w:sz w:val="20"/>
                <w:szCs w:val="20"/>
              </w:rPr>
              <w:t>Total deb</w:t>
            </w:r>
            <w:r>
              <w:rPr>
                <w:sz w:val="20"/>
                <w:szCs w:val="20"/>
              </w:rPr>
              <w:t>t</w:t>
            </w:r>
          </w:p>
        </w:tc>
        <w:tc>
          <w:tcPr>
            <w:tcW w:w="0" w:type="auto"/>
            <w:vAlign w:val="bottom"/>
            <w:hideMark/>
          </w:tcPr>
          <w:p w14:paraId="723376B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B5E41D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A10BC95" w14:textId="77777777" w:rsidR="00000000" w:rsidRDefault="003A1B5D">
            <w:pPr>
              <w:pStyle w:val="a3"/>
              <w:spacing w:before="0" w:beforeAutospacing="0" w:after="0" w:afterAutospacing="0"/>
              <w:jc w:val="right"/>
              <w:rPr>
                <w:sz w:val="20"/>
                <w:szCs w:val="20"/>
              </w:rPr>
            </w:pPr>
            <w:r>
              <w:rPr>
                <w:b/>
                <w:bCs/>
                <w:sz w:val="20"/>
                <w:szCs w:val="20"/>
              </w:rPr>
              <w:t>1,307,10</w:t>
            </w:r>
            <w:r>
              <w:rPr>
                <w:b/>
                <w:bCs/>
                <w:sz w:val="20"/>
                <w:szCs w:val="20"/>
              </w:rPr>
              <w:t>9</w:t>
            </w:r>
          </w:p>
        </w:tc>
        <w:tc>
          <w:tcPr>
            <w:tcW w:w="0" w:type="auto"/>
            <w:noWrap/>
            <w:vAlign w:val="bottom"/>
            <w:hideMark/>
          </w:tcPr>
          <w:p w14:paraId="5F1F740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4B3DAF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2E4BB3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BEF9D6C" w14:textId="77777777" w:rsidR="00000000" w:rsidRDefault="003A1B5D">
            <w:pPr>
              <w:pStyle w:val="a3"/>
              <w:spacing w:before="0" w:beforeAutospacing="0" w:after="0" w:afterAutospacing="0"/>
              <w:jc w:val="right"/>
              <w:rPr>
                <w:sz w:val="20"/>
                <w:szCs w:val="20"/>
              </w:rPr>
            </w:pPr>
            <w:r>
              <w:rPr>
                <w:sz w:val="20"/>
                <w:szCs w:val="20"/>
              </w:rPr>
              <w:t>1,551,93</w:t>
            </w:r>
            <w:r>
              <w:rPr>
                <w:sz w:val="20"/>
                <w:szCs w:val="20"/>
              </w:rPr>
              <w:t>2</w:t>
            </w:r>
          </w:p>
        </w:tc>
        <w:tc>
          <w:tcPr>
            <w:tcW w:w="0" w:type="auto"/>
            <w:noWrap/>
            <w:vAlign w:val="bottom"/>
            <w:hideMark/>
          </w:tcPr>
          <w:p w14:paraId="62773404" w14:textId="77777777" w:rsidR="00000000" w:rsidRDefault="003A1B5D">
            <w:pPr>
              <w:pStyle w:val="a3"/>
              <w:spacing w:before="0" w:beforeAutospacing="0" w:after="0" w:afterAutospacing="0"/>
              <w:rPr>
                <w:sz w:val="20"/>
                <w:szCs w:val="20"/>
              </w:rPr>
            </w:pPr>
            <w:r>
              <w:rPr>
                <w:sz w:val="20"/>
                <w:szCs w:val="20"/>
              </w:rPr>
              <w:t> </w:t>
            </w:r>
          </w:p>
        </w:tc>
      </w:tr>
      <w:tr w:rsidR="00000000" w14:paraId="172ECDF9" w14:textId="77777777">
        <w:trPr>
          <w:divId w:val="1449885078"/>
          <w:trHeight w:val="200"/>
          <w:tblCellSpacing w:w="15" w:type="dxa"/>
        </w:trPr>
        <w:tc>
          <w:tcPr>
            <w:tcW w:w="0" w:type="auto"/>
            <w:hideMark/>
          </w:tcPr>
          <w:p w14:paraId="0B702544" w14:textId="77777777" w:rsidR="00000000" w:rsidRDefault="003A1B5D">
            <w:pPr>
              <w:pStyle w:val="a3"/>
              <w:spacing w:before="0" w:beforeAutospacing="0" w:after="0" w:afterAutospacing="0"/>
              <w:rPr>
                <w:sz w:val="20"/>
                <w:szCs w:val="20"/>
              </w:rPr>
            </w:pPr>
            <w:r>
              <w:rPr>
                <w:sz w:val="20"/>
                <w:szCs w:val="20"/>
              </w:rPr>
              <w:t>Unamortized debt issuance cost</w:t>
            </w:r>
            <w:r>
              <w:rPr>
                <w:sz w:val="20"/>
                <w:szCs w:val="20"/>
              </w:rPr>
              <w:t>s</w:t>
            </w:r>
          </w:p>
        </w:tc>
        <w:tc>
          <w:tcPr>
            <w:tcW w:w="0" w:type="auto"/>
            <w:vAlign w:val="bottom"/>
            <w:hideMark/>
          </w:tcPr>
          <w:p w14:paraId="685259D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A4CCF5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FBC0937"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16,33</w:t>
            </w:r>
            <w:r>
              <w:rPr>
                <w:b/>
                <w:bCs/>
                <w:sz w:val="20"/>
                <w:szCs w:val="20"/>
              </w:rPr>
              <w:t>9</w:t>
            </w:r>
          </w:p>
        </w:tc>
        <w:tc>
          <w:tcPr>
            <w:tcW w:w="0" w:type="auto"/>
            <w:noWrap/>
            <w:vAlign w:val="bottom"/>
            <w:hideMark/>
          </w:tcPr>
          <w:p w14:paraId="5BBA4212"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1385842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42ACCC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8FF4350" w14:textId="77777777" w:rsidR="00000000" w:rsidRDefault="003A1B5D">
            <w:pPr>
              <w:pStyle w:val="a3"/>
              <w:spacing w:before="0" w:beforeAutospacing="0" w:after="0" w:afterAutospacing="0"/>
              <w:jc w:val="right"/>
              <w:rPr>
                <w:sz w:val="20"/>
                <w:szCs w:val="20"/>
              </w:rPr>
            </w:pPr>
            <w:r>
              <w:rPr>
                <w:sz w:val="20"/>
                <w:szCs w:val="20"/>
              </w:rPr>
              <w:t>(</w:t>
            </w:r>
            <w:r>
              <w:rPr>
                <w:sz w:val="20"/>
                <w:szCs w:val="20"/>
              </w:rPr>
              <w:t>20,58</w:t>
            </w:r>
            <w:r>
              <w:rPr>
                <w:sz w:val="20"/>
                <w:szCs w:val="20"/>
              </w:rPr>
              <w:t>8</w:t>
            </w:r>
          </w:p>
        </w:tc>
        <w:tc>
          <w:tcPr>
            <w:tcW w:w="0" w:type="auto"/>
            <w:noWrap/>
            <w:vAlign w:val="bottom"/>
            <w:hideMark/>
          </w:tcPr>
          <w:p w14:paraId="73C63D69" w14:textId="77777777" w:rsidR="00000000" w:rsidRDefault="003A1B5D">
            <w:pPr>
              <w:pStyle w:val="a3"/>
              <w:spacing w:before="0" w:beforeAutospacing="0" w:after="0" w:afterAutospacing="0"/>
              <w:rPr>
                <w:sz w:val="20"/>
                <w:szCs w:val="20"/>
              </w:rPr>
            </w:pPr>
            <w:r>
              <w:rPr>
                <w:sz w:val="20"/>
                <w:szCs w:val="20"/>
              </w:rPr>
              <w:t>)</w:t>
            </w:r>
          </w:p>
        </w:tc>
      </w:tr>
      <w:tr w:rsidR="00000000" w14:paraId="21D183BF" w14:textId="77777777">
        <w:trPr>
          <w:divId w:val="1449885078"/>
          <w:trHeight w:val="200"/>
          <w:tblCellSpacing w:w="15" w:type="dxa"/>
        </w:trPr>
        <w:tc>
          <w:tcPr>
            <w:tcW w:w="0" w:type="auto"/>
            <w:hideMark/>
          </w:tcPr>
          <w:p w14:paraId="79A0816D" w14:textId="77777777" w:rsidR="00000000" w:rsidRDefault="003A1B5D">
            <w:pPr>
              <w:pStyle w:val="a3"/>
              <w:spacing w:before="0" w:beforeAutospacing="0" w:after="0" w:afterAutospacing="0"/>
              <w:rPr>
                <w:sz w:val="20"/>
                <w:szCs w:val="20"/>
              </w:rPr>
            </w:pPr>
            <w:r>
              <w:rPr>
                <w:sz w:val="20"/>
                <w:szCs w:val="20"/>
              </w:rPr>
              <w:t>Unamortized original issue premium (discount</w:t>
            </w:r>
            <w:r>
              <w:rPr>
                <w:sz w:val="20"/>
                <w:szCs w:val="20"/>
              </w:rPr>
              <w:t>)</w:t>
            </w:r>
          </w:p>
        </w:tc>
        <w:tc>
          <w:tcPr>
            <w:tcW w:w="0" w:type="auto"/>
            <w:vAlign w:val="bottom"/>
            <w:hideMark/>
          </w:tcPr>
          <w:p w14:paraId="1D9226B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AE4E91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ACFF02E" w14:textId="77777777" w:rsidR="00000000" w:rsidRDefault="003A1B5D">
            <w:pPr>
              <w:pStyle w:val="a3"/>
              <w:spacing w:before="0" w:beforeAutospacing="0" w:after="0" w:afterAutospacing="0"/>
              <w:jc w:val="right"/>
              <w:rPr>
                <w:sz w:val="20"/>
                <w:szCs w:val="20"/>
              </w:rPr>
            </w:pPr>
            <w:r>
              <w:rPr>
                <w:b/>
                <w:bCs/>
                <w:sz w:val="20"/>
                <w:szCs w:val="20"/>
              </w:rPr>
              <w:t>72</w:t>
            </w:r>
            <w:r>
              <w:rPr>
                <w:b/>
                <w:bCs/>
                <w:sz w:val="20"/>
                <w:szCs w:val="20"/>
              </w:rPr>
              <w:t>4</w:t>
            </w:r>
          </w:p>
        </w:tc>
        <w:tc>
          <w:tcPr>
            <w:tcW w:w="0" w:type="auto"/>
            <w:noWrap/>
            <w:vAlign w:val="bottom"/>
            <w:hideMark/>
          </w:tcPr>
          <w:p w14:paraId="663DC4B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AB1710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44B239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1A13B36" w14:textId="77777777" w:rsidR="00000000" w:rsidRDefault="003A1B5D">
            <w:pPr>
              <w:pStyle w:val="a3"/>
              <w:spacing w:before="0" w:beforeAutospacing="0" w:after="0" w:afterAutospacing="0"/>
              <w:jc w:val="right"/>
              <w:rPr>
                <w:sz w:val="20"/>
                <w:szCs w:val="20"/>
              </w:rPr>
            </w:pPr>
            <w:r>
              <w:rPr>
                <w:sz w:val="20"/>
                <w:szCs w:val="20"/>
              </w:rPr>
              <w:t>(</w:t>
            </w:r>
            <w:r>
              <w:rPr>
                <w:sz w:val="20"/>
                <w:szCs w:val="20"/>
              </w:rPr>
              <w:t>3,92</w:t>
            </w:r>
            <w:r>
              <w:rPr>
                <w:sz w:val="20"/>
                <w:szCs w:val="20"/>
              </w:rPr>
              <w:t>2</w:t>
            </w:r>
          </w:p>
        </w:tc>
        <w:tc>
          <w:tcPr>
            <w:tcW w:w="0" w:type="auto"/>
            <w:noWrap/>
            <w:vAlign w:val="bottom"/>
            <w:hideMark/>
          </w:tcPr>
          <w:p w14:paraId="61695AE9" w14:textId="77777777" w:rsidR="00000000" w:rsidRDefault="003A1B5D">
            <w:pPr>
              <w:pStyle w:val="a3"/>
              <w:spacing w:before="0" w:beforeAutospacing="0" w:after="0" w:afterAutospacing="0"/>
              <w:rPr>
                <w:sz w:val="20"/>
                <w:szCs w:val="20"/>
              </w:rPr>
            </w:pPr>
            <w:r>
              <w:rPr>
                <w:sz w:val="20"/>
                <w:szCs w:val="20"/>
              </w:rPr>
              <w:t>)</w:t>
            </w:r>
          </w:p>
        </w:tc>
      </w:tr>
      <w:tr w:rsidR="00000000" w14:paraId="3D447BA1" w14:textId="77777777">
        <w:trPr>
          <w:divId w:val="1449885078"/>
          <w:trHeight w:val="200"/>
          <w:tblCellSpacing w:w="15" w:type="dxa"/>
        </w:trPr>
        <w:tc>
          <w:tcPr>
            <w:tcW w:w="0" w:type="auto"/>
            <w:hideMark/>
          </w:tcPr>
          <w:p w14:paraId="7DB80DD3" w14:textId="77777777" w:rsidR="00000000" w:rsidRDefault="003A1B5D">
            <w:pPr>
              <w:pStyle w:val="a3"/>
              <w:spacing w:before="0" w:beforeAutospacing="0" w:after="0" w:afterAutospacing="0"/>
              <w:rPr>
                <w:sz w:val="20"/>
                <w:szCs w:val="20"/>
              </w:rPr>
            </w:pPr>
            <w:r>
              <w:rPr>
                <w:sz w:val="20"/>
                <w:szCs w:val="20"/>
              </w:rPr>
              <w:t>Current portion of long-term deb</w:t>
            </w:r>
            <w:r>
              <w:rPr>
                <w:sz w:val="20"/>
                <w:szCs w:val="20"/>
              </w:rPr>
              <w:t>t</w:t>
            </w:r>
          </w:p>
        </w:tc>
        <w:tc>
          <w:tcPr>
            <w:tcW w:w="0" w:type="auto"/>
            <w:vAlign w:val="bottom"/>
            <w:hideMark/>
          </w:tcPr>
          <w:p w14:paraId="18F756E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3CCE00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5BC95FC"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177,55</w:t>
            </w:r>
            <w:r>
              <w:rPr>
                <w:b/>
                <w:bCs/>
                <w:sz w:val="20"/>
                <w:szCs w:val="20"/>
              </w:rPr>
              <w:t>6</w:t>
            </w:r>
          </w:p>
        </w:tc>
        <w:tc>
          <w:tcPr>
            <w:tcW w:w="0" w:type="auto"/>
            <w:noWrap/>
            <w:vAlign w:val="bottom"/>
            <w:hideMark/>
          </w:tcPr>
          <w:p w14:paraId="6ED2CC05"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27E9D61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0C767B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CE25071" w14:textId="77777777" w:rsidR="00000000" w:rsidRDefault="003A1B5D">
            <w:pPr>
              <w:pStyle w:val="a3"/>
              <w:spacing w:before="0" w:beforeAutospacing="0" w:after="0" w:afterAutospacing="0"/>
              <w:jc w:val="right"/>
              <w:rPr>
                <w:sz w:val="20"/>
                <w:szCs w:val="20"/>
              </w:rPr>
            </w:pPr>
            <w:r>
              <w:rPr>
                <w:sz w:val="20"/>
                <w:szCs w:val="20"/>
              </w:rPr>
              <w:t>(</w:t>
            </w:r>
            <w:r>
              <w:rPr>
                <w:sz w:val="20"/>
                <w:szCs w:val="20"/>
              </w:rPr>
              <w:t>35,37</w:t>
            </w:r>
            <w:r>
              <w:rPr>
                <w:sz w:val="20"/>
                <w:szCs w:val="20"/>
              </w:rPr>
              <w:t>6</w:t>
            </w:r>
          </w:p>
        </w:tc>
        <w:tc>
          <w:tcPr>
            <w:tcW w:w="0" w:type="auto"/>
            <w:noWrap/>
            <w:vAlign w:val="bottom"/>
            <w:hideMark/>
          </w:tcPr>
          <w:p w14:paraId="6134AFAD" w14:textId="77777777" w:rsidR="00000000" w:rsidRDefault="003A1B5D">
            <w:pPr>
              <w:pStyle w:val="a3"/>
              <w:spacing w:before="0" w:beforeAutospacing="0" w:after="0" w:afterAutospacing="0"/>
              <w:rPr>
                <w:sz w:val="20"/>
                <w:szCs w:val="20"/>
              </w:rPr>
            </w:pPr>
            <w:r>
              <w:rPr>
                <w:sz w:val="20"/>
                <w:szCs w:val="20"/>
              </w:rPr>
              <w:t>)</w:t>
            </w:r>
          </w:p>
        </w:tc>
      </w:tr>
      <w:tr w:rsidR="00000000" w14:paraId="53CB7B2D" w14:textId="77777777">
        <w:trPr>
          <w:divId w:val="1449885078"/>
          <w:trHeight w:val="200"/>
          <w:tblCellSpacing w:w="15" w:type="dxa"/>
        </w:trPr>
        <w:tc>
          <w:tcPr>
            <w:tcW w:w="0" w:type="auto"/>
            <w:hideMark/>
          </w:tcPr>
          <w:p w14:paraId="0747AC07" w14:textId="77777777" w:rsidR="00000000" w:rsidRDefault="003A1B5D">
            <w:pPr>
              <w:pStyle w:val="a3"/>
              <w:spacing w:before="0" w:beforeAutospacing="0" w:after="0" w:afterAutospacing="0"/>
              <w:rPr>
                <w:sz w:val="20"/>
                <w:szCs w:val="20"/>
              </w:rPr>
            </w:pPr>
            <w:r>
              <w:rPr>
                <w:sz w:val="20"/>
                <w:szCs w:val="20"/>
              </w:rPr>
              <w:t>Long-term debt, ne</w:t>
            </w:r>
            <w:r>
              <w:rPr>
                <w:sz w:val="20"/>
                <w:szCs w:val="20"/>
              </w:rPr>
              <w:t>t</w:t>
            </w:r>
          </w:p>
        </w:tc>
        <w:tc>
          <w:tcPr>
            <w:tcW w:w="0" w:type="auto"/>
            <w:vAlign w:val="bottom"/>
            <w:hideMark/>
          </w:tcPr>
          <w:p w14:paraId="639F488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0AE67E3"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DD4718A" w14:textId="77777777" w:rsidR="00000000" w:rsidRDefault="003A1B5D">
            <w:pPr>
              <w:pStyle w:val="a3"/>
              <w:spacing w:before="0" w:beforeAutospacing="0" w:after="0" w:afterAutospacing="0"/>
              <w:jc w:val="right"/>
              <w:rPr>
                <w:sz w:val="20"/>
                <w:szCs w:val="20"/>
              </w:rPr>
            </w:pPr>
            <w:r>
              <w:rPr>
                <w:b/>
                <w:bCs/>
                <w:sz w:val="20"/>
                <w:szCs w:val="20"/>
              </w:rPr>
              <w:t>1,113,93</w:t>
            </w:r>
            <w:r>
              <w:rPr>
                <w:b/>
                <w:bCs/>
                <w:sz w:val="20"/>
                <w:szCs w:val="20"/>
              </w:rPr>
              <w:t>8</w:t>
            </w:r>
          </w:p>
        </w:tc>
        <w:tc>
          <w:tcPr>
            <w:tcW w:w="0" w:type="auto"/>
            <w:noWrap/>
            <w:vAlign w:val="bottom"/>
            <w:hideMark/>
          </w:tcPr>
          <w:p w14:paraId="0A14A19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486D07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2F8B6E1"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2A8CB86C" w14:textId="77777777" w:rsidR="00000000" w:rsidRDefault="003A1B5D">
            <w:pPr>
              <w:pStyle w:val="a3"/>
              <w:spacing w:before="0" w:beforeAutospacing="0" w:after="0" w:afterAutospacing="0"/>
              <w:jc w:val="right"/>
              <w:rPr>
                <w:sz w:val="20"/>
                <w:szCs w:val="20"/>
              </w:rPr>
            </w:pPr>
            <w:r>
              <w:rPr>
                <w:sz w:val="20"/>
                <w:szCs w:val="20"/>
              </w:rPr>
              <w:t>1,492,04</w:t>
            </w:r>
            <w:r>
              <w:rPr>
                <w:sz w:val="20"/>
                <w:szCs w:val="20"/>
              </w:rPr>
              <w:t>6</w:t>
            </w:r>
          </w:p>
        </w:tc>
        <w:tc>
          <w:tcPr>
            <w:tcW w:w="0" w:type="auto"/>
            <w:noWrap/>
            <w:vAlign w:val="bottom"/>
            <w:hideMark/>
          </w:tcPr>
          <w:p w14:paraId="738BC32D" w14:textId="77777777" w:rsidR="00000000" w:rsidRDefault="003A1B5D">
            <w:pPr>
              <w:pStyle w:val="a3"/>
              <w:spacing w:before="0" w:beforeAutospacing="0" w:after="0" w:afterAutospacing="0"/>
              <w:rPr>
                <w:sz w:val="20"/>
                <w:szCs w:val="20"/>
              </w:rPr>
            </w:pPr>
            <w:r>
              <w:rPr>
                <w:sz w:val="20"/>
                <w:szCs w:val="20"/>
              </w:rPr>
              <w:t> </w:t>
            </w:r>
          </w:p>
        </w:tc>
      </w:tr>
    </w:tbl>
    <w:p w14:paraId="4041417E" w14:textId="77777777" w:rsidR="00000000" w:rsidRDefault="003A1B5D">
      <w:pPr>
        <w:pStyle w:val="a3"/>
        <w:spacing w:before="0" w:beforeAutospacing="0" w:after="0" w:afterAutospacing="0"/>
        <w:jc w:val="both"/>
        <w:divId w:val="1301567839"/>
        <w:rPr>
          <w:sz w:val="20"/>
          <w:szCs w:val="20"/>
        </w:rPr>
      </w:pPr>
      <w:r>
        <w:rPr>
          <w:sz w:val="20"/>
          <w:szCs w:val="20"/>
        </w:rPr>
        <w:t> </w:t>
      </w:r>
    </w:p>
    <w:p w14:paraId="227A57F1" w14:textId="77777777" w:rsidR="00000000" w:rsidRDefault="003A1B5D">
      <w:pPr>
        <w:pStyle w:val="a3"/>
        <w:spacing w:before="240" w:beforeAutospacing="0" w:after="0" w:afterAutospacing="0"/>
        <w:jc w:val="center"/>
        <w:divId w:val="1301567839"/>
        <w:rPr>
          <w:sz w:val="20"/>
          <w:szCs w:val="20"/>
        </w:rPr>
      </w:pPr>
      <w:r>
        <w:rPr>
          <w:sz w:val="20"/>
          <w:szCs w:val="20"/>
        </w:rPr>
        <w:t>1</w:t>
      </w:r>
      <w:r>
        <w:rPr>
          <w:sz w:val="20"/>
          <w:szCs w:val="20"/>
        </w:rPr>
        <w:t>0</w:t>
      </w:r>
    </w:p>
    <w:p w14:paraId="4A8C71DF" w14:textId="77777777" w:rsidR="00000000" w:rsidRDefault="003A1B5D">
      <w:pPr>
        <w:divId w:val="1301567839"/>
        <w:rPr>
          <w:rFonts w:eastAsia="Times New Roman"/>
        </w:rPr>
      </w:pPr>
      <w:r>
        <w:rPr>
          <w:rFonts w:eastAsia="Times New Roman"/>
        </w:rPr>
        <w:pict w14:anchorId="6C1FBB38">
          <v:rect id="_x0000_i1036" style="width:0;height:1.5pt" o:hralign="center" o:hrstd="t" o:hr="t" fillcolor="#a0a0a0" stroked="f"/>
        </w:pict>
      </w:r>
    </w:p>
    <w:p w14:paraId="08F95022" w14:textId="77777777" w:rsidR="00000000" w:rsidRDefault="003A1B5D">
      <w:pPr>
        <w:pStyle w:val="a3"/>
        <w:spacing w:before="0" w:beforeAutospacing="0" w:after="0" w:afterAutospacing="0"/>
        <w:divId w:val="1301567839"/>
        <w:rPr>
          <w:sz w:val="20"/>
          <w:szCs w:val="20"/>
        </w:rPr>
      </w:pPr>
      <w:r>
        <w:rPr>
          <w:sz w:val="20"/>
          <w:szCs w:val="20"/>
        </w:rPr>
        <w:t> </w:t>
      </w:r>
    </w:p>
    <w:p w14:paraId="5F83CCD7" w14:textId="77777777" w:rsidR="00000000" w:rsidRDefault="003A1B5D">
      <w:pPr>
        <w:pStyle w:val="a3"/>
        <w:spacing w:before="0" w:beforeAutospacing="0" w:after="0" w:afterAutospacing="0"/>
        <w:ind w:left="476"/>
        <w:jc w:val="both"/>
        <w:divId w:val="1301567839"/>
        <w:rPr>
          <w:sz w:val="20"/>
          <w:szCs w:val="20"/>
        </w:rPr>
      </w:pPr>
      <w:r>
        <w:rPr>
          <w:i/>
          <w:iCs/>
          <w:sz w:val="20"/>
          <w:szCs w:val="20"/>
        </w:rPr>
        <w:t>Bank Credit Facility</w:t>
      </w:r>
      <w:r>
        <w:rPr>
          <w:i/>
          <w:iCs/>
          <w:sz w:val="20"/>
          <w:szCs w:val="20"/>
        </w:rPr>
        <w:t>.</w:t>
      </w:r>
      <w:r>
        <w:rPr>
          <w:sz w:val="20"/>
          <w:szCs w:val="20"/>
        </w:rPr>
        <w:t xml:space="preserve"> </w:t>
      </w:r>
      <w:r>
        <w:rPr>
          <w:sz w:val="20"/>
          <w:szCs w:val="20"/>
        </w:rPr>
        <w:t xml:space="preserve">On May 12, 2022, CoreCivic entered into a Third Amended and Restated Credit Agreement (referred to herein as the "New Bank Credit Facility") in an aggregate principal amount of </w:t>
      </w:r>
      <w:r>
        <w:rPr>
          <w:sz w:val="20"/>
          <w:szCs w:val="20"/>
        </w:rPr>
        <w:t>$</w:t>
      </w:r>
      <w:r>
        <w:rPr>
          <w:sz w:val="20"/>
          <w:szCs w:val="20"/>
        </w:rPr>
        <w:t>350.</w:t>
      </w:r>
      <w:r>
        <w:rPr>
          <w:sz w:val="20"/>
          <w:szCs w:val="20"/>
        </w:rPr>
        <w:t>0</w:t>
      </w:r>
      <w:r>
        <w:rPr>
          <w:sz w:val="20"/>
          <w:szCs w:val="20"/>
        </w:rPr>
        <w:t xml:space="preserve"> million, consisting of a </w:t>
      </w:r>
      <w:r>
        <w:rPr>
          <w:sz w:val="20"/>
          <w:szCs w:val="20"/>
        </w:rPr>
        <w:t>$</w:t>
      </w:r>
      <w:r>
        <w:rPr>
          <w:sz w:val="20"/>
          <w:szCs w:val="20"/>
        </w:rPr>
        <w:t>100.</w:t>
      </w:r>
      <w:r>
        <w:rPr>
          <w:sz w:val="20"/>
          <w:szCs w:val="20"/>
        </w:rPr>
        <w:t>0</w:t>
      </w:r>
      <w:r>
        <w:rPr>
          <w:sz w:val="20"/>
          <w:szCs w:val="20"/>
        </w:rPr>
        <w:t xml:space="preserve"> million term loan (the "New Term Loan A"</w:t>
      </w:r>
      <w:r>
        <w:rPr>
          <w:sz w:val="20"/>
          <w:szCs w:val="20"/>
        </w:rPr>
        <w:t xml:space="preserve">) and a revolving credit facility with a borrowing capacity of </w:t>
      </w:r>
      <w:r>
        <w:rPr>
          <w:sz w:val="20"/>
          <w:szCs w:val="20"/>
        </w:rPr>
        <w:t>$</w:t>
      </w:r>
      <w:r>
        <w:rPr>
          <w:sz w:val="20"/>
          <w:szCs w:val="20"/>
        </w:rPr>
        <w:t>250.</w:t>
      </w:r>
      <w:r>
        <w:rPr>
          <w:sz w:val="20"/>
          <w:szCs w:val="20"/>
        </w:rPr>
        <w:t>0</w:t>
      </w:r>
      <w:r>
        <w:rPr>
          <w:sz w:val="20"/>
          <w:szCs w:val="20"/>
        </w:rPr>
        <w:t xml:space="preserve"> million (the "New Revolving Credit Facility"). The New Bank Credit Facility replaced the Second Amended and Restated Credit Agreement (the "Previous Bank Credit Facility"), which was in </w:t>
      </w:r>
      <w:r>
        <w:rPr>
          <w:sz w:val="20"/>
          <w:szCs w:val="20"/>
        </w:rPr>
        <w:t xml:space="preserve">an aggregate principal amount of </w:t>
      </w:r>
      <w:r>
        <w:rPr>
          <w:sz w:val="20"/>
          <w:szCs w:val="20"/>
        </w:rPr>
        <w:t>$</w:t>
      </w:r>
      <w:r>
        <w:rPr>
          <w:sz w:val="20"/>
          <w:szCs w:val="20"/>
        </w:rPr>
        <w:t>1.</w:t>
      </w:r>
      <w:r>
        <w:rPr>
          <w:sz w:val="20"/>
          <w:szCs w:val="20"/>
        </w:rPr>
        <w:t>0</w:t>
      </w:r>
      <w:r>
        <w:rPr>
          <w:sz w:val="20"/>
          <w:szCs w:val="20"/>
        </w:rPr>
        <w:t xml:space="preserve"> billion and consisted of a term loan with an original principal balance of </w:t>
      </w:r>
      <w:r>
        <w:rPr>
          <w:sz w:val="20"/>
          <w:szCs w:val="20"/>
        </w:rPr>
        <w:t>$</w:t>
      </w:r>
      <w:r>
        <w:rPr>
          <w:sz w:val="20"/>
          <w:szCs w:val="20"/>
        </w:rPr>
        <w:t>200.</w:t>
      </w:r>
      <w:r>
        <w:rPr>
          <w:sz w:val="20"/>
          <w:szCs w:val="20"/>
        </w:rPr>
        <w:t>0</w:t>
      </w:r>
      <w:r>
        <w:rPr>
          <w:sz w:val="20"/>
          <w:szCs w:val="20"/>
        </w:rPr>
        <w:t xml:space="preserve"> million and a revolving credit facility with a borrowing capacity of </w:t>
      </w:r>
      <w:r>
        <w:rPr>
          <w:sz w:val="20"/>
          <w:szCs w:val="20"/>
        </w:rPr>
        <w:t>$</w:t>
      </w:r>
      <w:r>
        <w:rPr>
          <w:sz w:val="20"/>
          <w:szCs w:val="20"/>
        </w:rPr>
        <w:t>800.</w:t>
      </w:r>
      <w:r>
        <w:rPr>
          <w:sz w:val="20"/>
          <w:szCs w:val="20"/>
        </w:rPr>
        <w:t>0</w:t>
      </w:r>
      <w:r>
        <w:rPr>
          <w:sz w:val="20"/>
          <w:szCs w:val="20"/>
        </w:rPr>
        <w:t xml:space="preserve"> million. The New Bank Credit Facility extends the maturity t</w:t>
      </w:r>
      <w:r>
        <w:rPr>
          <w:sz w:val="20"/>
          <w:szCs w:val="20"/>
        </w:rPr>
        <w:t>o</w:t>
      </w:r>
      <w:r>
        <w:rPr>
          <w:sz w:val="20"/>
          <w:szCs w:val="20"/>
        </w:rPr>
        <w:t xml:space="preserve"> </w:t>
      </w:r>
      <w:r>
        <w:rPr>
          <w:sz w:val="20"/>
          <w:szCs w:val="20"/>
        </w:rPr>
        <w:t>May 202</w:t>
      </w:r>
      <w:r>
        <w:rPr>
          <w:sz w:val="20"/>
          <w:szCs w:val="20"/>
        </w:rPr>
        <w:t>6</w:t>
      </w:r>
      <w:r>
        <w:rPr>
          <w:sz w:val="20"/>
          <w:szCs w:val="20"/>
        </w:rPr>
        <w:t xml:space="preserve"> from the</w:t>
      </w:r>
      <w:r>
        <w:rPr>
          <w:sz w:val="20"/>
          <w:szCs w:val="20"/>
        </w:rPr>
        <w:t xml:space="preserve"> </w:t>
      </w:r>
      <w:r>
        <w:rPr>
          <w:sz w:val="20"/>
          <w:szCs w:val="20"/>
        </w:rPr>
        <w:t>April 202</w:t>
      </w:r>
      <w:r>
        <w:rPr>
          <w:sz w:val="20"/>
          <w:szCs w:val="20"/>
        </w:rPr>
        <w:t>3</w:t>
      </w:r>
      <w:r>
        <w:rPr>
          <w:sz w:val="20"/>
          <w:szCs w:val="20"/>
        </w:rPr>
        <w:t xml:space="preserve"> maturity under the Previous Bank Credit Facility. The New Bank Credit Facility includes an option to increase the availability under the New Revolving Credit Facility and to request term loans from the lenders in an aggregate</w:t>
      </w:r>
      <w:r>
        <w:rPr>
          <w:sz w:val="20"/>
          <w:szCs w:val="20"/>
        </w:rPr>
        <w:t xml:space="preserve"> amount not to exceed the greater of (a) </w:t>
      </w:r>
      <w:r>
        <w:rPr>
          <w:sz w:val="20"/>
          <w:szCs w:val="20"/>
        </w:rPr>
        <w:t>$</w:t>
      </w:r>
      <w:r>
        <w:rPr>
          <w:sz w:val="20"/>
          <w:szCs w:val="20"/>
        </w:rPr>
        <w:t>200.</w:t>
      </w:r>
      <w:r>
        <w:rPr>
          <w:sz w:val="20"/>
          <w:szCs w:val="20"/>
        </w:rPr>
        <w:t>0</w:t>
      </w:r>
      <w:r>
        <w:rPr>
          <w:sz w:val="20"/>
          <w:szCs w:val="20"/>
        </w:rPr>
        <w:t xml:space="preserve"> million and (b)</w:t>
      </w:r>
      <w:r>
        <w:rPr>
          <w:sz w:val="20"/>
          <w:szCs w:val="20"/>
        </w:rPr>
        <w:t xml:space="preserve"> </w:t>
      </w:r>
      <w:r>
        <w:rPr>
          <w:sz w:val="20"/>
          <w:szCs w:val="20"/>
        </w:rPr>
        <w:t>5</w:t>
      </w:r>
      <w:r>
        <w:rPr>
          <w:sz w:val="20"/>
          <w:szCs w:val="20"/>
        </w:rPr>
        <w:t>0</w:t>
      </w:r>
      <w:r>
        <w:rPr>
          <w:sz w:val="20"/>
          <w:szCs w:val="20"/>
        </w:rPr>
        <w:t>% of consolidated EBITDA for the most recently ended four-quarter period, subject to, among other things, the receipt of commitments for the increased amount. At CoreCivic's option, interest</w:t>
      </w:r>
      <w:r>
        <w:rPr>
          <w:sz w:val="20"/>
          <w:szCs w:val="20"/>
        </w:rPr>
        <w:t xml:space="preserve"> on outstanding borrowings under the New Bank Credit Facility is based on either a base rate plus a margin ranging from</w:t>
      </w:r>
      <w:r>
        <w:rPr>
          <w:sz w:val="20"/>
          <w:szCs w:val="20"/>
        </w:rPr>
        <w:t xml:space="preserve"> </w:t>
      </w:r>
      <w:r>
        <w:rPr>
          <w:sz w:val="20"/>
          <w:szCs w:val="20"/>
        </w:rPr>
        <w:t>1.7</w:t>
      </w:r>
      <w:r>
        <w:rPr>
          <w:sz w:val="20"/>
          <w:szCs w:val="20"/>
        </w:rPr>
        <w:t>5</w:t>
      </w:r>
      <w:r>
        <w:rPr>
          <w:sz w:val="20"/>
          <w:szCs w:val="20"/>
        </w:rPr>
        <w:t>% to</w:t>
      </w:r>
      <w:r>
        <w:rPr>
          <w:sz w:val="20"/>
          <w:szCs w:val="20"/>
        </w:rPr>
        <w:t xml:space="preserve"> </w:t>
      </w:r>
      <w:r>
        <w:rPr>
          <w:sz w:val="20"/>
          <w:szCs w:val="20"/>
        </w:rPr>
        <w:t>3.</w:t>
      </w:r>
      <w:r>
        <w:rPr>
          <w:sz w:val="20"/>
          <w:szCs w:val="20"/>
        </w:rPr>
        <w:t>5</w:t>
      </w:r>
      <w:r>
        <w:rPr>
          <w:sz w:val="20"/>
          <w:szCs w:val="20"/>
        </w:rPr>
        <w:t>%, or at the Bloomberg Short-Term Bank Yield Index ("BSBY") rate plus a margin ranging from</w:t>
      </w:r>
      <w:r>
        <w:rPr>
          <w:sz w:val="20"/>
          <w:szCs w:val="20"/>
        </w:rPr>
        <w:t xml:space="preserve"> </w:t>
      </w:r>
      <w:r>
        <w:rPr>
          <w:sz w:val="20"/>
          <w:szCs w:val="20"/>
        </w:rPr>
        <w:t>2.7</w:t>
      </w:r>
      <w:r>
        <w:rPr>
          <w:sz w:val="20"/>
          <w:szCs w:val="20"/>
        </w:rPr>
        <w:t>5</w:t>
      </w:r>
      <w:r>
        <w:rPr>
          <w:sz w:val="20"/>
          <w:szCs w:val="20"/>
        </w:rPr>
        <w:t>% to</w:t>
      </w:r>
      <w:r>
        <w:rPr>
          <w:sz w:val="20"/>
          <w:szCs w:val="20"/>
        </w:rPr>
        <w:t xml:space="preserve"> </w:t>
      </w:r>
      <w:r>
        <w:rPr>
          <w:sz w:val="20"/>
          <w:szCs w:val="20"/>
        </w:rPr>
        <w:t>4.</w:t>
      </w:r>
      <w:r>
        <w:rPr>
          <w:sz w:val="20"/>
          <w:szCs w:val="20"/>
        </w:rPr>
        <w:t>5</w:t>
      </w:r>
      <w:r>
        <w:rPr>
          <w:sz w:val="20"/>
          <w:szCs w:val="20"/>
        </w:rPr>
        <w:t>% based on the Compa</w:t>
      </w:r>
      <w:r>
        <w:rPr>
          <w:sz w:val="20"/>
          <w:szCs w:val="20"/>
        </w:rPr>
        <w:t xml:space="preserve">ny’s then-current total leverage ratio. The New Revolving Credit Facility includes a </w:t>
      </w:r>
      <w:r>
        <w:rPr>
          <w:sz w:val="20"/>
          <w:szCs w:val="20"/>
        </w:rPr>
        <w:t>$</w:t>
      </w:r>
      <w:r>
        <w:rPr>
          <w:sz w:val="20"/>
          <w:szCs w:val="20"/>
        </w:rPr>
        <w:t>25.</w:t>
      </w:r>
      <w:r>
        <w:rPr>
          <w:sz w:val="20"/>
          <w:szCs w:val="20"/>
        </w:rPr>
        <w:t>0</w:t>
      </w:r>
      <w:r>
        <w:rPr>
          <w:sz w:val="20"/>
          <w:szCs w:val="20"/>
        </w:rPr>
        <w:t xml:space="preserve"> million sublimit for swing line loans that enables CoreCivic to borrow at the base rate from the Administrative Agent on same-day notice.</w:t>
      </w:r>
      <w:r>
        <w:rPr>
          <w:sz w:val="20"/>
          <w:szCs w:val="20"/>
        </w:rPr>
        <w:t xml:space="preserve"> </w:t>
      </w:r>
      <w:r>
        <w:rPr>
          <w:sz w:val="20"/>
          <w:szCs w:val="20"/>
        </w:rPr>
        <w:t>CoreCivic recorded a charge</w:t>
      </w:r>
      <w:r>
        <w:rPr>
          <w:sz w:val="20"/>
          <w:szCs w:val="20"/>
        </w:rPr>
        <w:t xml:space="preserve"> of approximately </w:t>
      </w:r>
      <w:r>
        <w:rPr>
          <w:sz w:val="20"/>
          <w:szCs w:val="20"/>
        </w:rPr>
        <w:t>$</w:t>
      </w:r>
      <w:r>
        <w:rPr>
          <w:sz w:val="20"/>
          <w:szCs w:val="20"/>
        </w:rPr>
        <w:t>0.</w:t>
      </w:r>
      <w:r>
        <w:rPr>
          <w:sz w:val="20"/>
          <w:szCs w:val="20"/>
        </w:rPr>
        <w:t>8</w:t>
      </w:r>
      <w:r>
        <w:rPr>
          <w:sz w:val="20"/>
          <w:szCs w:val="20"/>
        </w:rPr>
        <w:t xml:space="preserve"> million during the second quarter of 2022 for the write-off of a portion of the pre-existing loan costs associated with the Previous Bank Credit Facility</w:t>
      </w:r>
      <w:r>
        <w:rPr>
          <w:sz w:val="20"/>
          <w:szCs w:val="20"/>
        </w:rPr>
        <w:t>.</w:t>
      </w:r>
      <w:r>
        <w:rPr>
          <w:sz w:val="20"/>
          <w:szCs w:val="20"/>
        </w:rPr>
        <w:t xml:space="preserve"> </w:t>
      </w:r>
    </w:p>
    <w:p w14:paraId="5E563F8D" w14:textId="77777777" w:rsidR="00000000" w:rsidRDefault="003A1B5D">
      <w:pPr>
        <w:pStyle w:val="a3"/>
        <w:spacing w:before="240" w:beforeAutospacing="0" w:after="0" w:afterAutospacing="0"/>
        <w:ind w:left="476"/>
        <w:jc w:val="both"/>
        <w:divId w:val="1301567839"/>
        <w:rPr>
          <w:sz w:val="20"/>
          <w:szCs w:val="20"/>
        </w:rPr>
      </w:pPr>
      <w:r>
        <w:rPr>
          <w:sz w:val="20"/>
          <w:szCs w:val="20"/>
        </w:rPr>
        <w:t>Based on CoreCivic's total leverage ratio, loans under the New Bank Credit Fa</w:t>
      </w:r>
      <w:r>
        <w:rPr>
          <w:sz w:val="20"/>
          <w:szCs w:val="20"/>
        </w:rPr>
        <w:t>cility currently bear interest at a base rate plus a margin of</w:t>
      </w:r>
      <w:r>
        <w:rPr>
          <w:sz w:val="20"/>
          <w:szCs w:val="20"/>
        </w:rPr>
        <w:t xml:space="preserve"> </w:t>
      </w:r>
      <w:r>
        <w:rPr>
          <w:sz w:val="20"/>
          <w:szCs w:val="20"/>
        </w:rPr>
        <w:t>2.2</w:t>
      </w:r>
      <w:r>
        <w:rPr>
          <w:sz w:val="20"/>
          <w:szCs w:val="20"/>
        </w:rPr>
        <w:t>5</w:t>
      </w:r>
      <w:r>
        <w:rPr>
          <w:sz w:val="20"/>
          <w:szCs w:val="20"/>
        </w:rPr>
        <w:t>% or at the BSBY rate plus a margin of</w:t>
      </w:r>
      <w:r>
        <w:rPr>
          <w:sz w:val="20"/>
          <w:szCs w:val="20"/>
        </w:rPr>
        <w:t xml:space="preserve"> </w:t>
      </w:r>
      <w:r>
        <w:rPr>
          <w:sz w:val="20"/>
          <w:szCs w:val="20"/>
        </w:rPr>
        <w:t>3.2</w:t>
      </w:r>
      <w:r>
        <w:rPr>
          <w:sz w:val="20"/>
          <w:szCs w:val="20"/>
        </w:rPr>
        <w:t>5</w:t>
      </w:r>
      <w:r>
        <w:rPr>
          <w:sz w:val="20"/>
          <w:szCs w:val="20"/>
        </w:rPr>
        <w:t>%, and a commitment fee equal to</w:t>
      </w:r>
      <w:r>
        <w:rPr>
          <w:sz w:val="20"/>
          <w:szCs w:val="20"/>
        </w:rPr>
        <w:t xml:space="preserve"> </w:t>
      </w:r>
      <w:r>
        <w:rPr>
          <w:sz w:val="20"/>
          <w:szCs w:val="20"/>
        </w:rPr>
        <w:t>0.4</w:t>
      </w:r>
      <w:r>
        <w:rPr>
          <w:sz w:val="20"/>
          <w:szCs w:val="20"/>
        </w:rPr>
        <w:t>5</w:t>
      </w:r>
      <w:r>
        <w:rPr>
          <w:sz w:val="20"/>
          <w:szCs w:val="20"/>
        </w:rPr>
        <w:t xml:space="preserve">% of the unfunded balance of the New Revolving Credit Facility. The New Revolving Credit Facility also has a </w:t>
      </w:r>
      <w:r>
        <w:rPr>
          <w:sz w:val="20"/>
          <w:szCs w:val="20"/>
        </w:rPr>
        <w:t>$</w:t>
      </w:r>
      <w:r>
        <w:rPr>
          <w:sz w:val="20"/>
          <w:szCs w:val="20"/>
        </w:rPr>
        <w:t>100.</w:t>
      </w:r>
      <w:r>
        <w:rPr>
          <w:sz w:val="20"/>
          <w:szCs w:val="20"/>
        </w:rPr>
        <w:t>0</w:t>
      </w:r>
      <w:r>
        <w:rPr>
          <w:sz w:val="20"/>
          <w:szCs w:val="20"/>
        </w:rPr>
        <w:t xml:space="preserve"> million sublimit for the issuance of standby letters of credit. As of</w:t>
      </w:r>
      <w:r>
        <w:rPr>
          <w:sz w:val="20"/>
          <w:szCs w:val="20"/>
        </w:rPr>
        <w:t xml:space="preserve"> </w:t>
      </w:r>
      <w:r>
        <w:rPr>
          <w:sz w:val="20"/>
          <w:szCs w:val="20"/>
        </w:rPr>
        <w:t>September 30, 202</w:t>
      </w:r>
      <w:r>
        <w:rPr>
          <w:sz w:val="20"/>
          <w:szCs w:val="20"/>
        </w:rPr>
        <w:t>2</w:t>
      </w:r>
      <w:r>
        <w:rPr>
          <w:sz w:val="20"/>
          <w:szCs w:val="20"/>
        </w:rPr>
        <w:t>, CoreCivic had</w:t>
      </w:r>
      <w:r>
        <w:rPr>
          <w:sz w:val="20"/>
          <w:szCs w:val="20"/>
        </w:rPr>
        <w:t xml:space="preserve"> </w:t>
      </w:r>
      <w:r>
        <w:rPr>
          <w:sz w:val="20"/>
          <w:szCs w:val="20"/>
        </w:rPr>
        <w:t>n</w:t>
      </w:r>
      <w:r>
        <w:rPr>
          <w:sz w:val="20"/>
          <w:szCs w:val="20"/>
        </w:rPr>
        <w:t>o</w:t>
      </w:r>
      <w:r>
        <w:rPr>
          <w:sz w:val="20"/>
          <w:szCs w:val="20"/>
        </w:rPr>
        <w:t xml:space="preserve"> borrowings outstanding under the New Revolving Credit Facility. As of September 30, 2022, CoreCivic had</w:t>
      </w:r>
      <w:r>
        <w:rPr>
          <w:sz w:val="20"/>
          <w:szCs w:val="20"/>
        </w:rPr>
        <w:t xml:space="preserve"> </w:t>
      </w:r>
      <w:r>
        <w:rPr>
          <w:sz w:val="20"/>
          <w:szCs w:val="20"/>
        </w:rPr>
        <w:t>$</w:t>
      </w:r>
      <w:r>
        <w:rPr>
          <w:sz w:val="20"/>
          <w:szCs w:val="20"/>
        </w:rPr>
        <w:t>16.</w:t>
      </w:r>
      <w:r>
        <w:rPr>
          <w:sz w:val="20"/>
          <w:szCs w:val="20"/>
        </w:rPr>
        <w:t>8</w:t>
      </w:r>
      <w:r>
        <w:rPr>
          <w:sz w:val="20"/>
          <w:szCs w:val="20"/>
        </w:rPr>
        <w:t xml:space="preserve"> millio</w:t>
      </w:r>
      <w:r>
        <w:rPr>
          <w:sz w:val="20"/>
          <w:szCs w:val="20"/>
        </w:rPr>
        <w:t>n</w:t>
      </w:r>
      <w:r>
        <w:rPr>
          <w:sz w:val="20"/>
          <w:szCs w:val="20"/>
        </w:rPr>
        <w:t xml:space="preserve"> in letters of credit out</w:t>
      </w:r>
      <w:r>
        <w:rPr>
          <w:sz w:val="20"/>
          <w:szCs w:val="20"/>
        </w:rPr>
        <w:t>standing resulting in</w:t>
      </w:r>
      <w:r>
        <w:rPr>
          <w:sz w:val="20"/>
          <w:szCs w:val="20"/>
        </w:rPr>
        <w:t xml:space="preserve"> </w:t>
      </w:r>
      <w:r>
        <w:rPr>
          <w:sz w:val="20"/>
          <w:szCs w:val="20"/>
        </w:rPr>
        <w:t>$</w:t>
      </w:r>
      <w:r>
        <w:rPr>
          <w:sz w:val="20"/>
          <w:szCs w:val="20"/>
        </w:rPr>
        <w:t>233.</w:t>
      </w:r>
      <w:r>
        <w:rPr>
          <w:sz w:val="20"/>
          <w:szCs w:val="20"/>
        </w:rPr>
        <w:t>2</w:t>
      </w:r>
      <w:r>
        <w:rPr>
          <w:sz w:val="20"/>
          <w:szCs w:val="20"/>
        </w:rPr>
        <w:t xml:space="preserve"> millio</w:t>
      </w:r>
      <w:r>
        <w:rPr>
          <w:sz w:val="20"/>
          <w:szCs w:val="20"/>
        </w:rPr>
        <w:t>n</w:t>
      </w:r>
      <w:r>
        <w:rPr>
          <w:sz w:val="20"/>
          <w:szCs w:val="20"/>
        </w:rPr>
        <w:t xml:space="preserve"> available under the New Revolving Credit Facility. The New Term Loan A requires scheduled quarterly principal payments through December 2025, and is pre-payable without penalty. As of September 30, 2022, the outstanding</w:t>
      </w:r>
      <w:r>
        <w:rPr>
          <w:sz w:val="20"/>
          <w:szCs w:val="20"/>
        </w:rPr>
        <w:t xml:space="preserve"> balance of the New Term Loan A was</w:t>
      </w:r>
      <w:r>
        <w:rPr>
          <w:sz w:val="20"/>
          <w:szCs w:val="20"/>
        </w:rPr>
        <w:t xml:space="preserve"> </w:t>
      </w:r>
      <w:r>
        <w:rPr>
          <w:sz w:val="20"/>
          <w:szCs w:val="20"/>
        </w:rPr>
        <w:t>$</w:t>
      </w:r>
      <w:r>
        <w:rPr>
          <w:sz w:val="20"/>
          <w:szCs w:val="20"/>
        </w:rPr>
        <w:t>97.</w:t>
      </w:r>
      <w:r>
        <w:rPr>
          <w:sz w:val="20"/>
          <w:szCs w:val="20"/>
        </w:rPr>
        <w:t>5</w:t>
      </w:r>
      <w:r>
        <w:rPr>
          <w:sz w:val="20"/>
          <w:szCs w:val="20"/>
        </w:rPr>
        <w:t xml:space="preserve"> millio</w:t>
      </w:r>
      <w:r>
        <w:rPr>
          <w:sz w:val="20"/>
          <w:szCs w:val="20"/>
        </w:rPr>
        <w:t>n</w:t>
      </w:r>
      <w:r>
        <w:rPr>
          <w:sz w:val="20"/>
          <w:szCs w:val="20"/>
        </w:rPr>
        <w:t>.</w:t>
      </w:r>
      <w:r>
        <w:rPr>
          <w:sz w:val="20"/>
          <w:szCs w:val="20"/>
        </w:rPr>
        <w:t xml:space="preserve"> </w:t>
      </w:r>
    </w:p>
    <w:p w14:paraId="2DD0F032" w14:textId="77777777" w:rsidR="00000000" w:rsidRDefault="003A1B5D">
      <w:pPr>
        <w:pStyle w:val="a3"/>
        <w:spacing w:before="240" w:beforeAutospacing="0" w:after="0" w:afterAutospacing="0"/>
        <w:ind w:left="476"/>
        <w:jc w:val="both"/>
        <w:divId w:val="1301567839"/>
        <w:rPr>
          <w:sz w:val="20"/>
          <w:szCs w:val="20"/>
        </w:rPr>
      </w:pPr>
      <w:r>
        <w:rPr>
          <w:sz w:val="20"/>
          <w:szCs w:val="20"/>
        </w:rPr>
        <w:t>The New Bank Credit Facility requires CoreCivic to meet certain financial covenants, including, without limitation, a total leverage ratio of not more than</w:t>
      </w:r>
      <w:r>
        <w:rPr>
          <w:sz w:val="20"/>
          <w:szCs w:val="20"/>
        </w:rPr>
        <w:t xml:space="preserve"> </w:t>
      </w:r>
      <w:r>
        <w:rPr>
          <w:sz w:val="20"/>
          <w:szCs w:val="20"/>
        </w:rPr>
        <w:t>4.5</w:t>
      </w:r>
      <w:r>
        <w:rPr>
          <w:sz w:val="20"/>
          <w:szCs w:val="20"/>
        </w:rPr>
        <w:t>0</w:t>
      </w:r>
      <w:r>
        <w:rPr>
          <w:sz w:val="20"/>
          <w:szCs w:val="20"/>
        </w:rPr>
        <w:t xml:space="preserve"> to 1.00 (from</w:t>
      </w:r>
      <w:r>
        <w:rPr>
          <w:sz w:val="20"/>
          <w:szCs w:val="20"/>
        </w:rPr>
        <w:t xml:space="preserve"> </w:t>
      </w:r>
      <w:r>
        <w:rPr>
          <w:sz w:val="20"/>
          <w:szCs w:val="20"/>
        </w:rPr>
        <w:t>5.5</w:t>
      </w:r>
      <w:r>
        <w:rPr>
          <w:sz w:val="20"/>
          <w:szCs w:val="20"/>
        </w:rPr>
        <w:t>0</w:t>
      </w:r>
      <w:r>
        <w:rPr>
          <w:sz w:val="20"/>
          <w:szCs w:val="20"/>
        </w:rPr>
        <w:t xml:space="preserve"> to 1.00 under the Previo</w:t>
      </w:r>
      <w:r>
        <w:rPr>
          <w:sz w:val="20"/>
          <w:szCs w:val="20"/>
        </w:rPr>
        <w:t xml:space="preserve">us Bank Credit Facility) for which the Company may net unrestricted cash and cash equivalents not exceeding </w:t>
      </w:r>
      <w:r>
        <w:rPr>
          <w:sz w:val="20"/>
          <w:szCs w:val="20"/>
        </w:rPr>
        <w:t>$</w:t>
      </w:r>
      <w:r>
        <w:rPr>
          <w:sz w:val="20"/>
          <w:szCs w:val="20"/>
        </w:rPr>
        <w:t>100.</w:t>
      </w:r>
      <w:r>
        <w:rPr>
          <w:sz w:val="20"/>
          <w:szCs w:val="20"/>
        </w:rPr>
        <w:t>0</w:t>
      </w:r>
      <w:r>
        <w:rPr>
          <w:sz w:val="20"/>
          <w:szCs w:val="20"/>
        </w:rPr>
        <w:t xml:space="preserve"> million when calculating, a secured leverage ratio of not more than</w:t>
      </w:r>
      <w:r>
        <w:rPr>
          <w:sz w:val="20"/>
          <w:szCs w:val="20"/>
        </w:rPr>
        <w:t xml:space="preserve"> </w:t>
      </w:r>
      <w:r>
        <w:rPr>
          <w:sz w:val="20"/>
          <w:szCs w:val="20"/>
        </w:rPr>
        <w:t>2.5</w:t>
      </w:r>
      <w:r>
        <w:rPr>
          <w:sz w:val="20"/>
          <w:szCs w:val="20"/>
        </w:rPr>
        <w:t>0</w:t>
      </w:r>
      <w:r>
        <w:rPr>
          <w:sz w:val="20"/>
          <w:szCs w:val="20"/>
        </w:rPr>
        <w:t xml:space="preserve"> to 1.00 (from</w:t>
      </w:r>
      <w:r>
        <w:rPr>
          <w:sz w:val="20"/>
          <w:szCs w:val="20"/>
        </w:rPr>
        <w:t xml:space="preserve"> </w:t>
      </w:r>
      <w:r>
        <w:rPr>
          <w:sz w:val="20"/>
          <w:szCs w:val="20"/>
        </w:rPr>
        <w:t>3.2</w:t>
      </w:r>
      <w:r>
        <w:rPr>
          <w:sz w:val="20"/>
          <w:szCs w:val="20"/>
        </w:rPr>
        <w:t>5</w:t>
      </w:r>
      <w:r>
        <w:rPr>
          <w:sz w:val="20"/>
          <w:szCs w:val="20"/>
        </w:rPr>
        <w:t xml:space="preserve"> to 1.00 under the Previous Bank Credit Facility) </w:t>
      </w:r>
      <w:r>
        <w:rPr>
          <w:sz w:val="20"/>
          <w:szCs w:val="20"/>
        </w:rPr>
        <w:t xml:space="preserve">for which the Company may net unrestricted cash and cash equivalents not exceeding </w:t>
      </w:r>
      <w:r>
        <w:rPr>
          <w:sz w:val="20"/>
          <w:szCs w:val="20"/>
        </w:rPr>
        <w:t>$</w:t>
      </w:r>
      <w:r>
        <w:rPr>
          <w:sz w:val="20"/>
          <w:szCs w:val="20"/>
        </w:rPr>
        <w:t>100.</w:t>
      </w:r>
      <w:r>
        <w:rPr>
          <w:sz w:val="20"/>
          <w:szCs w:val="20"/>
        </w:rPr>
        <w:t>0</w:t>
      </w:r>
      <w:r>
        <w:rPr>
          <w:sz w:val="20"/>
          <w:szCs w:val="20"/>
        </w:rPr>
        <w:t xml:space="preserve"> million when calculating, and a fixed charge coverage ratio of not less than</w:t>
      </w:r>
      <w:r>
        <w:rPr>
          <w:sz w:val="20"/>
          <w:szCs w:val="20"/>
        </w:rPr>
        <w:t xml:space="preserve"> </w:t>
      </w:r>
      <w:r>
        <w:rPr>
          <w:sz w:val="20"/>
          <w:szCs w:val="20"/>
        </w:rPr>
        <w:t>1.7</w:t>
      </w:r>
      <w:r>
        <w:rPr>
          <w:sz w:val="20"/>
          <w:szCs w:val="20"/>
        </w:rPr>
        <w:t>5</w:t>
      </w:r>
      <w:r>
        <w:rPr>
          <w:sz w:val="20"/>
          <w:szCs w:val="20"/>
        </w:rPr>
        <w:t xml:space="preserve"> to 1.00 (unchanged from the Previous Bank Credit Facility). As of</w:t>
      </w:r>
      <w:r>
        <w:rPr>
          <w:sz w:val="20"/>
          <w:szCs w:val="20"/>
        </w:rPr>
        <w:t xml:space="preserve"> </w:t>
      </w:r>
      <w:r>
        <w:rPr>
          <w:sz w:val="20"/>
          <w:szCs w:val="20"/>
        </w:rPr>
        <w:t>September 30, 202</w:t>
      </w:r>
      <w:r>
        <w:rPr>
          <w:sz w:val="20"/>
          <w:szCs w:val="20"/>
        </w:rPr>
        <w:t>2</w:t>
      </w:r>
      <w:r>
        <w:rPr>
          <w:sz w:val="20"/>
          <w:szCs w:val="20"/>
        </w:rPr>
        <w:t>, CoreCivic was in compliance with all such covenants. The New Bank Credit Facility is secured by a pledge of all of the capital stock (or other ownership interests) of CoreCivic's domestic restricted subsidiaries,</w:t>
      </w:r>
      <w:r>
        <w:rPr>
          <w:sz w:val="20"/>
          <w:szCs w:val="20"/>
        </w:rPr>
        <w:t xml:space="preserve"> </w:t>
      </w:r>
      <w:r>
        <w:rPr>
          <w:sz w:val="20"/>
          <w:szCs w:val="20"/>
        </w:rPr>
        <w:t>6</w:t>
      </w:r>
      <w:r>
        <w:rPr>
          <w:sz w:val="20"/>
          <w:szCs w:val="20"/>
        </w:rPr>
        <w:t>5</w:t>
      </w:r>
      <w:r>
        <w:rPr>
          <w:sz w:val="20"/>
          <w:szCs w:val="20"/>
        </w:rPr>
        <w:t>% of the capital stock (or other owners</w:t>
      </w:r>
      <w:r>
        <w:rPr>
          <w:sz w:val="20"/>
          <w:szCs w:val="20"/>
        </w:rPr>
        <w:t xml:space="preserve">hip interests) of CoreCivic's "first-tier" foreign subsidiaries, all of the accounts receivable of the Company and its domestic restricted subsidiaries, and substantially all of the deposit accounts of the Company and its domestic restricted subsidiaries. </w:t>
      </w:r>
      <w:r>
        <w:rPr>
          <w:sz w:val="20"/>
          <w:szCs w:val="20"/>
        </w:rPr>
        <w:t>In the event that (a) the consolidated total leverage equals or exceeds</w:t>
      </w:r>
      <w:r>
        <w:rPr>
          <w:sz w:val="20"/>
          <w:szCs w:val="20"/>
        </w:rPr>
        <w:t xml:space="preserve"> </w:t>
      </w:r>
      <w:r>
        <w:rPr>
          <w:sz w:val="20"/>
          <w:szCs w:val="20"/>
        </w:rPr>
        <w:t>4.0</w:t>
      </w:r>
      <w:r>
        <w:rPr>
          <w:sz w:val="20"/>
          <w:szCs w:val="20"/>
        </w:rPr>
        <w:t>0</w:t>
      </w:r>
      <w:r>
        <w:rPr>
          <w:sz w:val="20"/>
          <w:szCs w:val="20"/>
        </w:rPr>
        <w:t xml:space="preserve"> to 1.00 or (b) the Company incurs certain debt above a specified threshold, certain intangible assets and unencumbered real estate assets that meet a</w:t>
      </w:r>
      <w:r>
        <w:rPr>
          <w:sz w:val="20"/>
          <w:szCs w:val="20"/>
        </w:rPr>
        <w:t xml:space="preserve"> </w:t>
      </w:r>
      <w:r>
        <w:rPr>
          <w:sz w:val="20"/>
          <w:szCs w:val="20"/>
        </w:rPr>
        <w:t>5</w:t>
      </w:r>
      <w:r>
        <w:rPr>
          <w:sz w:val="20"/>
          <w:szCs w:val="20"/>
        </w:rPr>
        <w:t>0</w:t>
      </w:r>
      <w:r>
        <w:rPr>
          <w:sz w:val="20"/>
          <w:szCs w:val="20"/>
        </w:rPr>
        <w:t>% loan-to-value requirement</w:t>
      </w:r>
      <w:r>
        <w:rPr>
          <w:sz w:val="20"/>
          <w:szCs w:val="20"/>
        </w:rPr>
        <w:t xml:space="preserve"> are required to be added as collateral. In addition, the New Bank Credit Facility contains certain covenants that, among other things, limit the incurrence of additional indebtedness, payment of dividends and other customary restricted payments, permitted</w:t>
      </w:r>
      <w:r>
        <w:rPr>
          <w:sz w:val="20"/>
          <w:szCs w:val="20"/>
        </w:rPr>
        <w:t xml:space="preserve"> investments, transactions with affiliates, asset sales, mergers and consolidations, liquidations, prepayments and modifications of other indebtedness, liens and other encumbrances and other matters customarily restricted in such agreements. The New Bank C</w:t>
      </w:r>
      <w:r>
        <w:rPr>
          <w:sz w:val="20"/>
          <w:szCs w:val="20"/>
        </w:rPr>
        <w:t>redit Facility is subject to certain cross-default provisions with terms of CoreCivic's other unsecured indebtedness, and is subject to acceleration upon the occurrence of a change of control</w:t>
      </w:r>
      <w:r>
        <w:rPr>
          <w:sz w:val="20"/>
          <w:szCs w:val="20"/>
        </w:rPr>
        <w:t>.</w:t>
      </w:r>
      <w:r>
        <w:rPr>
          <w:sz w:val="20"/>
          <w:szCs w:val="20"/>
        </w:rPr>
        <w:t xml:space="preserve"> </w:t>
      </w:r>
    </w:p>
    <w:p w14:paraId="439B7E30" w14:textId="77777777" w:rsidR="00000000" w:rsidRDefault="003A1B5D">
      <w:pPr>
        <w:pStyle w:val="a3"/>
        <w:spacing w:before="240" w:beforeAutospacing="0" w:after="0" w:afterAutospacing="0"/>
        <w:jc w:val="center"/>
        <w:divId w:val="1301567839"/>
        <w:rPr>
          <w:sz w:val="20"/>
          <w:szCs w:val="20"/>
        </w:rPr>
      </w:pPr>
      <w:r>
        <w:rPr>
          <w:sz w:val="20"/>
          <w:szCs w:val="20"/>
        </w:rPr>
        <w:t>1</w:t>
      </w:r>
      <w:r>
        <w:rPr>
          <w:sz w:val="20"/>
          <w:szCs w:val="20"/>
        </w:rPr>
        <w:t>1</w:t>
      </w:r>
    </w:p>
    <w:p w14:paraId="3F44D0FA" w14:textId="77777777" w:rsidR="00000000" w:rsidRDefault="003A1B5D">
      <w:pPr>
        <w:divId w:val="1301567839"/>
        <w:rPr>
          <w:rFonts w:eastAsia="Times New Roman"/>
        </w:rPr>
      </w:pPr>
      <w:r>
        <w:rPr>
          <w:rFonts w:eastAsia="Times New Roman"/>
        </w:rPr>
        <w:pict w14:anchorId="185E41B7">
          <v:rect id="_x0000_i1037" style="width:0;height:1.5pt" o:hralign="center" o:hrstd="t" o:hr="t" fillcolor="#a0a0a0" stroked="f"/>
        </w:pict>
      </w:r>
    </w:p>
    <w:p w14:paraId="4E11E2FB" w14:textId="77777777" w:rsidR="00000000" w:rsidRDefault="003A1B5D">
      <w:pPr>
        <w:pStyle w:val="a3"/>
        <w:spacing w:before="0" w:beforeAutospacing="0" w:after="0" w:afterAutospacing="0"/>
        <w:divId w:val="1301567839"/>
        <w:rPr>
          <w:sz w:val="20"/>
          <w:szCs w:val="20"/>
        </w:rPr>
      </w:pPr>
      <w:r>
        <w:rPr>
          <w:sz w:val="20"/>
          <w:szCs w:val="20"/>
        </w:rPr>
        <w:t> </w:t>
      </w:r>
    </w:p>
    <w:p w14:paraId="1F3DA10F" w14:textId="77777777" w:rsidR="00000000" w:rsidRDefault="003A1B5D">
      <w:pPr>
        <w:pStyle w:val="a3"/>
        <w:spacing w:before="240" w:beforeAutospacing="0" w:after="0" w:afterAutospacing="0"/>
        <w:ind w:left="476"/>
        <w:jc w:val="both"/>
        <w:divId w:val="1301567839"/>
        <w:rPr>
          <w:sz w:val="20"/>
          <w:szCs w:val="20"/>
        </w:rPr>
      </w:pPr>
      <w:r>
        <w:rPr>
          <w:i/>
          <w:iCs/>
          <w:sz w:val="20"/>
          <w:szCs w:val="20"/>
        </w:rPr>
        <w:t xml:space="preserve">Senior Secured Term </w:t>
      </w:r>
      <w:r>
        <w:rPr>
          <w:i/>
          <w:iCs/>
          <w:sz w:val="20"/>
          <w:szCs w:val="20"/>
        </w:rPr>
        <w:t>Loan B.</w:t>
      </w:r>
      <w:r>
        <w:rPr>
          <w:i/>
          <w:iCs/>
          <w:sz w:val="20"/>
          <w:szCs w:val="20"/>
        </w:rPr>
        <w:t xml:space="preserve"> </w:t>
      </w:r>
      <w:r>
        <w:rPr>
          <w:sz w:val="20"/>
          <w:szCs w:val="20"/>
        </w:rPr>
        <w:t xml:space="preserve">On December 18, 2019, CoreCivic entered into a </w:t>
      </w:r>
      <w:r>
        <w:rPr>
          <w:sz w:val="20"/>
          <w:szCs w:val="20"/>
        </w:rPr>
        <w:t>$</w:t>
      </w:r>
      <w:r>
        <w:rPr>
          <w:sz w:val="20"/>
          <w:szCs w:val="20"/>
        </w:rPr>
        <w:t>250.</w:t>
      </w:r>
      <w:r>
        <w:rPr>
          <w:sz w:val="20"/>
          <w:szCs w:val="20"/>
        </w:rPr>
        <w:t>0</w:t>
      </w:r>
      <w:r>
        <w:rPr>
          <w:sz w:val="20"/>
          <w:szCs w:val="20"/>
        </w:rPr>
        <w:t xml:space="preserve"> million Senior Secured Term Loan B (the "Term Loan B" and, together with the New Bank Credit Facility, the "Credit Agreements"), which required quarterly scheduled principal payments until the s</w:t>
      </w:r>
      <w:r>
        <w:rPr>
          <w:sz w:val="20"/>
          <w:szCs w:val="20"/>
        </w:rPr>
        <w:t>cheduled maturity on</w:t>
      </w:r>
      <w:r>
        <w:rPr>
          <w:sz w:val="20"/>
          <w:szCs w:val="20"/>
        </w:rPr>
        <w:t xml:space="preserve"> </w:t>
      </w:r>
      <w:r>
        <w:rPr>
          <w:sz w:val="20"/>
          <w:szCs w:val="20"/>
        </w:rPr>
        <w:t>December 18, 202</w:t>
      </w:r>
      <w:r>
        <w:rPr>
          <w:sz w:val="20"/>
          <w:szCs w:val="20"/>
        </w:rPr>
        <w:t>4</w:t>
      </w:r>
      <w:r>
        <w:rPr>
          <w:sz w:val="20"/>
          <w:szCs w:val="20"/>
        </w:rPr>
        <w:t xml:space="preserve">. During October 2021 and in accordance with the terms of the Term Loan B, CoreCivic repaid </w:t>
      </w:r>
      <w:r>
        <w:rPr>
          <w:sz w:val="20"/>
          <w:szCs w:val="20"/>
        </w:rPr>
        <w:t>$</w:t>
      </w:r>
      <w:r>
        <w:rPr>
          <w:sz w:val="20"/>
          <w:szCs w:val="20"/>
        </w:rPr>
        <w:t>90.</w:t>
      </w:r>
      <w:r>
        <w:rPr>
          <w:sz w:val="20"/>
          <w:szCs w:val="20"/>
        </w:rPr>
        <w:t>0</w:t>
      </w:r>
      <w:r>
        <w:rPr>
          <w:sz w:val="20"/>
          <w:szCs w:val="20"/>
        </w:rPr>
        <w:t xml:space="preserve"> million of the then-outstanding balance of the Term Loan B using cash on hand. As a result, the Company recorded a charg</w:t>
      </w:r>
      <w:r>
        <w:rPr>
          <w:sz w:val="20"/>
          <w:szCs w:val="20"/>
        </w:rPr>
        <w:t xml:space="preserve">e in the fourth quarter of 2021 of </w:t>
      </w:r>
      <w:r>
        <w:rPr>
          <w:sz w:val="20"/>
          <w:szCs w:val="20"/>
        </w:rPr>
        <w:t>$</w:t>
      </w:r>
      <w:r>
        <w:rPr>
          <w:sz w:val="20"/>
          <w:szCs w:val="20"/>
        </w:rPr>
        <w:t>4.</w:t>
      </w:r>
      <w:r>
        <w:rPr>
          <w:sz w:val="20"/>
          <w:szCs w:val="20"/>
        </w:rPr>
        <w:t>1</w:t>
      </w:r>
      <w:r>
        <w:rPr>
          <w:sz w:val="20"/>
          <w:szCs w:val="20"/>
        </w:rPr>
        <w:t xml:space="preserve"> million for the pro rata write-off of unamortized debt issuance costs and the original issue discount. On May 19, 2022, CoreCivic voluntarily repaid in full the outstanding principal balance under the Term Loan B amo</w:t>
      </w:r>
      <w:r>
        <w:rPr>
          <w:sz w:val="20"/>
          <w:szCs w:val="20"/>
        </w:rPr>
        <w:t xml:space="preserve">unting to </w:t>
      </w:r>
      <w:r>
        <w:rPr>
          <w:sz w:val="20"/>
          <w:szCs w:val="20"/>
        </w:rPr>
        <w:t>$</w:t>
      </w:r>
      <w:r>
        <w:rPr>
          <w:sz w:val="20"/>
          <w:szCs w:val="20"/>
        </w:rPr>
        <w:t>124.</w:t>
      </w:r>
      <w:r>
        <w:rPr>
          <w:sz w:val="20"/>
          <w:szCs w:val="20"/>
        </w:rPr>
        <w:t>1</w:t>
      </w:r>
      <w:r>
        <w:rPr>
          <w:sz w:val="20"/>
          <w:szCs w:val="20"/>
        </w:rPr>
        <w:t xml:space="preserve"> million, and satisfied all of the Company's outstanding obligations under the Term Loan B credit agreement. The Company did not incur any prepayment penalties in connection with the repayment of the Term Loan B. The prepayment was made in </w:t>
      </w:r>
      <w:r>
        <w:rPr>
          <w:sz w:val="20"/>
          <w:szCs w:val="20"/>
        </w:rPr>
        <w:t>full with cash on hand. The Term Loan B bore interest at the London Interbank Offered Rate ("LIBOR") plus</w:t>
      </w:r>
      <w:r>
        <w:rPr>
          <w:sz w:val="20"/>
          <w:szCs w:val="20"/>
        </w:rPr>
        <w:t xml:space="preserve"> </w:t>
      </w:r>
      <w:r>
        <w:rPr>
          <w:sz w:val="20"/>
          <w:szCs w:val="20"/>
        </w:rPr>
        <w:t>4.5</w:t>
      </w:r>
      <w:r>
        <w:rPr>
          <w:sz w:val="20"/>
          <w:szCs w:val="20"/>
        </w:rPr>
        <w:t>0</w:t>
      </w:r>
      <w:r>
        <w:rPr>
          <w:sz w:val="20"/>
          <w:szCs w:val="20"/>
        </w:rPr>
        <w:t>%, with a</w:t>
      </w:r>
      <w:r>
        <w:rPr>
          <w:sz w:val="20"/>
          <w:szCs w:val="20"/>
        </w:rPr>
        <w:t xml:space="preserve"> </w:t>
      </w:r>
      <w:r>
        <w:rPr>
          <w:sz w:val="20"/>
          <w:szCs w:val="20"/>
        </w:rPr>
        <w:t>1.0</w:t>
      </w:r>
      <w:r>
        <w:rPr>
          <w:sz w:val="20"/>
          <w:szCs w:val="20"/>
        </w:rPr>
        <w:t>0</w:t>
      </w:r>
      <w:r>
        <w:rPr>
          <w:sz w:val="20"/>
          <w:szCs w:val="20"/>
        </w:rPr>
        <w:t>% LIBOR floor (or, at CoreCivic's option, a base rate plus</w:t>
      </w:r>
      <w:r>
        <w:rPr>
          <w:sz w:val="20"/>
          <w:szCs w:val="20"/>
        </w:rPr>
        <w:t xml:space="preserve"> </w:t>
      </w:r>
      <w:r>
        <w:rPr>
          <w:sz w:val="20"/>
          <w:szCs w:val="20"/>
        </w:rPr>
        <w:t>3.5</w:t>
      </w:r>
      <w:r>
        <w:rPr>
          <w:sz w:val="20"/>
          <w:szCs w:val="20"/>
        </w:rPr>
        <w:t>0</w:t>
      </w:r>
      <w:r>
        <w:rPr>
          <w:sz w:val="20"/>
          <w:szCs w:val="20"/>
        </w:rPr>
        <w:t xml:space="preserve">%). The Term Loan B was secured by a first lien on certain specified </w:t>
      </w:r>
      <w:r>
        <w:rPr>
          <w:sz w:val="20"/>
          <w:szCs w:val="20"/>
        </w:rPr>
        <w:t>real property assets, representing a loan-to-value of no greater than</w:t>
      </w:r>
      <w:r>
        <w:rPr>
          <w:sz w:val="20"/>
          <w:szCs w:val="20"/>
        </w:rPr>
        <w:t xml:space="preserve"> </w:t>
      </w:r>
      <w:r>
        <w:rPr>
          <w:sz w:val="20"/>
          <w:szCs w:val="20"/>
        </w:rPr>
        <w:t>8</w:t>
      </w:r>
      <w:r>
        <w:rPr>
          <w:sz w:val="20"/>
          <w:szCs w:val="20"/>
        </w:rPr>
        <w:t>0</w:t>
      </w:r>
      <w:r>
        <w:rPr>
          <w:sz w:val="20"/>
          <w:szCs w:val="20"/>
        </w:rPr>
        <w:t>%. The Term Loan B was originally issued at a price of</w:t>
      </w:r>
      <w:r>
        <w:rPr>
          <w:sz w:val="20"/>
          <w:szCs w:val="20"/>
        </w:rPr>
        <w:t xml:space="preserve"> </w:t>
      </w:r>
      <w:r>
        <w:rPr>
          <w:sz w:val="20"/>
          <w:szCs w:val="20"/>
        </w:rPr>
        <w:t>9</w:t>
      </w:r>
      <w:r>
        <w:rPr>
          <w:sz w:val="20"/>
          <w:szCs w:val="20"/>
        </w:rPr>
        <w:t>5</w:t>
      </w:r>
      <w:r>
        <w:rPr>
          <w:sz w:val="20"/>
          <w:szCs w:val="20"/>
        </w:rPr>
        <w:t xml:space="preserve">% of the principal amount of the Term Loan B, resulting in a discount of </w:t>
      </w:r>
      <w:r>
        <w:rPr>
          <w:sz w:val="20"/>
          <w:szCs w:val="20"/>
        </w:rPr>
        <w:t>$</w:t>
      </w:r>
      <w:r>
        <w:rPr>
          <w:sz w:val="20"/>
          <w:szCs w:val="20"/>
        </w:rPr>
        <w:t>12.</w:t>
      </w:r>
      <w:r>
        <w:rPr>
          <w:sz w:val="20"/>
          <w:szCs w:val="20"/>
        </w:rPr>
        <w:t>5</w:t>
      </w:r>
      <w:r>
        <w:rPr>
          <w:sz w:val="20"/>
          <w:szCs w:val="20"/>
        </w:rPr>
        <w:t xml:space="preserve"> million, which was amortized into interest expen</w:t>
      </w:r>
      <w:r>
        <w:rPr>
          <w:sz w:val="20"/>
          <w:szCs w:val="20"/>
        </w:rPr>
        <w:t xml:space="preserve">se over the term of the Term Loan B. CoreCivic capitalized approximately </w:t>
      </w:r>
      <w:r>
        <w:rPr>
          <w:sz w:val="20"/>
          <w:szCs w:val="20"/>
        </w:rPr>
        <w:t>$</w:t>
      </w:r>
      <w:r>
        <w:rPr>
          <w:sz w:val="20"/>
          <w:szCs w:val="20"/>
        </w:rPr>
        <w:t>5.</w:t>
      </w:r>
      <w:r>
        <w:rPr>
          <w:sz w:val="20"/>
          <w:szCs w:val="20"/>
        </w:rPr>
        <w:t>1</w:t>
      </w:r>
      <w:r>
        <w:rPr>
          <w:sz w:val="20"/>
          <w:szCs w:val="20"/>
        </w:rPr>
        <w:t xml:space="preserve"> million of costs associated with the issuance of the Term Loan B. During the second quarter of 2022, the Company recorded a charge of </w:t>
      </w:r>
      <w:r>
        <w:rPr>
          <w:sz w:val="20"/>
          <w:szCs w:val="20"/>
        </w:rPr>
        <w:t>$</w:t>
      </w:r>
      <w:r>
        <w:rPr>
          <w:sz w:val="20"/>
          <w:szCs w:val="20"/>
        </w:rPr>
        <w:t>6.</w:t>
      </w:r>
      <w:r>
        <w:rPr>
          <w:sz w:val="20"/>
          <w:szCs w:val="20"/>
        </w:rPr>
        <w:t>0</w:t>
      </w:r>
      <w:r>
        <w:rPr>
          <w:sz w:val="20"/>
          <w:szCs w:val="20"/>
        </w:rPr>
        <w:t xml:space="preserve"> million for the write-off of the remain</w:t>
      </w:r>
      <w:r>
        <w:rPr>
          <w:sz w:val="20"/>
          <w:szCs w:val="20"/>
        </w:rPr>
        <w:t>ing unamortized debt issuance costs, original issue discount, and fees associated with the voluntary repayment of the Term Loan B</w:t>
      </w:r>
      <w:r>
        <w:rPr>
          <w:sz w:val="20"/>
          <w:szCs w:val="20"/>
        </w:rPr>
        <w:t>.</w:t>
      </w:r>
      <w:r>
        <w:rPr>
          <w:sz w:val="20"/>
          <w:szCs w:val="20"/>
        </w:rPr>
        <w:t xml:space="preserve"> </w:t>
      </w:r>
    </w:p>
    <w:p w14:paraId="1A58892E" w14:textId="77777777" w:rsidR="00000000" w:rsidRDefault="003A1B5D">
      <w:pPr>
        <w:pStyle w:val="a3"/>
        <w:spacing w:before="240" w:beforeAutospacing="0" w:after="0" w:afterAutospacing="0"/>
        <w:ind w:left="476"/>
        <w:jc w:val="both"/>
        <w:divId w:val="1301567839"/>
        <w:rPr>
          <w:sz w:val="20"/>
          <w:szCs w:val="20"/>
        </w:rPr>
      </w:pPr>
      <w:r>
        <w:rPr>
          <w:i/>
          <w:iCs/>
          <w:sz w:val="20"/>
          <w:szCs w:val="20"/>
        </w:rPr>
        <w:t>Senior Note</w:t>
      </w:r>
      <w:r>
        <w:rPr>
          <w:i/>
          <w:iCs/>
          <w:sz w:val="20"/>
          <w:szCs w:val="20"/>
        </w:rPr>
        <w:t>s</w:t>
      </w:r>
      <w:r>
        <w:rPr>
          <w:sz w:val="20"/>
          <w:szCs w:val="20"/>
        </w:rPr>
        <w:t xml:space="preserve">. Interest on the </w:t>
      </w:r>
      <w:r>
        <w:rPr>
          <w:sz w:val="20"/>
          <w:szCs w:val="20"/>
        </w:rPr>
        <w:t>$</w:t>
      </w:r>
      <w:r>
        <w:rPr>
          <w:sz w:val="20"/>
          <w:szCs w:val="20"/>
        </w:rPr>
        <w:t>166.</w:t>
      </w:r>
      <w:r>
        <w:rPr>
          <w:sz w:val="20"/>
          <w:szCs w:val="20"/>
        </w:rPr>
        <w:t>5</w:t>
      </w:r>
      <w:r>
        <w:rPr>
          <w:sz w:val="20"/>
          <w:szCs w:val="20"/>
        </w:rPr>
        <w:t xml:space="preserve"> million remaining principal balance outstanding on CoreCivic's</w:t>
      </w:r>
      <w:r>
        <w:rPr>
          <w:sz w:val="20"/>
          <w:szCs w:val="20"/>
        </w:rPr>
        <w:t xml:space="preserve"> </w:t>
      </w:r>
      <w:r>
        <w:rPr>
          <w:sz w:val="20"/>
          <w:szCs w:val="20"/>
        </w:rPr>
        <w:t>4.62</w:t>
      </w:r>
      <w:r>
        <w:rPr>
          <w:sz w:val="20"/>
          <w:szCs w:val="20"/>
        </w:rPr>
        <w:t>5</w:t>
      </w:r>
      <w:r>
        <w:rPr>
          <w:sz w:val="20"/>
          <w:szCs w:val="20"/>
        </w:rPr>
        <w:t>% senior notes issu</w:t>
      </w:r>
      <w:r>
        <w:rPr>
          <w:sz w:val="20"/>
          <w:szCs w:val="20"/>
        </w:rPr>
        <w:t xml:space="preserve">ed in April 2013 with an original principal amount of </w:t>
      </w:r>
      <w:r>
        <w:rPr>
          <w:sz w:val="20"/>
          <w:szCs w:val="20"/>
        </w:rPr>
        <w:t>$</w:t>
      </w:r>
      <w:r>
        <w:rPr>
          <w:sz w:val="20"/>
          <w:szCs w:val="20"/>
        </w:rPr>
        <w:t>350.</w:t>
      </w:r>
      <w:r>
        <w:rPr>
          <w:sz w:val="20"/>
          <w:szCs w:val="20"/>
        </w:rPr>
        <w:t>0</w:t>
      </w:r>
      <w:r>
        <w:rPr>
          <w:sz w:val="20"/>
          <w:szCs w:val="20"/>
        </w:rPr>
        <w:t xml:space="preserve"> million (the </w:t>
      </w:r>
      <w:r>
        <w:rPr>
          <w:sz w:val="20"/>
          <w:szCs w:val="20"/>
        </w:rPr>
        <w:t>"</w:t>
      </w:r>
      <w:r>
        <w:rPr>
          <w:sz w:val="20"/>
          <w:szCs w:val="20"/>
        </w:rPr>
        <w:t>4.62</w:t>
      </w:r>
      <w:r>
        <w:rPr>
          <w:sz w:val="20"/>
          <w:szCs w:val="20"/>
        </w:rPr>
        <w:t>5</w:t>
      </w:r>
      <w:r>
        <w:rPr>
          <w:sz w:val="20"/>
          <w:szCs w:val="20"/>
        </w:rPr>
        <w:t>% Senior Notes") accrues at the stated rate and is payable in May and November of each year. The</w:t>
      </w:r>
      <w:r>
        <w:rPr>
          <w:sz w:val="20"/>
          <w:szCs w:val="20"/>
        </w:rPr>
        <w:t xml:space="preserve"> </w:t>
      </w:r>
      <w:r>
        <w:rPr>
          <w:sz w:val="20"/>
          <w:szCs w:val="20"/>
        </w:rPr>
        <w:t>4.62</w:t>
      </w:r>
      <w:r>
        <w:rPr>
          <w:sz w:val="20"/>
          <w:szCs w:val="20"/>
        </w:rPr>
        <w:t>5</w:t>
      </w:r>
      <w:r>
        <w:rPr>
          <w:sz w:val="20"/>
          <w:szCs w:val="20"/>
        </w:rPr>
        <w:t>% Senior Notes are scheduled to mature on</w:t>
      </w:r>
      <w:r>
        <w:rPr>
          <w:sz w:val="20"/>
          <w:szCs w:val="20"/>
        </w:rPr>
        <w:t xml:space="preserve"> </w:t>
      </w:r>
      <w:r>
        <w:rPr>
          <w:sz w:val="20"/>
          <w:szCs w:val="20"/>
        </w:rPr>
        <w:t>May 1, 202</w:t>
      </w:r>
      <w:r>
        <w:rPr>
          <w:sz w:val="20"/>
          <w:szCs w:val="20"/>
        </w:rPr>
        <w:t>3</w:t>
      </w:r>
      <w:r>
        <w:rPr>
          <w:sz w:val="20"/>
          <w:szCs w:val="20"/>
        </w:rPr>
        <w:t xml:space="preserve">. Interest on the </w:t>
      </w:r>
      <w:r>
        <w:rPr>
          <w:sz w:val="20"/>
          <w:szCs w:val="20"/>
        </w:rPr>
        <w:t>$</w:t>
      </w:r>
      <w:r>
        <w:rPr>
          <w:sz w:val="20"/>
          <w:szCs w:val="20"/>
        </w:rPr>
        <w:t>25</w:t>
      </w:r>
      <w:r>
        <w:rPr>
          <w:sz w:val="20"/>
          <w:szCs w:val="20"/>
        </w:rPr>
        <w:t>0.</w:t>
      </w:r>
      <w:r>
        <w:rPr>
          <w:sz w:val="20"/>
          <w:szCs w:val="20"/>
        </w:rPr>
        <w:t>0</w:t>
      </w:r>
      <w:r>
        <w:rPr>
          <w:sz w:val="20"/>
          <w:szCs w:val="20"/>
        </w:rPr>
        <w:t xml:space="preserve"> million aggregate principal amount of CoreCivic's</w:t>
      </w:r>
      <w:r>
        <w:rPr>
          <w:sz w:val="20"/>
          <w:szCs w:val="20"/>
        </w:rPr>
        <w:t xml:space="preserve"> </w:t>
      </w:r>
      <w:r>
        <w:rPr>
          <w:sz w:val="20"/>
          <w:szCs w:val="20"/>
        </w:rPr>
        <w:t>4.7</w:t>
      </w:r>
      <w:r>
        <w:rPr>
          <w:sz w:val="20"/>
          <w:szCs w:val="20"/>
        </w:rPr>
        <w:t>5</w:t>
      </w:r>
      <w:r>
        <w:rPr>
          <w:sz w:val="20"/>
          <w:szCs w:val="20"/>
        </w:rPr>
        <w:t xml:space="preserve">% senior notes issued in October 2017 (the </w:t>
      </w:r>
      <w:r>
        <w:rPr>
          <w:sz w:val="20"/>
          <w:szCs w:val="20"/>
        </w:rPr>
        <w:t>"</w:t>
      </w:r>
      <w:r>
        <w:rPr>
          <w:sz w:val="20"/>
          <w:szCs w:val="20"/>
        </w:rPr>
        <w:t>4.7</w:t>
      </w:r>
      <w:r>
        <w:rPr>
          <w:sz w:val="20"/>
          <w:szCs w:val="20"/>
        </w:rPr>
        <w:t>5</w:t>
      </w:r>
      <w:r>
        <w:rPr>
          <w:sz w:val="20"/>
          <w:szCs w:val="20"/>
        </w:rPr>
        <w:t>% Senior Notes") accrues at the stated rate and is payable in April and October of each year. The</w:t>
      </w:r>
      <w:r>
        <w:rPr>
          <w:sz w:val="20"/>
          <w:szCs w:val="20"/>
        </w:rPr>
        <w:t xml:space="preserve"> </w:t>
      </w:r>
      <w:r>
        <w:rPr>
          <w:sz w:val="20"/>
          <w:szCs w:val="20"/>
        </w:rPr>
        <w:t>4.7</w:t>
      </w:r>
      <w:r>
        <w:rPr>
          <w:sz w:val="20"/>
          <w:szCs w:val="20"/>
        </w:rPr>
        <w:t>5</w:t>
      </w:r>
      <w:r>
        <w:rPr>
          <w:sz w:val="20"/>
          <w:szCs w:val="20"/>
        </w:rPr>
        <w:t>% Senior Notes are scheduled to mature on</w:t>
      </w:r>
      <w:r>
        <w:rPr>
          <w:sz w:val="20"/>
          <w:szCs w:val="20"/>
        </w:rPr>
        <w:t xml:space="preserve"> </w:t>
      </w:r>
      <w:r>
        <w:rPr>
          <w:sz w:val="20"/>
          <w:szCs w:val="20"/>
        </w:rPr>
        <w:t>Octobe</w:t>
      </w:r>
      <w:r>
        <w:rPr>
          <w:sz w:val="20"/>
          <w:szCs w:val="20"/>
        </w:rPr>
        <w:t>r 15, 202</w:t>
      </w:r>
      <w:r>
        <w:rPr>
          <w:sz w:val="20"/>
          <w:szCs w:val="20"/>
        </w:rPr>
        <w:t>7</w:t>
      </w:r>
      <w:r>
        <w:rPr>
          <w:sz w:val="20"/>
          <w:szCs w:val="20"/>
        </w:rPr>
        <w:t xml:space="preserve">. Interest on the </w:t>
      </w:r>
      <w:r>
        <w:rPr>
          <w:sz w:val="20"/>
          <w:szCs w:val="20"/>
        </w:rPr>
        <w:t>$</w:t>
      </w:r>
      <w:r>
        <w:rPr>
          <w:sz w:val="20"/>
          <w:szCs w:val="20"/>
        </w:rPr>
        <w:t>641.</w:t>
      </w:r>
      <w:r>
        <w:rPr>
          <w:sz w:val="20"/>
          <w:szCs w:val="20"/>
        </w:rPr>
        <w:t>5</w:t>
      </w:r>
      <w:r>
        <w:rPr>
          <w:sz w:val="20"/>
          <w:szCs w:val="20"/>
        </w:rPr>
        <w:t xml:space="preserve"> million remaining aggregate principal amount of CoreCivic's</w:t>
      </w:r>
      <w:r>
        <w:rPr>
          <w:sz w:val="20"/>
          <w:szCs w:val="20"/>
        </w:rPr>
        <w:t xml:space="preserve"> </w:t>
      </w:r>
      <w:r>
        <w:rPr>
          <w:sz w:val="20"/>
          <w:szCs w:val="20"/>
        </w:rPr>
        <w:t>8.2</w:t>
      </w:r>
      <w:r>
        <w:rPr>
          <w:sz w:val="20"/>
          <w:szCs w:val="20"/>
        </w:rPr>
        <w:t>5</w:t>
      </w:r>
      <w:r>
        <w:rPr>
          <w:sz w:val="20"/>
          <w:szCs w:val="20"/>
        </w:rPr>
        <w:t xml:space="preserve">% senior notes issued in April and September 2021 with an original principal amount of </w:t>
      </w:r>
      <w:r>
        <w:rPr>
          <w:sz w:val="20"/>
          <w:szCs w:val="20"/>
        </w:rPr>
        <w:t>$</w:t>
      </w:r>
      <w:r>
        <w:rPr>
          <w:sz w:val="20"/>
          <w:szCs w:val="20"/>
        </w:rPr>
        <w:t>675.</w:t>
      </w:r>
      <w:r>
        <w:rPr>
          <w:sz w:val="20"/>
          <w:szCs w:val="20"/>
        </w:rPr>
        <w:t>0</w:t>
      </w:r>
      <w:r>
        <w:rPr>
          <w:sz w:val="20"/>
          <w:szCs w:val="20"/>
        </w:rPr>
        <w:t xml:space="preserve"> million (the </w:t>
      </w:r>
      <w:r>
        <w:rPr>
          <w:sz w:val="20"/>
          <w:szCs w:val="20"/>
        </w:rPr>
        <w:t>"</w:t>
      </w:r>
      <w:r>
        <w:rPr>
          <w:sz w:val="20"/>
          <w:szCs w:val="20"/>
        </w:rPr>
        <w:t>8.2</w:t>
      </w:r>
      <w:r>
        <w:rPr>
          <w:sz w:val="20"/>
          <w:szCs w:val="20"/>
        </w:rPr>
        <w:t>5</w:t>
      </w:r>
      <w:r>
        <w:rPr>
          <w:sz w:val="20"/>
          <w:szCs w:val="20"/>
        </w:rPr>
        <w:t>% Senior Notes"), as further described herein</w:t>
      </w:r>
      <w:r>
        <w:rPr>
          <w:sz w:val="20"/>
          <w:szCs w:val="20"/>
        </w:rPr>
        <w:t>after, accrues at the stated rate and is payable in April and October of each year. The</w:t>
      </w:r>
      <w:r>
        <w:rPr>
          <w:sz w:val="20"/>
          <w:szCs w:val="20"/>
        </w:rPr>
        <w:t xml:space="preserve"> </w:t>
      </w:r>
      <w:r>
        <w:rPr>
          <w:sz w:val="20"/>
          <w:szCs w:val="20"/>
        </w:rPr>
        <w:t>8.2</w:t>
      </w:r>
      <w:r>
        <w:rPr>
          <w:sz w:val="20"/>
          <w:szCs w:val="20"/>
        </w:rPr>
        <w:t>5</w:t>
      </w:r>
      <w:r>
        <w:rPr>
          <w:sz w:val="20"/>
          <w:szCs w:val="20"/>
        </w:rPr>
        <w:t>% Senior Notes are scheduled to mature on</w:t>
      </w:r>
      <w:r>
        <w:rPr>
          <w:sz w:val="20"/>
          <w:szCs w:val="20"/>
        </w:rPr>
        <w:t xml:space="preserve"> </w:t>
      </w:r>
      <w:r>
        <w:rPr>
          <w:sz w:val="20"/>
          <w:szCs w:val="20"/>
        </w:rPr>
        <w:t>April 15, 202</w:t>
      </w:r>
      <w:r>
        <w:rPr>
          <w:sz w:val="20"/>
          <w:szCs w:val="20"/>
        </w:rPr>
        <w:t>6</w:t>
      </w:r>
      <w:r>
        <w:rPr>
          <w:sz w:val="20"/>
          <w:szCs w:val="20"/>
        </w:rPr>
        <w:t>.</w:t>
      </w:r>
      <w:r>
        <w:rPr>
          <w:sz w:val="20"/>
          <w:szCs w:val="20"/>
        </w:rPr>
        <w:t xml:space="preserve"> </w:t>
      </w:r>
    </w:p>
    <w:p w14:paraId="51935D30" w14:textId="77777777" w:rsidR="00000000" w:rsidRDefault="003A1B5D">
      <w:pPr>
        <w:pStyle w:val="a3"/>
        <w:spacing w:before="240" w:beforeAutospacing="0" w:after="0" w:afterAutospacing="0"/>
        <w:ind w:left="476"/>
        <w:jc w:val="both"/>
        <w:divId w:val="1301567839"/>
        <w:rPr>
          <w:sz w:val="20"/>
          <w:szCs w:val="20"/>
        </w:rPr>
      </w:pPr>
      <w:r>
        <w:rPr>
          <w:sz w:val="20"/>
          <w:szCs w:val="20"/>
        </w:rPr>
        <w:t>The</w:t>
      </w:r>
      <w:r>
        <w:rPr>
          <w:sz w:val="20"/>
          <w:szCs w:val="20"/>
        </w:rPr>
        <w:t xml:space="preserve"> </w:t>
      </w:r>
      <w:r>
        <w:rPr>
          <w:sz w:val="20"/>
          <w:szCs w:val="20"/>
        </w:rPr>
        <w:t>4.62</w:t>
      </w:r>
      <w:r>
        <w:rPr>
          <w:sz w:val="20"/>
          <w:szCs w:val="20"/>
        </w:rPr>
        <w:t>5</w:t>
      </w:r>
      <w:r>
        <w:rPr>
          <w:sz w:val="20"/>
          <w:szCs w:val="20"/>
        </w:rPr>
        <w:t>% Senior Notes, the</w:t>
      </w:r>
      <w:r>
        <w:rPr>
          <w:sz w:val="20"/>
          <w:szCs w:val="20"/>
        </w:rPr>
        <w:t xml:space="preserve"> </w:t>
      </w:r>
      <w:r>
        <w:rPr>
          <w:sz w:val="20"/>
          <w:szCs w:val="20"/>
        </w:rPr>
        <w:t>4.7</w:t>
      </w:r>
      <w:r>
        <w:rPr>
          <w:sz w:val="20"/>
          <w:szCs w:val="20"/>
        </w:rPr>
        <w:t>5</w:t>
      </w:r>
      <w:r>
        <w:rPr>
          <w:sz w:val="20"/>
          <w:szCs w:val="20"/>
        </w:rPr>
        <w:t>% Senior Notes, and the</w:t>
      </w:r>
      <w:r>
        <w:rPr>
          <w:sz w:val="20"/>
          <w:szCs w:val="20"/>
        </w:rPr>
        <w:t xml:space="preserve"> </w:t>
      </w:r>
      <w:r>
        <w:rPr>
          <w:sz w:val="20"/>
          <w:szCs w:val="20"/>
        </w:rPr>
        <w:t>8.2</w:t>
      </w:r>
      <w:r>
        <w:rPr>
          <w:sz w:val="20"/>
          <w:szCs w:val="20"/>
        </w:rPr>
        <w:t>5</w:t>
      </w:r>
      <w:r>
        <w:rPr>
          <w:sz w:val="20"/>
          <w:szCs w:val="20"/>
        </w:rPr>
        <w:t>% Senior Notes, collectively referred to her</w:t>
      </w:r>
      <w:r>
        <w:rPr>
          <w:sz w:val="20"/>
          <w:szCs w:val="20"/>
        </w:rPr>
        <w:t>ein as the "Senior Notes", are senior unsecured obligations of the Company and are guaranteed by all of the Company's existing and future subsidiaries that guarantee the New Bank Credit Facility. CoreCivic may redeem all or part of the</w:t>
      </w:r>
      <w:r>
        <w:rPr>
          <w:sz w:val="20"/>
          <w:szCs w:val="20"/>
        </w:rPr>
        <w:t xml:space="preserve"> </w:t>
      </w:r>
      <w:r>
        <w:rPr>
          <w:sz w:val="20"/>
          <w:szCs w:val="20"/>
        </w:rPr>
        <w:t>4.62</w:t>
      </w:r>
      <w:r>
        <w:rPr>
          <w:sz w:val="20"/>
          <w:szCs w:val="20"/>
        </w:rPr>
        <w:t>5</w:t>
      </w:r>
      <w:r>
        <w:rPr>
          <w:sz w:val="20"/>
          <w:szCs w:val="20"/>
        </w:rPr>
        <w:t xml:space="preserve">% Senior Notes </w:t>
      </w:r>
      <w:r>
        <w:rPr>
          <w:sz w:val="20"/>
          <w:szCs w:val="20"/>
        </w:rPr>
        <w:t>and the</w:t>
      </w:r>
      <w:r>
        <w:rPr>
          <w:sz w:val="20"/>
          <w:szCs w:val="20"/>
        </w:rPr>
        <w:t xml:space="preserve"> </w:t>
      </w:r>
      <w:r>
        <w:rPr>
          <w:sz w:val="20"/>
          <w:szCs w:val="20"/>
        </w:rPr>
        <w:t>4.7</w:t>
      </w:r>
      <w:r>
        <w:rPr>
          <w:sz w:val="20"/>
          <w:szCs w:val="20"/>
        </w:rPr>
        <w:t>5</w:t>
      </w:r>
      <w:r>
        <w:rPr>
          <w:sz w:val="20"/>
          <w:szCs w:val="20"/>
        </w:rPr>
        <w:t>% Senior Notes at any time prior to three months before their respective maturity date at a "make-whole" redemption price, plus accrued and unpaid interest thereon to, but not including, the redemption date. Thereafter, the</w:t>
      </w:r>
      <w:r>
        <w:rPr>
          <w:sz w:val="20"/>
          <w:szCs w:val="20"/>
        </w:rPr>
        <w:t xml:space="preserve"> </w:t>
      </w:r>
      <w:r>
        <w:rPr>
          <w:sz w:val="20"/>
          <w:szCs w:val="20"/>
        </w:rPr>
        <w:t>4.62</w:t>
      </w:r>
      <w:r>
        <w:rPr>
          <w:sz w:val="20"/>
          <w:szCs w:val="20"/>
        </w:rPr>
        <w:t>5</w:t>
      </w:r>
      <w:r>
        <w:rPr>
          <w:sz w:val="20"/>
          <w:szCs w:val="20"/>
        </w:rPr>
        <w:t xml:space="preserve">% Senior Notes </w:t>
      </w:r>
      <w:r>
        <w:rPr>
          <w:sz w:val="20"/>
          <w:szCs w:val="20"/>
        </w:rPr>
        <w:t>and the</w:t>
      </w:r>
      <w:r>
        <w:rPr>
          <w:sz w:val="20"/>
          <w:szCs w:val="20"/>
        </w:rPr>
        <w:t xml:space="preserve"> </w:t>
      </w:r>
      <w:r>
        <w:rPr>
          <w:sz w:val="20"/>
          <w:szCs w:val="20"/>
        </w:rPr>
        <w:t>4.7</w:t>
      </w:r>
      <w:r>
        <w:rPr>
          <w:sz w:val="20"/>
          <w:szCs w:val="20"/>
        </w:rPr>
        <w:t>5</w:t>
      </w:r>
      <w:r>
        <w:rPr>
          <w:sz w:val="20"/>
          <w:szCs w:val="20"/>
        </w:rPr>
        <w:t>% Senior Notes are redeemable at CoreCivic's option, in whole or in part, at a redemption price equal to</w:t>
      </w:r>
      <w:r>
        <w:rPr>
          <w:sz w:val="20"/>
          <w:szCs w:val="20"/>
        </w:rPr>
        <w:t xml:space="preserve"> </w:t>
      </w:r>
      <w:r>
        <w:rPr>
          <w:sz w:val="20"/>
          <w:szCs w:val="20"/>
        </w:rPr>
        <w:t>10</w:t>
      </w:r>
      <w:r>
        <w:rPr>
          <w:sz w:val="20"/>
          <w:szCs w:val="20"/>
        </w:rPr>
        <w:t>0</w:t>
      </w:r>
      <w:r>
        <w:rPr>
          <w:sz w:val="20"/>
          <w:szCs w:val="20"/>
        </w:rPr>
        <w:t>% of the aggregate principal amount of the notes to be redeemed plus accrued and unpaid interest thereon to, but not including, the rede</w:t>
      </w:r>
      <w:r>
        <w:rPr>
          <w:sz w:val="20"/>
          <w:szCs w:val="20"/>
        </w:rPr>
        <w:t>mption date. The Company may redeem all or part of the</w:t>
      </w:r>
      <w:r>
        <w:rPr>
          <w:sz w:val="20"/>
          <w:szCs w:val="20"/>
        </w:rPr>
        <w:t xml:space="preserve"> </w:t>
      </w:r>
      <w:r>
        <w:rPr>
          <w:sz w:val="20"/>
          <w:szCs w:val="20"/>
        </w:rPr>
        <w:t>8.2</w:t>
      </w:r>
      <w:r>
        <w:rPr>
          <w:sz w:val="20"/>
          <w:szCs w:val="20"/>
        </w:rPr>
        <w:t>5</w:t>
      </w:r>
      <w:r>
        <w:rPr>
          <w:sz w:val="20"/>
          <w:szCs w:val="20"/>
        </w:rPr>
        <w:t>% Senior Notes at any time prior to April 15, 2024, in whole or in part, at a "make-whole" redemption price, plus accrued and unpaid interest thereon to, but not including, the redemption date. The</w:t>
      </w:r>
      <w:r>
        <w:rPr>
          <w:sz w:val="20"/>
          <w:szCs w:val="20"/>
        </w:rPr>
        <w:t>reafter, the</w:t>
      </w:r>
      <w:r>
        <w:rPr>
          <w:sz w:val="20"/>
          <w:szCs w:val="20"/>
        </w:rPr>
        <w:t xml:space="preserve"> </w:t>
      </w:r>
      <w:r>
        <w:rPr>
          <w:sz w:val="20"/>
          <w:szCs w:val="20"/>
        </w:rPr>
        <w:t>8.2</w:t>
      </w:r>
      <w:r>
        <w:rPr>
          <w:sz w:val="20"/>
          <w:szCs w:val="20"/>
        </w:rPr>
        <w:t>5</w:t>
      </w:r>
      <w:r>
        <w:rPr>
          <w:sz w:val="20"/>
          <w:szCs w:val="20"/>
        </w:rPr>
        <w:t>% Senior Notes are redeemable at CoreCivic's option, in whole or in part, at a redemption price expressed as a percentage of the principal amount thereof, which percentage is</w:t>
      </w:r>
      <w:r>
        <w:rPr>
          <w:sz w:val="20"/>
          <w:szCs w:val="20"/>
        </w:rPr>
        <w:t xml:space="preserve"> </w:t>
      </w:r>
      <w:r>
        <w:rPr>
          <w:sz w:val="20"/>
          <w:szCs w:val="20"/>
        </w:rPr>
        <w:t>104.12</w:t>
      </w:r>
      <w:r>
        <w:rPr>
          <w:sz w:val="20"/>
          <w:szCs w:val="20"/>
        </w:rPr>
        <w:t>5</w:t>
      </w:r>
      <w:r>
        <w:rPr>
          <w:sz w:val="20"/>
          <w:szCs w:val="20"/>
        </w:rPr>
        <w:t>% beginning on</w:t>
      </w:r>
      <w:r>
        <w:rPr>
          <w:sz w:val="20"/>
          <w:szCs w:val="20"/>
        </w:rPr>
        <w:t xml:space="preserve"> </w:t>
      </w:r>
      <w:r>
        <w:rPr>
          <w:sz w:val="20"/>
          <w:szCs w:val="20"/>
        </w:rPr>
        <w:t>April 15, 202</w:t>
      </w:r>
      <w:r>
        <w:rPr>
          <w:sz w:val="20"/>
          <w:szCs w:val="20"/>
        </w:rPr>
        <w:t>4</w:t>
      </w:r>
      <w:r>
        <w:rPr>
          <w:sz w:val="20"/>
          <w:szCs w:val="20"/>
        </w:rPr>
        <w:t xml:space="preserve"> and</w:t>
      </w:r>
      <w:r>
        <w:rPr>
          <w:sz w:val="20"/>
          <w:szCs w:val="20"/>
        </w:rPr>
        <w:t xml:space="preserve"> </w:t>
      </w:r>
      <w:r>
        <w:rPr>
          <w:sz w:val="20"/>
          <w:szCs w:val="20"/>
        </w:rPr>
        <w:t>10</w:t>
      </w:r>
      <w:r>
        <w:rPr>
          <w:sz w:val="20"/>
          <w:szCs w:val="20"/>
        </w:rPr>
        <w:t>0</w:t>
      </w:r>
      <w:r>
        <w:rPr>
          <w:sz w:val="20"/>
          <w:szCs w:val="20"/>
        </w:rPr>
        <w:t>% beginning on</w:t>
      </w:r>
      <w:r>
        <w:rPr>
          <w:sz w:val="20"/>
          <w:szCs w:val="20"/>
        </w:rPr>
        <w:t xml:space="preserve"> </w:t>
      </w:r>
      <w:r>
        <w:rPr>
          <w:sz w:val="20"/>
          <w:szCs w:val="20"/>
        </w:rPr>
        <w:t>April</w:t>
      </w:r>
      <w:r>
        <w:rPr>
          <w:sz w:val="20"/>
          <w:szCs w:val="20"/>
        </w:rPr>
        <w:t xml:space="preserve"> 15, 202</w:t>
      </w:r>
      <w:r>
        <w:rPr>
          <w:sz w:val="20"/>
          <w:szCs w:val="20"/>
        </w:rPr>
        <w:t>5</w:t>
      </w:r>
      <w:r>
        <w:rPr>
          <w:sz w:val="20"/>
          <w:szCs w:val="20"/>
        </w:rPr>
        <w:t>, plus, in each such case, accrued and unpaid interest thereon to, but not including, the redemption date</w:t>
      </w:r>
      <w:r>
        <w:rPr>
          <w:sz w:val="20"/>
          <w:szCs w:val="20"/>
        </w:rPr>
        <w:t>.</w:t>
      </w:r>
      <w:r>
        <w:rPr>
          <w:sz w:val="20"/>
          <w:szCs w:val="20"/>
        </w:rPr>
        <w:t xml:space="preserve"> </w:t>
      </w:r>
    </w:p>
    <w:p w14:paraId="1D6ACC1D" w14:textId="77777777" w:rsidR="00000000" w:rsidRDefault="003A1B5D">
      <w:pPr>
        <w:pStyle w:val="a3"/>
        <w:spacing w:before="240" w:beforeAutospacing="0" w:after="0" w:afterAutospacing="0"/>
        <w:ind w:left="476"/>
        <w:jc w:val="both"/>
        <w:divId w:val="1301567839"/>
        <w:rPr>
          <w:sz w:val="20"/>
          <w:szCs w:val="20"/>
        </w:rPr>
      </w:pPr>
      <w:r>
        <w:rPr>
          <w:sz w:val="20"/>
          <w:szCs w:val="20"/>
        </w:rPr>
        <w:t xml:space="preserve">On April 14, 2021, the Company completed an underwritten registered offering of </w:t>
      </w:r>
      <w:r>
        <w:rPr>
          <w:sz w:val="20"/>
          <w:szCs w:val="20"/>
        </w:rPr>
        <w:t>$</w:t>
      </w:r>
      <w:r>
        <w:rPr>
          <w:sz w:val="20"/>
          <w:szCs w:val="20"/>
        </w:rPr>
        <w:t>450.</w:t>
      </w:r>
      <w:r>
        <w:rPr>
          <w:sz w:val="20"/>
          <w:szCs w:val="20"/>
        </w:rPr>
        <w:t>0</w:t>
      </w:r>
      <w:r>
        <w:rPr>
          <w:sz w:val="20"/>
          <w:szCs w:val="20"/>
        </w:rPr>
        <w:t xml:space="preserve"> million aggregate principal amount of</w:t>
      </w:r>
      <w:r>
        <w:rPr>
          <w:sz w:val="20"/>
          <w:szCs w:val="20"/>
        </w:rPr>
        <w:t xml:space="preserve"> </w:t>
      </w:r>
      <w:r>
        <w:rPr>
          <w:sz w:val="20"/>
          <w:szCs w:val="20"/>
        </w:rPr>
        <w:t>8.2</w:t>
      </w:r>
      <w:r>
        <w:rPr>
          <w:sz w:val="20"/>
          <w:szCs w:val="20"/>
        </w:rPr>
        <w:t>5</w:t>
      </w:r>
      <w:r>
        <w:rPr>
          <w:sz w:val="20"/>
          <w:szCs w:val="20"/>
        </w:rPr>
        <w:t>% senior u</w:t>
      </w:r>
      <w:r>
        <w:rPr>
          <w:sz w:val="20"/>
          <w:szCs w:val="20"/>
        </w:rPr>
        <w:t>nsecured notes due 2026 (the "Original</w:t>
      </w:r>
      <w:r>
        <w:rPr>
          <w:sz w:val="20"/>
          <w:szCs w:val="20"/>
        </w:rPr>
        <w:t xml:space="preserve"> </w:t>
      </w:r>
      <w:r>
        <w:rPr>
          <w:sz w:val="20"/>
          <w:szCs w:val="20"/>
        </w:rPr>
        <w:t>8.2</w:t>
      </w:r>
      <w:r>
        <w:rPr>
          <w:sz w:val="20"/>
          <w:szCs w:val="20"/>
        </w:rPr>
        <w:t>5</w:t>
      </w:r>
      <w:r>
        <w:rPr>
          <w:sz w:val="20"/>
          <w:szCs w:val="20"/>
        </w:rPr>
        <w:t>% Senior Notes"). The Original</w:t>
      </w:r>
      <w:r>
        <w:rPr>
          <w:sz w:val="20"/>
          <w:szCs w:val="20"/>
        </w:rPr>
        <w:t xml:space="preserve"> </w:t>
      </w:r>
      <w:r>
        <w:rPr>
          <w:sz w:val="20"/>
          <w:szCs w:val="20"/>
        </w:rPr>
        <w:t>8.2</w:t>
      </w:r>
      <w:r>
        <w:rPr>
          <w:sz w:val="20"/>
          <w:szCs w:val="20"/>
        </w:rPr>
        <w:t>5</w:t>
      </w:r>
      <w:r>
        <w:rPr>
          <w:sz w:val="20"/>
          <w:szCs w:val="20"/>
        </w:rPr>
        <w:t>% Senior Notes were priced at</w:t>
      </w:r>
      <w:r>
        <w:rPr>
          <w:sz w:val="20"/>
          <w:szCs w:val="20"/>
        </w:rPr>
        <w:t xml:space="preserve"> </w:t>
      </w:r>
      <w:r>
        <w:rPr>
          <w:sz w:val="20"/>
          <w:szCs w:val="20"/>
        </w:rPr>
        <w:t>99.</w:t>
      </w:r>
      <w:r>
        <w:rPr>
          <w:sz w:val="20"/>
          <w:szCs w:val="20"/>
        </w:rPr>
        <w:t>0</w:t>
      </w:r>
      <w:r>
        <w:rPr>
          <w:sz w:val="20"/>
          <w:szCs w:val="20"/>
        </w:rPr>
        <w:t>% of face value and as a result have an effective yield to maturity of</w:t>
      </w:r>
      <w:r>
        <w:rPr>
          <w:sz w:val="20"/>
          <w:szCs w:val="20"/>
        </w:rPr>
        <w:t xml:space="preserve"> </w:t>
      </w:r>
      <w:r>
        <w:rPr>
          <w:sz w:val="20"/>
          <w:szCs w:val="20"/>
        </w:rPr>
        <w:t>8.5</w:t>
      </w:r>
      <w:r>
        <w:rPr>
          <w:sz w:val="20"/>
          <w:szCs w:val="20"/>
        </w:rPr>
        <w:t>0</w:t>
      </w:r>
      <w:r>
        <w:rPr>
          <w:sz w:val="20"/>
          <w:szCs w:val="20"/>
        </w:rPr>
        <w:t>%. The net proceeds from the issuance of the Original</w:t>
      </w:r>
      <w:r>
        <w:rPr>
          <w:sz w:val="20"/>
          <w:szCs w:val="20"/>
        </w:rPr>
        <w:t xml:space="preserve"> </w:t>
      </w:r>
      <w:r>
        <w:rPr>
          <w:sz w:val="20"/>
          <w:szCs w:val="20"/>
        </w:rPr>
        <w:t>8.2</w:t>
      </w:r>
      <w:r>
        <w:rPr>
          <w:sz w:val="20"/>
          <w:szCs w:val="20"/>
        </w:rPr>
        <w:t>5</w:t>
      </w:r>
      <w:r>
        <w:rPr>
          <w:sz w:val="20"/>
          <w:szCs w:val="20"/>
        </w:rPr>
        <w:t>% Senior No</w:t>
      </w:r>
      <w:r>
        <w:rPr>
          <w:sz w:val="20"/>
          <w:szCs w:val="20"/>
        </w:rPr>
        <w:t xml:space="preserve">tes totaled approximately </w:t>
      </w:r>
      <w:r>
        <w:rPr>
          <w:sz w:val="20"/>
          <w:szCs w:val="20"/>
        </w:rPr>
        <w:t>$</w:t>
      </w:r>
      <w:r>
        <w:rPr>
          <w:sz w:val="20"/>
          <w:szCs w:val="20"/>
        </w:rPr>
        <w:t>435.</w:t>
      </w:r>
      <w:r>
        <w:rPr>
          <w:sz w:val="20"/>
          <w:szCs w:val="20"/>
        </w:rPr>
        <w:t>1</w:t>
      </w:r>
      <w:r>
        <w:rPr>
          <w:sz w:val="20"/>
          <w:szCs w:val="20"/>
        </w:rPr>
        <w:t xml:space="preserve"> million, after deducting the original issuance and underwriting discounts and estimated offering expenses. The Company used a significant amount of the net proceeds from the offering of the Original</w:t>
      </w:r>
      <w:r>
        <w:rPr>
          <w:sz w:val="20"/>
          <w:szCs w:val="20"/>
        </w:rPr>
        <w:t xml:space="preserve"> </w:t>
      </w:r>
      <w:r>
        <w:rPr>
          <w:sz w:val="20"/>
          <w:szCs w:val="20"/>
        </w:rPr>
        <w:t>8.2</w:t>
      </w:r>
      <w:r>
        <w:rPr>
          <w:sz w:val="20"/>
          <w:szCs w:val="20"/>
        </w:rPr>
        <w:t>5</w:t>
      </w:r>
      <w:r>
        <w:rPr>
          <w:sz w:val="20"/>
          <w:szCs w:val="20"/>
        </w:rPr>
        <w:t>% Senior Notes (i) t</w:t>
      </w:r>
      <w:r>
        <w:rPr>
          <w:sz w:val="20"/>
          <w:szCs w:val="20"/>
        </w:rPr>
        <w:t xml:space="preserve">o redeem all of the </w:t>
      </w:r>
      <w:r>
        <w:rPr>
          <w:sz w:val="20"/>
          <w:szCs w:val="20"/>
        </w:rPr>
        <w:t>$</w:t>
      </w:r>
      <w:r>
        <w:rPr>
          <w:sz w:val="20"/>
          <w:szCs w:val="20"/>
        </w:rPr>
        <w:t>250.</w:t>
      </w:r>
      <w:r>
        <w:rPr>
          <w:sz w:val="20"/>
          <w:szCs w:val="20"/>
        </w:rPr>
        <w:t>0</w:t>
      </w:r>
      <w:r>
        <w:rPr>
          <w:sz w:val="20"/>
          <w:szCs w:val="20"/>
        </w:rPr>
        <w:t xml:space="preserve"> million aggregate principal amount of CoreCivic's</w:t>
      </w:r>
      <w:r>
        <w:rPr>
          <w:sz w:val="20"/>
          <w:szCs w:val="20"/>
        </w:rPr>
        <w:t xml:space="preserve"> </w:t>
      </w:r>
      <w:r>
        <w:rPr>
          <w:sz w:val="20"/>
          <w:szCs w:val="20"/>
        </w:rPr>
        <w:t>5.</w:t>
      </w:r>
      <w:r>
        <w:rPr>
          <w:sz w:val="20"/>
          <w:szCs w:val="20"/>
        </w:rPr>
        <w:t>0</w:t>
      </w:r>
      <w:r>
        <w:rPr>
          <w:sz w:val="20"/>
          <w:szCs w:val="20"/>
        </w:rPr>
        <w:t xml:space="preserve">% senior notes issued in September 2015 (the </w:t>
      </w:r>
      <w:r>
        <w:rPr>
          <w:sz w:val="20"/>
          <w:szCs w:val="20"/>
        </w:rPr>
        <w:t>"</w:t>
      </w:r>
      <w:r>
        <w:rPr>
          <w:sz w:val="20"/>
          <w:szCs w:val="20"/>
        </w:rPr>
        <w:t>5.</w:t>
      </w:r>
      <w:r>
        <w:rPr>
          <w:sz w:val="20"/>
          <w:szCs w:val="20"/>
        </w:rPr>
        <w:t>0</w:t>
      </w:r>
      <w:r>
        <w:rPr>
          <w:sz w:val="20"/>
          <w:szCs w:val="20"/>
        </w:rPr>
        <w:t xml:space="preserve">% Senior Notes"), including the payment of the applicable "make-whole" redemption amount of </w:t>
      </w:r>
      <w:r>
        <w:rPr>
          <w:sz w:val="20"/>
          <w:szCs w:val="20"/>
        </w:rPr>
        <w:t>$</w:t>
      </w:r>
      <w:r>
        <w:rPr>
          <w:sz w:val="20"/>
          <w:szCs w:val="20"/>
        </w:rPr>
        <w:t>15.</w:t>
      </w:r>
      <w:r>
        <w:rPr>
          <w:sz w:val="20"/>
          <w:szCs w:val="20"/>
        </w:rPr>
        <w:t>5</w:t>
      </w:r>
      <w:r>
        <w:rPr>
          <w:sz w:val="20"/>
          <w:szCs w:val="20"/>
        </w:rPr>
        <w:t xml:space="preserve"> million and accrued interest,</w:t>
      </w:r>
      <w:r>
        <w:rPr>
          <w:sz w:val="20"/>
          <w:szCs w:val="20"/>
        </w:rPr>
        <w:t xml:space="preserve"> and (ii) to otherwise repay or reduce its other indebtedness, including repurchasing </w:t>
      </w:r>
      <w:r>
        <w:rPr>
          <w:sz w:val="20"/>
          <w:szCs w:val="20"/>
        </w:rPr>
        <w:t>$</w:t>
      </w:r>
      <w:r>
        <w:rPr>
          <w:sz w:val="20"/>
          <w:szCs w:val="20"/>
        </w:rPr>
        <w:t>149.</w:t>
      </w:r>
      <w:r>
        <w:rPr>
          <w:sz w:val="20"/>
          <w:szCs w:val="20"/>
        </w:rPr>
        <w:t>0</w:t>
      </w:r>
      <w:r>
        <w:rPr>
          <w:sz w:val="20"/>
          <w:szCs w:val="20"/>
        </w:rPr>
        <w:t xml:space="preserve"> million of its</w:t>
      </w:r>
      <w:r>
        <w:rPr>
          <w:sz w:val="20"/>
          <w:szCs w:val="20"/>
        </w:rPr>
        <w:t xml:space="preserve"> </w:t>
      </w:r>
      <w:r>
        <w:rPr>
          <w:sz w:val="20"/>
          <w:szCs w:val="20"/>
        </w:rPr>
        <w:t>4.62</w:t>
      </w:r>
      <w:r>
        <w:rPr>
          <w:sz w:val="20"/>
          <w:szCs w:val="20"/>
        </w:rPr>
        <w:t>5</w:t>
      </w:r>
      <w:r>
        <w:rPr>
          <w:sz w:val="20"/>
          <w:szCs w:val="20"/>
        </w:rPr>
        <w:t xml:space="preserve">% Senior Notes at an aggregate purchase price of </w:t>
      </w:r>
      <w:r>
        <w:rPr>
          <w:sz w:val="20"/>
          <w:szCs w:val="20"/>
        </w:rPr>
        <w:t>$</w:t>
      </w:r>
      <w:r>
        <w:rPr>
          <w:sz w:val="20"/>
          <w:szCs w:val="20"/>
        </w:rPr>
        <w:t>151.</w:t>
      </w:r>
      <w:r>
        <w:rPr>
          <w:sz w:val="20"/>
          <w:szCs w:val="20"/>
        </w:rPr>
        <w:t>2</w:t>
      </w:r>
      <w:r>
        <w:rPr>
          <w:sz w:val="20"/>
          <w:szCs w:val="20"/>
        </w:rPr>
        <w:t xml:space="preserve"> million in privately negotiated transactions, reducing the outstanding balance of the</w:t>
      </w:r>
      <w:r>
        <w:rPr>
          <w:sz w:val="20"/>
          <w:szCs w:val="20"/>
        </w:rPr>
        <w:t xml:space="preserve"> </w:t>
      </w:r>
      <w:r>
        <w:rPr>
          <w:sz w:val="20"/>
          <w:szCs w:val="20"/>
        </w:rPr>
        <w:t>4</w:t>
      </w:r>
      <w:r>
        <w:rPr>
          <w:sz w:val="20"/>
          <w:szCs w:val="20"/>
        </w:rPr>
        <w:t>.62</w:t>
      </w:r>
      <w:r>
        <w:rPr>
          <w:sz w:val="20"/>
          <w:szCs w:val="20"/>
        </w:rPr>
        <w:t>5</w:t>
      </w:r>
      <w:r>
        <w:rPr>
          <w:sz w:val="20"/>
          <w:szCs w:val="20"/>
        </w:rPr>
        <w:t xml:space="preserve">% Senior Notes, which was originally </w:t>
      </w:r>
      <w:r>
        <w:rPr>
          <w:sz w:val="20"/>
          <w:szCs w:val="20"/>
        </w:rPr>
        <w:t>$</w:t>
      </w:r>
      <w:r>
        <w:rPr>
          <w:sz w:val="20"/>
          <w:szCs w:val="20"/>
        </w:rPr>
        <w:t>350.</w:t>
      </w:r>
      <w:r>
        <w:rPr>
          <w:sz w:val="20"/>
          <w:szCs w:val="20"/>
        </w:rPr>
        <w:t>0</w:t>
      </w:r>
      <w:r>
        <w:rPr>
          <w:sz w:val="20"/>
          <w:szCs w:val="20"/>
        </w:rPr>
        <w:t xml:space="preserve"> million, to </w:t>
      </w:r>
      <w:r>
        <w:rPr>
          <w:sz w:val="20"/>
          <w:szCs w:val="20"/>
        </w:rPr>
        <w:t>$</w:t>
      </w:r>
      <w:r>
        <w:rPr>
          <w:sz w:val="20"/>
          <w:szCs w:val="20"/>
        </w:rPr>
        <w:t>201.</w:t>
      </w:r>
      <w:r>
        <w:rPr>
          <w:sz w:val="20"/>
          <w:szCs w:val="20"/>
        </w:rPr>
        <w:t>0</w:t>
      </w:r>
      <w:r>
        <w:rPr>
          <w:sz w:val="20"/>
          <w:szCs w:val="20"/>
        </w:rPr>
        <w:t xml:space="preserve"> million. In the second and fourth quarters of 2021, the Company purchased an additional </w:t>
      </w:r>
      <w:r>
        <w:rPr>
          <w:sz w:val="20"/>
          <w:szCs w:val="20"/>
        </w:rPr>
        <w:t>$</w:t>
      </w:r>
      <w:r>
        <w:rPr>
          <w:sz w:val="20"/>
          <w:szCs w:val="20"/>
        </w:rPr>
        <w:t>27.</w:t>
      </w:r>
      <w:r>
        <w:rPr>
          <w:sz w:val="20"/>
          <w:szCs w:val="20"/>
        </w:rPr>
        <w:t>3</w:t>
      </w:r>
      <w:r>
        <w:rPr>
          <w:sz w:val="20"/>
          <w:szCs w:val="20"/>
        </w:rPr>
        <w:t xml:space="preserve"> million of its</w:t>
      </w:r>
      <w:r>
        <w:rPr>
          <w:sz w:val="20"/>
          <w:szCs w:val="20"/>
        </w:rPr>
        <w:t xml:space="preserve"> </w:t>
      </w:r>
      <w:r>
        <w:rPr>
          <w:sz w:val="20"/>
          <w:szCs w:val="20"/>
        </w:rPr>
        <w:t>4.62</w:t>
      </w:r>
      <w:r>
        <w:rPr>
          <w:sz w:val="20"/>
          <w:szCs w:val="20"/>
        </w:rPr>
        <w:t>5</w:t>
      </w:r>
      <w:r>
        <w:rPr>
          <w:sz w:val="20"/>
          <w:szCs w:val="20"/>
        </w:rPr>
        <w:t xml:space="preserve">% Senior Notes, in the aggregate, at par in open market purchases, further </w:t>
      </w:r>
      <w:r>
        <w:rPr>
          <w:sz w:val="20"/>
          <w:szCs w:val="20"/>
        </w:rPr>
        <w:t>reducing the outstanding balance of the</w:t>
      </w:r>
      <w:r>
        <w:rPr>
          <w:sz w:val="20"/>
          <w:szCs w:val="20"/>
        </w:rPr>
        <w:t xml:space="preserve"> </w:t>
      </w:r>
      <w:r>
        <w:rPr>
          <w:sz w:val="20"/>
          <w:szCs w:val="20"/>
        </w:rPr>
        <w:t>4.62</w:t>
      </w:r>
      <w:r>
        <w:rPr>
          <w:sz w:val="20"/>
          <w:szCs w:val="20"/>
        </w:rPr>
        <w:t>5</w:t>
      </w:r>
      <w:r>
        <w:rPr>
          <w:sz w:val="20"/>
          <w:szCs w:val="20"/>
        </w:rPr>
        <w:t xml:space="preserve">% Senior Notes to </w:t>
      </w:r>
      <w:r>
        <w:rPr>
          <w:sz w:val="20"/>
          <w:szCs w:val="20"/>
        </w:rPr>
        <w:t>$</w:t>
      </w:r>
      <w:r>
        <w:rPr>
          <w:sz w:val="20"/>
          <w:szCs w:val="20"/>
        </w:rPr>
        <w:t>173.</w:t>
      </w:r>
      <w:r>
        <w:rPr>
          <w:sz w:val="20"/>
          <w:szCs w:val="20"/>
        </w:rPr>
        <w:t>7</w:t>
      </w:r>
      <w:r>
        <w:rPr>
          <w:sz w:val="20"/>
          <w:szCs w:val="20"/>
        </w:rPr>
        <w:t xml:space="preserve"> million. In addition, in the second and third quarters of 2022, the Company purchased an additional </w:t>
      </w:r>
      <w:r>
        <w:rPr>
          <w:sz w:val="20"/>
          <w:szCs w:val="20"/>
        </w:rPr>
        <w:t>$</w:t>
      </w:r>
      <w:r>
        <w:rPr>
          <w:sz w:val="20"/>
          <w:szCs w:val="20"/>
        </w:rPr>
        <w:t>7.</w:t>
      </w:r>
      <w:r>
        <w:rPr>
          <w:sz w:val="20"/>
          <w:szCs w:val="20"/>
        </w:rPr>
        <w:t>1</w:t>
      </w:r>
      <w:r>
        <w:rPr>
          <w:sz w:val="20"/>
          <w:szCs w:val="20"/>
        </w:rPr>
        <w:t xml:space="preserve"> million of the</w:t>
      </w:r>
      <w:r>
        <w:rPr>
          <w:sz w:val="20"/>
          <w:szCs w:val="20"/>
        </w:rPr>
        <w:t xml:space="preserve"> </w:t>
      </w:r>
      <w:r>
        <w:rPr>
          <w:sz w:val="20"/>
          <w:szCs w:val="20"/>
        </w:rPr>
        <w:t>4.62</w:t>
      </w:r>
      <w:r>
        <w:rPr>
          <w:sz w:val="20"/>
          <w:szCs w:val="20"/>
        </w:rPr>
        <w:t>5</w:t>
      </w:r>
      <w:r>
        <w:rPr>
          <w:sz w:val="20"/>
          <w:szCs w:val="20"/>
        </w:rPr>
        <w:t>% Senior Notes at a weighted average purchase price approxima</w:t>
      </w:r>
      <w:r>
        <w:rPr>
          <w:sz w:val="20"/>
          <w:szCs w:val="20"/>
        </w:rPr>
        <w:t>tely equal to par in open market purchases, reducing the outstanding balance of the</w:t>
      </w:r>
      <w:r>
        <w:rPr>
          <w:sz w:val="20"/>
          <w:szCs w:val="20"/>
        </w:rPr>
        <w:t xml:space="preserve"> </w:t>
      </w:r>
      <w:r>
        <w:rPr>
          <w:sz w:val="20"/>
          <w:szCs w:val="20"/>
        </w:rPr>
        <w:t>4.62</w:t>
      </w:r>
      <w:r>
        <w:rPr>
          <w:sz w:val="20"/>
          <w:szCs w:val="20"/>
        </w:rPr>
        <w:t>5</w:t>
      </w:r>
      <w:r>
        <w:rPr>
          <w:sz w:val="20"/>
          <w:szCs w:val="20"/>
        </w:rPr>
        <w:t xml:space="preserve">% Senior Notes to </w:t>
      </w:r>
      <w:r>
        <w:rPr>
          <w:sz w:val="20"/>
          <w:szCs w:val="20"/>
        </w:rPr>
        <w:t>$</w:t>
      </w:r>
      <w:r>
        <w:rPr>
          <w:sz w:val="20"/>
          <w:szCs w:val="20"/>
        </w:rPr>
        <w:t>166.</w:t>
      </w:r>
      <w:r>
        <w:rPr>
          <w:sz w:val="20"/>
          <w:szCs w:val="20"/>
        </w:rPr>
        <w:t>5</w:t>
      </w:r>
      <w:r>
        <w:rPr>
          <w:sz w:val="20"/>
          <w:szCs w:val="20"/>
        </w:rPr>
        <w:t xml:space="preserve"> million as of September 30, 2022.</w:t>
      </w:r>
      <w:r>
        <w:rPr>
          <w:sz w:val="20"/>
          <w:szCs w:val="20"/>
        </w:rPr>
        <w:t xml:space="preserve"> </w:t>
      </w:r>
      <w:r>
        <w:rPr>
          <w:sz w:val="20"/>
          <w:szCs w:val="20"/>
        </w:rPr>
        <w:t xml:space="preserve">CoreCivic recorded a charge of </w:t>
      </w:r>
      <w:r>
        <w:rPr>
          <w:sz w:val="20"/>
          <w:szCs w:val="20"/>
        </w:rPr>
        <w:t>$</w:t>
      </w:r>
      <w:r>
        <w:rPr>
          <w:sz w:val="20"/>
          <w:szCs w:val="20"/>
        </w:rPr>
        <w:t>0.</w:t>
      </w:r>
      <w:r>
        <w:rPr>
          <w:sz w:val="20"/>
          <w:szCs w:val="20"/>
        </w:rPr>
        <w:t>1</w:t>
      </w:r>
      <w:r>
        <w:rPr>
          <w:sz w:val="20"/>
          <w:szCs w:val="20"/>
        </w:rPr>
        <w:t xml:space="preserve"> million during the third quarter of 2022 for the write-off of a pro-rata</w:t>
      </w:r>
      <w:r>
        <w:rPr>
          <w:sz w:val="20"/>
          <w:szCs w:val="20"/>
        </w:rPr>
        <w:t xml:space="preserve"> portion of the pre-existing loan costs associated with the open market purchases of the</w:t>
      </w:r>
      <w:r>
        <w:rPr>
          <w:sz w:val="20"/>
          <w:szCs w:val="20"/>
        </w:rPr>
        <w:t xml:space="preserve"> </w:t>
      </w:r>
      <w:r>
        <w:rPr>
          <w:sz w:val="20"/>
          <w:szCs w:val="20"/>
        </w:rPr>
        <w:t>4.62</w:t>
      </w:r>
      <w:r>
        <w:rPr>
          <w:sz w:val="20"/>
          <w:szCs w:val="20"/>
        </w:rPr>
        <w:t>5</w:t>
      </w:r>
      <w:r>
        <w:rPr>
          <w:sz w:val="20"/>
          <w:szCs w:val="20"/>
        </w:rPr>
        <w:t>% Senior Notes, net of discounts to the principal balance of notes purchased</w:t>
      </w:r>
      <w:r>
        <w:rPr>
          <w:sz w:val="20"/>
          <w:szCs w:val="20"/>
        </w:rPr>
        <w:t>.</w:t>
      </w:r>
      <w:r>
        <w:rPr>
          <w:sz w:val="20"/>
          <w:szCs w:val="20"/>
        </w:rPr>
        <w:t xml:space="preserve"> </w:t>
      </w:r>
    </w:p>
    <w:p w14:paraId="25252790" w14:textId="77777777" w:rsidR="00000000" w:rsidRDefault="003A1B5D">
      <w:pPr>
        <w:pStyle w:val="a3"/>
        <w:spacing w:before="240" w:beforeAutospacing="0" w:after="0" w:afterAutospacing="0"/>
        <w:jc w:val="center"/>
        <w:divId w:val="1301567839"/>
        <w:rPr>
          <w:sz w:val="20"/>
          <w:szCs w:val="20"/>
        </w:rPr>
      </w:pPr>
      <w:r>
        <w:rPr>
          <w:sz w:val="20"/>
          <w:szCs w:val="20"/>
        </w:rPr>
        <w:t>1</w:t>
      </w:r>
      <w:r>
        <w:rPr>
          <w:sz w:val="20"/>
          <w:szCs w:val="20"/>
        </w:rPr>
        <w:t>2</w:t>
      </w:r>
    </w:p>
    <w:p w14:paraId="1D6B8D8A" w14:textId="77777777" w:rsidR="00000000" w:rsidRDefault="003A1B5D">
      <w:pPr>
        <w:divId w:val="1301567839"/>
        <w:rPr>
          <w:rFonts w:eastAsia="Times New Roman"/>
        </w:rPr>
      </w:pPr>
      <w:r>
        <w:rPr>
          <w:rFonts w:eastAsia="Times New Roman"/>
        </w:rPr>
        <w:pict w14:anchorId="730BD262">
          <v:rect id="_x0000_i1038" style="width:0;height:1.5pt" o:hralign="center" o:hrstd="t" o:hr="t" fillcolor="#a0a0a0" stroked="f"/>
        </w:pict>
      </w:r>
    </w:p>
    <w:p w14:paraId="4221B2E3" w14:textId="77777777" w:rsidR="00000000" w:rsidRDefault="003A1B5D">
      <w:pPr>
        <w:pStyle w:val="a3"/>
        <w:spacing w:before="0" w:beforeAutospacing="0" w:after="0" w:afterAutospacing="0"/>
        <w:divId w:val="1301567839"/>
        <w:rPr>
          <w:sz w:val="20"/>
          <w:szCs w:val="20"/>
        </w:rPr>
      </w:pPr>
      <w:r>
        <w:rPr>
          <w:sz w:val="20"/>
          <w:szCs w:val="20"/>
        </w:rPr>
        <w:t> </w:t>
      </w:r>
    </w:p>
    <w:p w14:paraId="21D87A72" w14:textId="77777777" w:rsidR="00000000" w:rsidRDefault="003A1B5D">
      <w:pPr>
        <w:pStyle w:val="a3"/>
        <w:spacing w:before="240" w:beforeAutospacing="0" w:after="0" w:afterAutospacing="0"/>
        <w:ind w:left="476"/>
        <w:jc w:val="both"/>
        <w:divId w:val="1301567839"/>
        <w:rPr>
          <w:sz w:val="20"/>
          <w:szCs w:val="20"/>
        </w:rPr>
      </w:pPr>
      <w:r>
        <w:rPr>
          <w:sz w:val="20"/>
          <w:szCs w:val="20"/>
        </w:rPr>
        <w:t>The "make-whole" redemption amount paid in</w:t>
      </w:r>
      <w:r>
        <w:rPr>
          <w:sz w:val="20"/>
          <w:szCs w:val="20"/>
        </w:rPr>
        <w:t xml:space="preserve"> connection with the redemption of the</w:t>
      </w:r>
      <w:r>
        <w:rPr>
          <w:sz w:val="20"/>
          <w:szCs w:val="20"/>
        </w:rPr>
        <w:t xml:space="preserve"> </w:t>
      </w:r>
      <w:r>
        <w:rPr>
          <w:sz w:val="20"/>
          <w:szCs w:val="20"/>
        </w:rPr>
        <w:t>5.</w:t>
      </w:r>
      <w:r>
        <w:rPr>
          <w:sz w:val="20"/>
          <w:szCs w:val="20"/>
        </w:rPr>
        <w:t>0</w:t>
      </w:r>
      <w:r>
        <w:rPr>
          <w:sz w:val="20"/>
          <w:szCs w:val="20"/>
        </w:rPr>
        <w:t>% Senior Notes, originally scheduled to mature on</w:t>
      </w:r>
      <w:r>
        <w:rPr>
          <w:sz w:val="20"/>
          <w:szCs w:val="20"/>
        </w:rPr>
        <w:t xml:space="preserve"> </w:t>
      </w:r>
      <w:r>
        <w:rPr>
          <w:sz w:val="20"/>
          <w:szCs w:val="20"/>
        </w:rPr>
        <w:t>October 15, 202</w:t>
      </w:r>
      <w:r>
        <w:rPr>
          <w:sz w:val="20"/>
          <w:szCs w:val="20"/>
        </w:rPr>
        <w:t>2</w:t>
      </w:r>
      <w:r>
        <w:rPr>
          <w:sz w:val="20"/>
          <w:szCs w:val="20"/>
        </w:rPr>
        <w:t>, and the aggregate price paid for the</w:t>
      </w:r>
      <w:r>
        <w:rPr>
          <w:sz w:val="20"/>
          <w:szCs w:val="20"/>
        </w:rPr>
        <w:t xml:space="preserve"> </w:t>
      </w:r>
      <w:r>
        <w:rPr>
          <w:sz w:val="20"/>
          <w:szCs w:val="20"/>
        </w:rPr>
        <w:t>4.62</w:t>
      </w:r>
      <w:r>
        <w:rPr>
          <w:sz w:val="20"/>
          <w:szCs w:val="20"/>
        </w:rPr>
        <w:t>5</w:t>
      </w:r>
      <w:r>
        <w:rPr>
          <w:sz w:val="20"/>
          <w:szCs w:val="20"/>
        </w:rPr>
        <w:t xml:space="preserve">% Senior Notes in excess of the principal amount of the notes repurchased resulted in charges of </w:t>
      </w:r>
      <w:r>
        <w:rPr>
          <w:sz w:val="20"/>
          <w:szCs w:val="20"/>
        </w:rPr>
        <w:t>$</w:t>
      </w:r>
      <w:r>
        <w:rPr>
          <w:sz w:val="20"/>
          <w:szCs w:val="20"/>
        </w:rPr>
        <w:t>19.</w:t>
      </w:r>
      <w:r>
        <w:rPr>
          <w:sz w:val="20"/>
          <w:szCs w:val="20"/>
        </w:rPr>
        <w:t>2</w:t>
      </w:r>
      <w:r>
        <w:rPr>
          <w:sz w:val="20"/>
          <w:szCs w:val="20"/>
        </w:rPr>
        <w:t xml:space="preserve"> m</w:t>
      </w:r>
      <w:r>
        <w:rPr>
          <w:sz w:val="20"/>
          <w:szCs w:val="20"/>
        </w:rPr>
        <w:t>illion during the second quarter of 2021, including costs associated with the repurchases and the proportionate write-off of existing debt issuance costs. The remaining net proceeds were used to pay down a portion of the amounts outstanding under the Previ</w:t>
      </w:r>
      <w:r>
        <w:rPr>
          <w:sz w:val="20"/>
          <w:szCs w:val="20"/>
        </w:rPr>
        <w:t>ous Bank Credit Facility and for general corporate purposes</w:t>
      </w:r>
      <w:r>
        <w:rPr>
          <w:sz w:val="20"/>
          <w:szCs w:val="20"/>
        </w:rPr>
        <w:t>.</w:t>
      </w:r>
      <w:r>
        <w:rPr>
          <w:sz w:val="20"/>
          <w:szCs w:val="20"/>
        </w:rPr>
        <w:t xml:space="preserve"> </w:t>
      </w:r>
    </w:p>
    <w:p w14:paraId="08DE21F0" w14:textId="77777777" w:rsidR="00000000" w:rsidRDefault="003A1B5D">
      <w:pPr>
        <w:pStyle w:val="a3"/>
        <w:spacing w:before="240" w:beforeAutospacing="0" w:after="0" w:afterAutospacing="0"/>
        <w:ind w:left="476"/>
        <w:jc w:val="both"/>
        <w:divId w:val="1301567839"/>
        <w:rPr>
          <w:sz w:val="20"/>
          <w:szCs w:val="20"/>
        </w:rPr>
      </w:pPr>
      <w:r>
        <w:rPr>
          <w:sz w:val="20"/>
          <w:szCs w:val="20"/>
        </w:rPr>
        <w:t xml:space="preserve">On September 29, 2021, CoreCivic completed an underwritten registered tack-on offering of </w:t>
      </w:r>
      <w:r>
        <w:rPr>
          <w:sz w:val="20"/>
          <w:szCs w:val="20"/>
        </w:rPr>
        <w:t>$</w:t>
      </w:r>
      <w:r>
        <w:rPr>
          <w:sz w:val="20"/>
          <w:szCs w:val="20"/>
        </w:rPr>
        <w:t>225.</w:t>
      </w:r>
      <w:r>
        <w:rPr>
          <w:sz w:val="20"/>
          <w:szCs w:val="20"/>
        </w:rPr>
        <w:t>0</w:t>
      </w:r>
      <w:r>
        <w:rPr>
          <w:sz w:val="20"/>
          <w:szCs w:val="20"/>
        </w:rPr>
        <w:t xml:space="preserve"> million in aggregate principal amount of</w:t>
      </w:r>
      <w:r>
        <w:rPr>
          <w:sz w:val="20"/>
          <w:szCs w:val="20"/>
        </w:rPr>
        <w:t xml:space="preserve"> </w:t>
      </w:r>
      <w:r>
        <w:rPr>
          <w:sz w:val="20"/>
          <w:szCs w:val="20"/>
        </w:rPr>
        <w:t>8.2</w:t>
      </w:r>
      <w:r>
        <w:rPr>
          <w:sz w:val="20"/>
          <w:szCs w:val="20"/>
        </w:rPr>
        <w:t>5</w:t>
      </w:r>
      <w:r>
        <w:rPr>
          <w:sz w:val="20"/>
          <w:szCs w:val="20"/>
        </w:rPr>
        <w:t>% Senior Notes due 2026 (the "Additional</w:t>
      </w:r>
      <w:r>
        <w:rPr>
          <w:sz w:val="20"/>
          <w:szCs w:val="20"/>
        </w:rPr>
        <w:t xml:space="preserve"> </w:t>
      </w:r>
      <w:r>
        <w:rPr>
          <w:sz w:val="20"/>
          <w:szCs w:val="20"/>
        </w:rPr>
        <w:t>8.2</w:t>
      </w:r>
      <w:r>
        <w:rPr>
          <w:sz w:val="20"/>
          <w:szCs w:val="20"/>
        </w:rPr>
        <w:t>5</w:t>
      </w:r>
      <w:r>
        <w:rPr>
          <w:sz w:val="20"/>
          <w:szCs w:val="20"/>
        </w:rPr>
        <w:t>% Senio</w:t>
      </w:r>
      <w:r>
        <w:rPr>
          <w:sz w:val="20"/>
          <w:szCs w:val="20"/>
        </w:rPr>
        <w:t>r Notes") at an issue price of</w:t>
      </w:r>
      <w:r>
        <w:rPr>
          <w:sz w:val="20"/>
          <w:szCs w:val="20"/>
        </w:rPr>
        <w:t xml:space="preserve"> </w:t>
      </w:r>
      <w:r>
        <w:rPr>
          <w:sz w:val="20"/>
          <w:szCs w:val="20"/>
        </w:rPr>
        <w:t>102.2</w:t>
      </w:r>
      <w:r>
        <w:rPr>
          <w:sz w:val="20"/>
          <w:szCs w:val="20"/>
        </w:rPr>
        <w:t>5</w:t>
      </w:r>
      <w:r>
        <w:rPr>
          <w:sz w:val="20"/>
          <w:szCs w:val="20"/>
        </w:rPr>
        <w:t>% of their aggregate principal amount, plus accrued interest from the April 14, 2021 issue date for the Original</w:t>
      </w:r>
      <w:r>
        <w:rPr>
          <w:sz w:val="20"/>
          <w:szCs w:val="20"/>
        </w:rPr>
        <w:t xml:space="preserve"> </w:t>
      </w:r>
      <w:r>
        <w:rPr>
          <w:sz w:val="20"/>
          <w:szCs w:val="20"/>
        </w:rPr>
        <w:t>8.2</w:t>
      </w:r>
      <w:r>
        <w:rPr>
          <w:sz w:val="20"/>
          <w:szCs w:val="20"/>
        </w:rPr>
        <w:t>5</w:t>
      </w:r>
      <w:r>
        <w:rPr>
          <w:sz w:val="20"/>
          <w:szCs w:val="20"/>
        </w:rPr>
        <w:t>% Senior Notes, resulting in an effective yield to maturity of</w:t>
      </w:r>
      <w:r>
        <w:rPr>
          <w:sz w:val="20"/>
          <w:szCs w:val="20"/>
        </w:rPr>
        <w:t xml:space="preserve"> </w:t>
      </w:r>
      <w:r>
        <w:rPr>
          <w:sz w:val="20"/>
          <w:szCs w:val="20"/>
        </w:rPr>
        <w:t>7.6</w:t>
      </w:r>
      <w:r>
        <w:rPr>
          <w:sz w:val="20"/>
          <w:szCs w:val="20"/>
        </w:rPr>
        <w:t>5</w:t>
      </w:r>
      <w:r>
        <w:rPr>
          <w:sz w:val="20"/>
          <w:szCs w:val="20"/>
        </w:rPr>
        <w:t>% for the Additional</w:t>
      </w:r>
      <w:r>
        <w:rPr>
          <w:sz w:val="20"/>
          <w:szCs w:val="20"/>
        </w:rPr>
        <w:t xml:space="preserve"> </w:t>
      </w:r>
      <w:r>
        <w:rPr>
          <w:sz w:val="20"/>
          <w:szCs w:val="20"/>
        </w:rPr>
        <w:t>8.2</w:t>
      </w:r>
      <w:r>
        <w:rPr>
          <w:sz w:val="20"/>
          <w:szCs w:val="20"/>
        </w:rPr>
        <w:t>5</w:t>
      </w:r>
      <w:r>
        <w:rPr>
          <w:sz w:val="20"/>
          <w:szCs w:val="20"/>
        </w:rPr>
        <w:t>% Senior N</w:t>
      </w:r>
      <w:r>
        <w:rPr>
          <w:sz w:val="20"/>
          <w:szCs w:val="20"/>
        </w:rPr>
        <w:t>otes. The Additional</w:t>
      </w:r>
      <w:r>
        <w:rPr>
          <w:sz w:val="20"/>
          <w:szCs w:val="20"/>
        </w:rPr>
        <w:t xml:space="preserve"> </w:t>
      </w:r>
      <w:r>
        <w:rPr>
          <w:sz w:val="20"/>
          <w:szCs w:val="20"/>
        </w:rPr>
        <w:t>8.2</w:t>
      </w:r>
      <w:r>
        <w:rPr>
          <w:sz w:val="20"/>
          <w:szCs w:val="20"/>
        </w:rPr>
        <w:t>5</w:t>
      </w:r>
      <w:r>
        <w:rPr>
          <w:sz w:val="20"/>
          <w:szCs w:val="20"/>
        </w:rPr>
        <w:t>% Senior Notes and the Original</w:t>
      </w:r>
      <w:r>
        <w:rPr>
          <w:sz w:val="20"/>
          <w:szCs w:val="20"/>
        </w:rPr>
        <w:t xml:space="preserve"> </w:t>
      </w:r>
      <w:r>
        <w:rPr>
          <w:sz w:val="20"/>
          <w:szCs w:val="20"/>
        </w:rPr>
        <w:t>8.2</w:t>
      </w:r>
      <w:r>
        <w:rPr>
          <w:sz w:val="20"/>
          <w:szCs w:val="20"/>
        </w:rPr>
        <w:t>5</w:t>
      </w:r>
      <w:r>
        <w:rPr>
          <w:sz w:val="20"/>
          <w:szCs w:val="20"/>
        </w:rPr>
        <w:t>% Senior Notes, together the</w:t>
      </w:r>
      <w:r>
        <w:rPr>
          <w:sz w:val="20"/>
          <w:szCs w:val="20"/>
        </w:rPr>
        <w:t xml:space="preserve"> </w:t>
      </w:r>
      <w:r>
        <w:rPr>
          <w:sz w:val="20"/>
          <w:szCs w:val="20"/>
        </w:rPr>
        <w:t>8.2</w:t>
      </w:r>
      <w:r>
        <w:rPr>
          <w:sz w:val="20"/>
          <w:szCs w:val="20"/>
        </w:rPr>
        <w:t>5</w:t>
      </w:r>
      <w:r>
        <w:rPr>
          <w:sz w:val="20"/>
          <w:szCs w:val="20"/>
        </w:rPr>
        <w:t>% Senior Notes, constitute a single class of securities and have identical terms, other than issue date and issue price. The issuance of the Additional</w:t>
      </w:r>
      <w:r>
        <w:rPr>
          <w:sz w:val="20"/>
          <w:szCs w:val="20"/>
        </w:rPr>
        <w:t xml:space="preserve"> </w:t>
      </w:r>
      <w:r>
        <w:rPr>
          <w:sz w:val="20"/>
          <w:szCs w:val="20"/>
        </w:rPr>
        <w:t>8.2</w:t>
      </w:r>
      <w:r>
        <w:rPr>
          <w:sz w:val="20"/>
          <w:szCs w:val="20"/>
        </w:rPr>
        <w:t>5</w:t>
      </w:r>
      <w:r>
        <w:rPr>
          <w:sz w:val="20"/>
          <w:szCs w:val="20"/>
        </w:rPr>
        <w:t>% Seni</w:t>
      </w:r>
      <w:r>
        <w:rPr>
          <w:sz w:val="20"/>
          <w:szCs w:val="20"/>
        </w:rPr>
        <w:t>or Notes increased the total aggregate principal amount of</w:t>
      </w:r>
      <w:r>
        <w:rPr>
          <w:sz w:val="20"/>
          <w:szCs w:val="20"/>
        </w:rPr>
        <w:t xml:space="preserve"> </w:t>
      </w:r>
      <w:r>
        <w:rPr>
          <w:sz w:val="20"/>
          <w:szCs w:val="20"/>
        </w:rPr>
        <w:t>8.2</w:t>
      </w:r>
      <w:r>
        <w:rPr>
          <w:sz w:val="20"/>
          <w:szCs w:val="20"/>
        </w:rPr>
        <w:t>5</w:t>
      </w:r>
      <w:r>
        <w:rPr>
          <w:sz w:val="20"/>
          <w:szCs w:val="20"/>
        </w:rPr>
        <w:t xml:space="preserve">% Senior Notes outstanding to </w:t>
      </w:r>
      <w:r>
        <w:rPr>
          <w:sz w:val="20"/>
          <w:szCs w:val="20"/>
        </w:rPr>
        <w:t>$</w:t>
      </w:r>
      <w:r>
        <w:rPr>
          <w:sz w:val="20"/>
          <w:szCs w:val="20"/>
        </w:rPr>
        <w:t>675.</w:t>
      </w:r>
      <w:r>
        <w:rPr>
          <w:sz w:val="20"/>
          <w:szCs w:val="20"/>
        </w:rPr>
        <w:t>0</w:t>
      </w:r>
      <w:r>
        <w:rPr>
          <w:sz w:val="20"/>
          <w:szCs w:val="20"/>
        </w:rPr>
        <w:t xml:space="preserve"> million. The net proceeds from the issuance of the Additional</w:t>
      </w:r>
      <w:r>
        <w:rPr>
          <w:sz w:val="20"/>
          <w:szCs w:val="20"/>
        </w:rPr>
        <w:t xml:space="preserve"> </w:t>
      </w:r>
      <w:r>
        <w:rPr>
          <w:sz w:val="20"/>
          <w:szCs w:val="20"/>
        </w:rPr>
        <w:t>8.2</w:t>
      </w:r>
      <w:r>
        <w:rPr>
          <w:sz w:val="20"/>
          <w:szCs w:val="20"/>
        </w:rPr>
        <w:t>5</w:t>
      </w:r>
      <w:r>
        <w:rPr>
          <w:sz w:val="20"/>
          <w:szCs w:val="20"/>
        </w:rPr>
        <w:t xml:space="preserve">% Senior Notes totaled approximately </w:t>
      </w:r>
      <w:r>
        <w:rPr>
          <w:sz w:val="20"/>
          <w:szCs w:val="20"/>
        </w:rPr>
        <w:t>$</w:t>
      </w:r>
      <w:r>
        <w:rPr>
          <w:sz w:val="20"/>
          <w:szCs w:val="20"/>
        </w:rPr>
        <w:t>225.</w:t>
      </w:r>
      <w:r>
        <w:rPr>
          <w:sz w:val="20"/>
          <w:szCs w:val="20"/>
        </w:rPr>
        <w:t>5</w:t>
      </w:r>
      <w:r>
        <w:rPr>
          <w:sz w:val="20"/>
          <w:szCs w:val="20"/>
        </w:rPr>
        <w:t xml:space="preserve"> million, after deducting the underwriting disc</w:t>
      </w:r>
      <w:r>
        <w:rPr>
          <w:sz w:val="20"/>
          <w:szCs w:val="20"/>
        </w:rPr>
        <w:t>ounts and estimated offering expenses and including the original issuance premium. The net proceeds from the offering of the Additional</w:t>
      </w:r>
      <w:r>
        <w:rPr>
          <w:sz w:val="20"/>
          <w:szCs w:val="20"/>
        </w:rPr>
        <w:t xml:space="preserve"> </w:t>
      </w:r>
      <w:r>
        <w:rPr>
          <w:sz w:val="20"/>
          <w:szCs w:val="20"/>
        </w:rPr>
        <w:t>8.2</w:t>
      </w:r>
      <w:r>
        <w:rPr>
          <w:sz w:val="20"/>
          <w:szCs w:val="20"/>
        </w:rPr>
        <w:t>5</w:t>
      </w:r>
      <w:r>
        <w:rPr>
          <w:sz w:val="20"/>
          <w:szCs w:val="20"/>
        </w:rPr>
        <w:t>% Senior Notes were used to pay down our Previous Revolving Credit Facility and for general corporate purposes. In t</w:t>
      </w:r>
      <w:r>
        <w:rPr>
          <w:sz w:val="20"/>
          <w:szCs w:val="20"/>
        </w:rPr>
        <w:t xml:space="preserve">he third quarter of 2022, the Company purchased </w:t>
      </w:r>
      <w:r>
        <w:rPr>
          <w:sz w:val="20"/>
          <w:szCs w:val="20"/>
        </w:rPr>
        <w:t>$</w:t>
      </w:r>
      <w:r>
        <w:rPr>
          <w:sz w:val="20"/>
          <w:szCs w:val="20"/>
        </w:rPr>
        <w:t>33.</w:t>
      </w:r>
      <w:r>
        <w:rPr>
          <w:sz w:val="20"/>
          <w:szCs w:val="20"/>
        </w:rPr>
        <w:t>5</w:t>
      </w:r>
      <w:r>
        <w:rPr>
          <w:sz w:val="20"/>
          <w:szCs w:val="20"/>
        </w:rPr>
        <w:t xml:space="preserve"> million of the</w:t>
      </w:r>
      <w:r>
        <w:rPr>
          <w:sz w:val="20"/>
          <w:szCs w:val="20"/>
        </w:rPr>
        <w:t xml:space="preserve"> </w:t>
      </w:r>
      <w:r>
        <w:rPr>
          <w:sz w:val="20"/>
          <w:szCs w:val="20"/>
        </w:rPr>
        <w:t>8.2</w:t>
      </w:r>
      <w:r>
        <w:rPr>
          <w:sz w:val="20"/>
          <w:szCs w:val="20"/>
        </w:rPr>
        <w:t>5</w:t>
      </w:r>
      <w:r>
        <w:rPr>
          <w:sz w:val="20"/>
          <w:szCs w:val="20"/>
        </w:rPr>
        <w:t>% Senior Notes at a weighted average purchase price approximately equal to par in open market purchases, reducing the outstanding balance of the</w:t>
      </w:r>
      <w:r>
        <w:rPr>
          <w:sz w:val="20"/>
          <w:szCs w:val="20"/>
        </w:rPr>
        <w:t xml:space="preserve"> </w:t>
      </w:r>
      <w:r>
        <w:rPr>
          <w:sz w:val="20"/>
          <w:szCs w:val="20"/>
        </w:rPr>
        <w:t>8.2</w:t>
      </w:r>
      <w:r>
        <w:rPr>
          <w:sz w:val="20"/>
          <w:szCs w:val="20"/>
        </w:rPr>
        <w:t>5</w:t>
      </w:r>
      <w:r>
        <w:rPr>
          <w:sz w:val="20"/>
          <w:szCs w:val="20"/>
        </w:rPr>
        <w:t xml:space="preserve">% Senior Notes to </w:t>
      </w:r>
      <w:r>
        <w:rPr>
          <w:sz w:val="20"/>
          <w:szCs w:val="20"/>
        </w:rPr>
        <w:t>$</w:t>
      </w:r>
      <w:r>
        <w:rPr>
          <w:sz w:val="20"/>
          <w:szCs w:val="20"/>
        </w:rPr>
        <w:t>641.</w:t>
      </w:r>
      <w:r>
        <w:rPr>
          <w:sz w:val="20"/>
          <w:szCs w:val="20"/>
        </w:rPr>
        <w:t>5</w:t>
      </w:r>
      <w:r>
        <w:rPr>
          <w:sz w:val="20"/>
          <w:szCs w:val="20"/>
        </w:rPr>
        <w:t xml:space="preserve"> million a</w:t>
      </w:r>
      <w:r>
        <w:rPr>
          <w:sz w:val="20"/>
          <w:szCs w:val="20"/>
        </w:rPr>
        <w:t>s of September 30, 2022.</w:t>
      </w:r>
      <w:r>
        <w:rPr>
          <w:sz w:val="20"/>
          <w:szCs w:val="20"/>
        </w:rPr>
        <w:t xml:space="preserve"> </w:t>
      </w:r>
      <w:r>
        <w:rPr>
          <w:sz w:val="20"/>
          <w:szCs w:val="20"/>
        </w:rPr>
        <w:t xml:space="preserve">CoreCivic recorded a charge of </w:t>
      </w:r>
      <w:r>
        <w:rPr>
          <w:sz w:val="20"/>
          <w:szCs w:val="20"/>
        </w:rPr>
        <w:t>$</w:t>
      </w:r>
      <w:r>
        <w:rPr>
          <w:sz w:val="20"/>
          <w:szCs w:val="20"/>
        </w:rPr>
        <w:t>0.</w:t>
      </w:r>
      <w:r>
        <w:rPr>
          <w:sz w:val="20"/>
          <w:szCs w:val="20"/>
        </w:rPr>
        <w:t>7</w:t>
      </w:r>
      <w:r>
        <w:rPr>
          <w:sz w:val="20"/>
          <w:szCs w:val="20"/>
        </w:rPr>
        <w:t xml:space="preserve"> million during the third quarter of 2022 for the write-off of a pro-rata portion of the pre-existing loan costs associated with the open market purchases of the</w:t>
      </w:r>
      <w:r>
        <w:rPr>
          <w:sz w:val="20"/>
          <w:szCs w:val="20"/>
        </w:rPr>
        <w:t xml:space="preserve"> </w:t>
      </w:r>
      <w:r>
        <w:rPr>
          <w:sz w:val="20"/>
          <w:szCs w:val="20"/>
        </w:rPr>
        <w:t>8.2</w:t>
      </w:r>
      <w:r>
        <w:rPr>
          <w:sz w:val="20"/>
          <w:szCs w:val="20"/>
        </w:rPr>
        <w:t>5</w:t>
      </w:r>
      <w:r>
        <w:rPr>
          <w:sz w:val="20"/>
          <w:szCs w:val="20"/>
        </w:rPr>
        <w:t>% Senior Notes, net of discoun</w:t>
      </w:r>
      <w:r>
        <w:rPr>
          <w:sz w:val="20"/>
          <w:szCs w:val="20"/>
        </w:rPr>
        <w:t>ts to the principal balance of notes purchased</w:t>
      </w:r>
      <w:r>
        <w:rPr>
          <w:sz w:val="20"/>
          <w:szCs w:val="20"/>
        </w:rPr>
        <w:t>.</w:t>
      </w:r>
      <w:r>
        <w:rPr>
          <w:sz w:val="20"/>
          <w:szCs w:val="20"/>
        </w:rPr>
        <w:t xml:space="preserve"> </w:t>
      </w:r>
    </w:p>
    <w:p w14:paraId="4CC8A258" w14:textId="77777777" w:rsidR="00000000" w:rsidRDefault="003A1B5D">
      <w:pPr>
        <w:pStyle w:val="a3"/>
        <w:spacing w:before="240" w:beforeAutospacing="0" w:after="0" w:afterAutospacing="0"/>
        <w:ind w:left="476"/>
        <w:jc w:val="both"/>
        <w:divId w:val="1301567839"/>
        <w:rPr>
          <w:sz w:val="20"/>
          <w:szCs w:val="20"/>
        </w:rPr>
      </w:pPr>
      <w:r>
        <w:rPr>
          <w:i/>
          <w:iCs/>
          <w:sz w:val="20"/>
          <w:szCs w:val="20"/>
        </w:rPr>
        <w:t>Lansing Correctional Facility Non-Recourse Mortgage Note.</w:t>
      </w:r>
      <w:r>
        <w:rPr>
          <w:i/>
          <w:iCs/>
          <w:sz w:val="20"/>
          <w:szCs w:val="20"/>
        </w:rPr>
        <w:t xml:space="preserve"> </w:t>
      </w:r>
      <w:r>
        <w:rPr>
          <w:sz w:val="20"/>
          <w:szCs w:val="20"/>
        </w:rPr>
        <w:t xml:space="preserve">On April 20, 2018, CoreCivic of Kansas, LLC (the "Issuer"), a wholly-owned unrestricted subsidiary of the Company, priced </w:t>
      </w:r>
      <w:r>
        <w:rPr>
          <w:sz w:val="20"/>
          <w:szCs w:val="20"/>
        </w:rPr>
        <w:t>$</w:t>
      </w:r>
      <w:r>
        <w:rPr>
          <w:sz w:val="20"/>
          <w:szCs w:val="20"/>
        </w:rPr>
        <w:t>159.</w:t>
      </w:r>
      <w:r>
        <w:rPr>
          <w:sz w:val="20"/>
          <w:szCs w:val="20"/>
        </w:rPr>
        <w:t>5</w:t>
      </w:r>
      <w:r>
        <w:rPr>
          <w:sz w:val="20"/>
          <w:szCs w:val="20"/>
        </w:rPr>
        <w:t xml:space="preserve"> million in aggregate</w:t>
      </w:r>
      <w:r>
        <w:rPr>
          <w:sz w:val="20"/>
          <w:szCs w:val="20"/>
        </w:rPr>
        <w:t xml:space="preserve"> principal amount of non-recourse senior secured notes of the Issuer (the "Kansas Notes"), in a private placement pursuant to Section 4(a)(2) of the Securities Act of 1933, as amended. The private placement closed on June 1, 2018. The Company used the proc</w:t>
      </w:r>
      <w:r>
        <w:rPr>
          <w:sz w:val="20"/>
          <w:szCs w:val="20"/>
        </w:rPr>
        <w:t>eeds of the private placement, which were drawn on quarterly funding dates beginning in the second quarter of 2018, to fund construction of the Lansing Correctional Facility, along with costs and expenses of the project. The Kansas Notes have a yield to ma</w:t>
      </w:r>
      <w:r>
        <w:rPr>
          <w:sz w:val="20"/>
          <w:szCs w:val="20"/>
        </w:rPr>
        <w:t>turity of</w:t>
      </w:r>
      <w:r>
        <w:rPr>
          <w:sz w:val="20"/>
          <w:szCs w:val="20"/>
        </w:rPr>
        <w:t xml:space="preserve"> </w:t>
      </w:r>
      <w:r>
        <w:rPr>
          <w:sz w:val="20"/>
          <w:szCs w:val="20"/>
        </w:rPr>
        <w:t>4.4</w:t>
      </w:r>
      <w:r>
        <w:rPr>
          <w:sz w:val="20"/>
          <w:szCs w:val="20"/>
        </w:rPr>
        <w:t>3</w:t>
      </w:r>
      <w:r>
        <w:rPr>
          <w:sz w:val="20"/>
          <w:szCs w:val="20"/>
        </w:rPr>
        <w:t>% and are scheduled to mature in</w:t>
      </w:r>
      <w:r>
        <w:rPr>
          <w:sz w:val="20"/>
          <w:szCs w:val="20"/>
        </w:rPr>
        <w:t xml:space="preserve"> </w:t>
      </w:r>
      <w:r>
        <w:rPr>
          <w:sz w:val="20"/>
          <w:szCs w:val="20"/>
        </w:rPr>
        <w:t>January 204</w:t>
      </w:r>
      <w:r>
        <w:rPr>
          <w:sz w:val="20"/>
          <w:szCs w:val="20"/>
        </w:rPr>
        <w:t>0</w:t>
      </w:r>
      <w:r>
        <w:rPr>
          <w:sz w:val="20"/>
          <w:szCs w:val="20"/>
        </w:rPr>
        <w:t>,</w:t>
      </w:r>
      <w:r>
        <w:rPr>
          <w:sz w:val="20"/>
          <w:szCs w:val="20"/>
        </w:rPr>
        <w:t xml:space="preserve"> </w:t>
      </w:r>
      <w:r>
        <w:rPr>
          <w:sz w:val="20"/>
          <w:szCs w:val="20"/>
        </w:rPr>
        <w:t>2</w:t>
      </w:r>
      <w:r>
        <w:rPr>
          <w:sz w:val="20"/>
          <w:szCs w:val="20"/>
        </w:rPr>
        <w:t>0</w:t>
      </w:r>
      <w:r>
        <w:rPr>
          <w:sz w:val="20"/>
          <w:szCs w:val="20"/>
        </w:rPr>
        <w:t xml:space="preserve"> years following completion of the project, which occurred in</w:t>
      </w:r>
      <w:r>
        <w:rPr>
          <w:sz w:val="20"/>
          <w:szCs w:val="20"/>
        </w:rPr>
        <w:t xml:space="preserve"> </w:t>
      </w:r>
      <w:r>
        <w:rPr>
          <w:sz w:val="20"/>
          <w:szCs w:val="20"/>
        </w:rPr>
        <w:t>January 202</w:t>
      </w:r>
      <w:r>
        <w:rPr>
          <w:sz w:val="20"/>
          <w:szCs w:val="20"/>
        </w:rPr>
        <w:t>0</w:t>
      </w:r>
      <w:r>
        <w:rPr>
          <w:sz w:val="20"/>
          <w:szCs w:val="20"/>
        </w:rPr>
        <w:t>. Principal and interest on the Kansas Notes are payable in quarterly payments, which began in July 2020 and continue u</w:t>
      </w:r>
      <w:r>
        <w:rPr>
          <w:sz w:val="20"/>
          <w:szCs w:val="20"/>
        </w:rPr>
        <w:t>ntil maturity. CoreCivic may redeem all or part of the Kansas Notes at any time upon written notice of not less than 30 days and not more than 60 days prior to the date fixed for such prepayment, with a "make-whole" amount, together with interest on the Ka</w:t>
      </w:r>
      <w:r>
        <w:rPr>
          <w:sz w:val="20"/>
          <w:szCs w:val="20"/>
        </w:rPr>
        <w:t xml:space="preserve">nsas Notes accrued to, but not including, the redemption date. CoreCivic capitalized approximately </w:t>
      </w:r>
      <w:r>
        <w:rPr>
          <w:sz w:val="20"/>
          <w:szCs w:val="20"/>
        </w:rPr>
        <w:t>$</w:t>
      </w:r>
      <w:r>
        <w:rPr>
          <w:sz w:val="20"/>
          <w:szCs w:val="20"/>
        </w:rPr>
        <w:t>3.</w:t>
      </w:r>
      <w:r>
        <w:rPr>
          <w:sz w:val="20"/>
          <w:szCs w:val="20"/>
        </w:rPr>
        <w:t>4</w:t>
      </w:r>
      <w:r>
        <w:rPr>
          <w:sz w:val="20"/>
          <w:szCs w:val="20"/>
        </w:rPr>
        <w:t xml:space="preserve"> million of costs associated with the private placement. Because the Issuer has been designated as an unrestricted subsidiary of the Company under terms </w:t>
      </w:r>
      <w:r>
        <w:rPr>
          <w:sz w:val="20"/>
          <w:szCs w:val="20"/>
        </w:rPr>
        <w:t>of the Company's Credit Agreements, the issuance and service of the Kansas Notes, and the revenues and expenses associated with the facility lease, do not impact the financial covenants associated with the Company's Credit Agreements. As of</w:t>
      </w:r>
      <w:r>
        <w:rPr>
          <w:sz w:val="20"/>
          <w:szCs w:val="20"/>
        </w:rPr>
        <w:t xml:space="preserve"> </w:t>
      </w:r>
      <w:r>
        <w:rPr>
          <w:sz w:val="20"/>
          <w:szCs w:val="20"/>
        </w:rPr>
        <w:t>September 30, 2</w:t>
      </w:r>
      <w:r>
        <w:rPr>
          <w:sz w:val="20"/>
          <w:szCs w:val="20"/>
        </w:rPr>
        <w:t>022, the outstanding balance of the Kansas Notes was</w:t>
      </w:r>
      <w:r>
        <w:rPr>
          <w:sz w:val="20"/>
          <w:szCs w:val="20"/>
        </w:rPr>
        <w:t xml:space="preserve"> </w:t>
      </w:r>
      <w:r>
        <w:rPr>
          <w:sz w:val="20"/>
          <w:szCs w:val="20"/>
        </w:rPr>
        <w:t>$</w:t>
      </w:r>
      <w:r>
        <w:rPr>
          <w:sz w:val="20"/>
          <w:szCs w:val="20"/>
        </w:rPr>
        <w:t>151.</w:t>
      </w:r>
      <w:r>
        <w:rPr>
          <w:sz w:val="20"/>
          <w:szCs w:val="20"/>
        </w:rPr>
        <w:t>6</w:t>
      </w:r>
      <w:r>
        <w:rPr>
          <w:sz w:val="20"/>
          <w:szCs w:val="20"/>
        </w:rPr>
        <w:t xml:space="preserve"> millio</w:t>
      </w:r>
      <w:r>
        <w:rPr>
          <w:sz w:val="20"/>
          <w:szCs w:val="20"/>
        </w:rPr>
        <w:t>n</w:t>
      </w:r>
      <w:r>
        <w:rPr>
          <w:sz w:val="20"/>
          <w:szCs w:val="20"/>
        </w:rPr>
        <w:t>.</w:t>
      </w:r>
    </w:p>
    <w:p w14:paraId="4808DF9D" w14:textId="77777777" w:rsidR="00000000" w:rsidRDefault="003A1B5D">
      <w:pPr>
        <w:pStyle w:val="a3"/>
        <w:spacing w:before="0" w:beforeAutospacing="0" w:after="0" w:afterAutospacing="0"/>
        <w:jc w:val="both"/>
        <w:divId w:val="1301567839"/>
        <w:rPr>
          <w:sz w:val="20"/>
          <w:szCs w:val="20"/>
        </w:rPr>
      </w:pPr>
      <w:r>
        <w:rPr>
          <w:sz w:val="20"/>
          <w:szCs w:val="20"/>
        </w:rPr>
        <w:t> </w:t>
      </w:r>
    </w:p>
    <w:p w14:paraId="1777551E" w14:textId="77777777" w:rsidR="00000000" w:rsidRDefault="003A1B5D">
      <w:pPr>
        <w:pStyle w:val="a3"/>
        <w:spacing w:before="120" w:beforeAutospacing="0" w:after="0" w:afterAutospacing="0"/>
        <w:ind w:left="476"/>
        <w:jc w:val="both"/>
        <w:divId w:val="1301567839"/>
        <w:rPr>
          <w:sz w:val="20"/>
          <w:szCs w:val="20"/>
        </w:rPr>
      </w:pPr>
      <w:r>
        <w:rPr>
          <w:i/>
          <w:iCs/>
          <w:sz w:val="20"/>
          <w:szCs w:val="20"/>
        </w:rPr>
        <w:t>Debt Maturities</w:t>
      </w:r>
      <w:r>
        <w:rPr>
          <w:i/>
          <w:iCs/>
          <w:sz w:val="20"/>
          <w:szCs w:val="20"/>
        </w:rPr>
        <w:t>.</w:t>
      </w:r>
      <w:r>
        <w:rPr>
          <w:sz w:val="20"/>
          <w:szCs w:val="20"/>
        </w:rPr>
        <w:t xml:space="preserve"> </w:t>
      </w:r>
      <w:r>
        <w:rPr>
          <w:sz w:val="20"/>
          <w:szCs w:val="20"/>
        </w:rPr>
        <w:t>Scheduled principal payments as of</w:t>
      </w:r>
      <w:r>
        <w:rPr>
          <w:sz w:val="20"/>
          <w:szCs w:val="20"/>
        </w:rPr>
        <w:t xml:space="preserve"> </w:t>
      </w:r>
      <w:r>
        <w:rPr>
          <w:sz w:val="20"/>
          <w:szCs w:val="20"/>
        </w:rPr>
        <w:t>September 30, 2022 for the remainder of 202</w:t>
      </w:r>
      <w:r>
        <w:rPr>
          <w:sz w:val="20"/>
          <w:szCs w:val="20"/>
        </w:rPr>
        <w:t>2</w:t>
      </w:r>
      <w:r>
        <w:rPr>
          <w:sz w:val="20"/>
          <w:szCs w:val="20"/>
        </w:rPr>
        <w:t>, the next five years, and thereafter were as follows (in thousands)</w:t>
      </w:r>
      <w:r>
        <w:rPr>
          <w:sz w:val="20"/>
          <w:szCs w:val="20"/>
        </w:rPr>
        <w:t>:</w:t>
      </w:r>
    </w:p>
    <w:p w14:paraId="58091386" w14:textId="77777777" w:rsidR="00000000" w:rsidRDefault="003A1B5D">
      <w:pPr>
        <w:pStyle w:val="a3"/>
        <w:spacing w:before="0" w:beforeAutospacing="0" w:after="0" w:afterAutospacing="0"/>
        <w:jc w:val="both"/>
        <w:divId w:val="1301567839"/>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729"/>
        <w:gridCol w:w="110"/>
        <w:gridCol w:w="160"/>
        <w:gridCol w:w="860"/>
        <w:gridCol w:w="125"/>
      </w:tblGrid>
      <w:tr w:rsidR="00000000" w14:paraId="2EC9BD22" w14:textId="77777777">
        <w:trPr>
          <w:divId w:val="331760783"/>
          <w:tblCellSpacing w:w="15" w:type="dxa"/>
        </w:trPr>
        <w:tc>
          <w:tcPr>
            <w:tcW w:w="3996" w:type="pct"/>
            <w:vAlign w:val="center"/>
            <w:hideMark/>
          </w:tcPr>
          <w:p w14:paraId="6F3EDB49" w14:textId="77777777" w:rsidR="00000000" w:rsidRDefault="003A1B5D">
            <w:pPr>
              <w:rPr>
                <w:sz w:val="20"/>
                <w:szCs w:val="20"/>
              </w:rPr>
            </w:pPr>
          </w:p>
        </w:tc>
        <w:tc>
          <w:tcPr>
            <w:tcW w:w="83" w:type="pct"/>
            <w:vAlign w:val="center"/>
            <w:hideMark/>
          </w:tcPr>
          <w:p w14:paraId="596F7707" w14:textId="77777777" w:rsidR="00000000" w:rsidRDefault="003A1B5D">
            <w:pPr>
              <w:rPr>
                <w:rFonts w:eastAsia="Times New Roman"/>
                <w:sz w:val="20"/>
                <w:szCs w:val="20"/>
              </w:rPr>
            </w:pPr>
          </w:p>
        </w:tc>
        <w:tc>
          <w:tcPr>
            <w:tcW w:w="50" w:type="pct"/>
            <w:vAlign w:val="center"/>
            <w:hideMark/>
          </w:tcPr>
          <w:p w14:paraId="24363CF5" w14:textId="77777777" w:rsidR="00000000" w:rsidRDefault="003A1B5D">
            <w:pPr>
              <w:rPr>
                <w:rFonts w:eastAsia="Times New Roman"/>
                <w:sz w:val="20"/>
                <w:szCs w:val="20"/>
              </w:rPr>
            </w:pPr>
          </w:p>
        </w:tc>
        <w:tc>
          <w:tcPr>
            <w:tcW w:w="820" w:type="pct"/>
            <w:vAlign w:val="center"/>
            <w:hideMark/>
          </w:tcPr>
          <w:p w14:paraId="4FCD4EAE" w14:textId="77777777" w:rsidR="00000000" w:rsidRDefault="003A1B5D">
            <w:pPr>
              <w:rPr>
                <w:rFonts w:eastAsia="Times New Roman"/>
                <w:sz w:val="20"/>
                <w:szCs w:val="20"/>
              </w:rPr>
            </w:pPr>
          </w:p>
        </w:tc>
        <w:tc>
          <w:tcPr>
            <w:tcW w:w="50" w:type="pct"/>
            <w:vAlign w:val="center"/>
            <w:hideMark/>
          </w:tcPr>
          <w:p w14:paraId="12505496" w14:textId="77777777" w:rsidR="00000000" w:rsidRDefault="003A1B5D">
            <w:pPr>
              <w:rPr>
                <w:rFonts w:eastAsia="Times New Roman"/>
                <w:sz w:val="20"/>
                <w:szCs w:val="20"/>
              </w:rPr>
            </w:pPr>
          </w:p>
        </w:tc>
      </w:tr>
      <w:tr w:rsidR="00000000" w14:paraId="570AC07A" w14:textId="77777777">
        <w:trPr>
          <w:divId w:val="331760783"/>
          <w:trHeight w:val="200"/>
          <w:tblCellSpacing w:w="15" w:type="dxa"/>
        </w:trPr>
        <w:tc>
          <w:tcPr>
            <w:tcW w:w="0" w:type="auto"/>
            <w:hideMark/>
          </w:tcPr>
          <w:p w14:paraId="0C699580" w14:textId="77777777" w:rsidR="00000000" w:rsidRDefault="003A1B5D">
            <w:pPr>
              <w:pStyle w:val="a3"/>
              <w:spacing w:before="0" w:beforeAutospacing="0" w:after="0" w:afterAutospacing="0"/>
              <w:rPr>
                <w:sz w:val="20"/>
                <w:szCs w:val="20"/>
              </w:rPr>
            </w:pPr>
            <w:r>
              <w:rPr>
                <w:sz w:val="20"/>
                <w:szCs w:val="20"/>
              </w:rPr>
              <w:t>2022 (remainder</w:t>
            </w:r>
            <w:r>
              <w:rPr>
                <w:sz w:val="20"/>
                <w:szCs w:val="20"/>
              </w:rPr>
              <w:t>)</w:t>
            </w:r>
          </w:p>
        </w:tc>
        <w:tc>
          <w:tcPr>
            <w:tcW w:w="0" w:type="auto"/>
            <w:vAlign w:val="bottom"/>
            <w:hideMark/>
          </w:tcPr>
          <w:p w14:paraId="4999024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DFA23A9"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5036BC25" w14:textId="77777777" w:rsidR="00000000" w:rsidRDefault="003A1B5D">
            <w:pPr>
              <w:pStyle w:val="a3"/>
              <w:spacing w:before="0" w:beforeAutospacing="0" w:after="0" w:afterAutospacing="0"/>
              <w:jc w:val="right"/>
              <w:rPr>
                <w:sz w:val="20"/>
                <w:szCs w:val="20"/>
              </w:rPr>
            </w:pPr>
            <w:r>
              <w:rPr>
                <w:sz w:val="20"/>
                <w:szCs w:val="20"/>
              </w:rPr>
              <w:t>2,40</w:t>
            </w:r>
            <w:r>
              <w:rPr>
                <w:sz w:val="20"/>
                <w:szCs w:val="20"/>
              </w:rPr>
              <w:t>0</w:t>
            </w:r>
          </w:p>
        </w:tc>
        <w:tc>
          <w:tcPr>
            <w:tcW w:w="0" w:type="auto"/>
            <w:noWrap/>
            <w:vAlign w:val="bottom"/>
            <w:hideMark/>
          </w:tcPr>
          <w:p w14:paraId="5EDCC8A8" w14:textId="77777777" w:rsidR="00000000" w:rsidRDefault="003A1B5D">
            <w:pPr>
              <w:pStyle w:val="a3"/>
              <w:spacing w:before="0" w:beforeAutospacing="0" w:after="0" w:afterAutospacing="0"/>
              <w:rPr>
                <w:sz w:val="20"/>
                <w:szCs w:val="20"/>
              </w:rPr>
            </w:pPr>
            <w:r>
              <w:rPr>
                <w:sz w:val="20"/>
                <w:szCs w:val="20"/>
              </w:rPr>
              <w:t> </w:t>
            </w:r>
          </w:p>
        </w:tc>
      </w:tr>
      <w:tr w:rsidR="00000000" w14:paraId="63E0700F" w14:textId="77777777">
        <w:trPr>
          <w:divId w:val="331760783"/>
          <w:trHeight w:val="200"/>
          <w:tblCellSpacing w:w="15" w:type="dxa"/>
        </w:trPr>
        <w:tc>
          <w:tcPr>
            <w:tcW w:w="0" w:type="auto"/>
            <w:hideMark/>
          </w:tcPr>
          <w:p w14:paraId="5286F44B" w14:textId="77777777" w:rsidR="00000000" w:rsidRDefault="003A1B5D">
            <w:pPr>
              <w:pStyle w:val="a3"/>
              <w:spacing w:before="0" w:beforeAutospacing="0" w:after="0" w:afterAutospacing="0"/>
              <w:rPr>
                <w:sz w:val="20"/>
                <w:szCs w:val="20"/>
              </w:rPr>
            </w:pPr>
            <w:r>
              <w:rPr>
                <w:sz w:val="20"/>
                <w:szCs w:val="20"/>
              </w:rPr>
              <w:t>202</w:t>
            </w:r>
            <w:r>
              <w:rPr>
                <w:sz w:val="20"/>
                <w:szCs w:val="20"/>
              </w:rPr>
              <w:t>3</w:t>
            </w:r>
          </w:p>
        </w:tc>
        <w:tc>
          <w:tcPr>
            <w:tcW w:w="0" w:type="auto"/>
            <w:vAlign w:val="bottom"/>
            <w:hideMark/>
          </w:tcPr>
          <w:p w14:paraId="1E56B14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EDB7D9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56E7F78" w14:textId="77777777" w:rsidR="00000000" w:rsidRDefault="003A1B5D">
            <w:pPr>
              <w:pStyle w:val="a3"/>
              <w:spacing w:before="0" w:beforeAutospacing="0" w:after="0" w:afterAutospacing="0"/>
              <w:jc w:val="right"/>
              <w:rPr>
                <w:sz w:val="20"/>
                <w:szCs w:val="20"/>
              </w:rPr>
            </w:pPr>
            <w:r>
              <w:rPr>
                <w:sz w:val="20"/>
                <w:szCs w:val="20"/>
              </w:rPr>
              <w:t>178,29</w:t>
            </w:r>
            <w:r>
              <w:rPr>
                <w:sz w:val="20"/>
                <w:szCs w:val="20"/>
              </w:rPr>
              <w:t>0</w:t>
            </w:r>
          </w:p>
        </w:tc>
        <w:tc>
          <w:tcPr>
            <w:tcW w:w="0" w:type="auto"/>
            <w:noWrap/>
            <w:vAlign w:val="bottom"/>
            <w:hideMark/>
          </w:tcPr>
          <w:p w14:paraId="3B1D089E" w14:textId="77777777" w:rsidR="00000000" w:rsidRDefault="003A1B5D">
            <w:pPr>
              <w:pStyle w:val="a3"/>
              <w:spacing w:before="0" w:beforeAutospacing="0" w:after="0" w:afterAutospacing="0"/>
              <w:rPr>
                <w:sz w:val="20"/>
                <w:szCs w:val="20"/>
              </w:rPr>
            </w:pPr>
            <w:r>
              <w:rPr>
                <w:sz w:val="20"/>
                <w:szCs w:val="20"/>
              </w:rPr>
              <w:t> </w:t>
            </w:r>
          </w:p>
        </w:tc>
      </w:tr>
      <w:tr w:rsidR="00000000" w14:paraId="77B4B6F9" w14:textId="77777777">
        <w:trPr>
          <w:divId w:val="331760783"/>
          <w:trHeight w:val="200"/>
          <w:tblCellSpacing w:w="15" w:type="dxa"/>
        </w:trPr>
        <w:tc>
          <w:tcPr>
            <w:tcW w:w="0" w:type="auto"/>
            <w:hideMark/>
          </w:tcPr>
          <w:p w14:paraId="3437E769" w14:textId="77777777" w:rsidR="00000000" w:rsidRDefault="003A1B5D">
            <w:pPr>
              <w:pStyle w:val="a3"/>
              <w:spacing w:before="0" w:beforeAutospacing="0" w:after="0" w:afterAutospacing="0"/>
              <w:rPr>
                <w:sz w:val="20"/>
                <w:szCs w:val="20"/>
              </w:rPr>
            </w:pPr>
            <w:r>
              <w:rPr>
                <w:sz w:val="20"/>
                <w:szCs w:val="20"/>
              </w:rPr>
              <w:t>202</w:t>
            </w:r>
            <w:r>
              <w:rPr>
                <w:sz w:val="20"/>
                <w:szCs w:val="20"/>
              </w:rPr>
              <w:t>4</w:t>
            </w:r>
          </w:p>
        </w:tc>
        <w:tc>
          <w:tcPr>
            <w:tcW w:w="0" w:type="auto"/>
            <w:vAlign w:val="bottom"/>
            <w:hideMark/>
          </w:tcPr>
          <w:p w14:paraId="5FB5799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005820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E59EB8E" w14:textId="77777777" w:rsidR="00000000" w:rsidRDefault="003A1B5D">
            <w:pPr>
              <w:pStyle w:val="a3"/>
              <w:spacing w:before="0" w:beforeAutospacing="0" w:after="0" w:afterAutospacing="0"/>
              <w:jc w:val="right"/>
              <w:rPr>
                <w:sz w:val="20"/>
                <w:szCs w:val="20"/>
              </w:rPr>
            </w:pPr>
            <w:r>
              <w:rPr>
                <w:sz w:val="20"/>
                <w:szCs w:val="20"/>
              </w:rPr>
              <w:t>14,72</w:t>
            </w:r>
            <w:r>
              <w:rPr>
                <w:sz w:val="20"/>
                <w:szCs w:val="20"/>
              </w:rPr>
              <w:t>2</w:t>
            </w:r>
          </w:p>
        </w:tc>
        <w:tc>
          <w:tcPr>
            <w:tcW w:w="0" w:type="auto"/>
            <w:noWrap/>
            <w:vAlign w:val="bottom"/>
            <w:hideMark/>
          </w:tcPr>
          <w:p w14:paraId="5AAE9C72" w14:textId="77777777" w:rsidR="00000000" w:rsidRDefault="003A1B5D">
            <w:pPr>
              <w:pStyle w:val="a3"/>
              <w:spacing w:before="0" w:beforeAutospacing="0" w:after="0" w:afterAutospacing="0"/>
              <w:rPr>
                <w:sz w:val="20"/>
                <w:szCs w:val="20"/>
              </w:rPr>
            </w:pPr>
            <w:r>
              <w:rPr>
                <w:sz w:val="20"/>
                <w:szCs w:val="20"/>
              </w:rPr>
              <w:t> </w:t>
            </w:r>
          </w:p>
        </w:tc>
      </w:tr>
      <w:tr w:rsidR="00000000" w14:paraId="76AA0AF1" w14:textId="77777777">
        <w:trPr>
          <w:divId w:val="331760783"/>
          <w:trHeight w:val="200"/>
          <w:tblCellSpacing w:w="15" w:type="dxa"/>
        </w:trPr>
        <w:tc>
          <w:tcPr>
            <w:tcW w:w="0" w:type="auto"/>
            <w:hideMark/>
          </w:tcPr>
          <w:p w14:paraId="6ADC6E6F" w14:textId="77777777" w:rsidR="00000000" w:rsidRDefault="003A1B5D">
            <w:pPr>
              <w:pStyle w:val="a3"/>
              <w:spacing w:before="0" w:beforeAutospacing="0" w:after="0" w:afterAutospacing="0"/>
              <w:rPr>
                <w:sz w:val="20"/>
                <w:szCs w:val="20"/>
              </w:rPr>
            </w:pPr>
            <w:r>
              <w:rPr>
                <w:sz w:val="20"/>
                <w:szCs w:val="20"/>
              </w:rPr>
              <w:t>202</w:t>
            </w:r>
            <w:r>
              <w:rPr>
                <w:sz w:val="20"/>
                <w:szCs w:val="20"/>
              </w:rPr>
              <w:t>5</w:t>
            </w:r>
          </w:p>
        </w:tc>
        <w:tc>
          <w:tcPr>
            <w:tcW w:w="0" w:type="auto"/>
            <w:vAlign w:val="bottom"/>
            <w:hideMark/>
          </w:tcPr>
          <w:p w14:paraId="25857B7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CDDF6F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A585C2A" w14:textId="77777777" w:rsidR="00000000" w:rsidRDefault="003A1B5D">
            <w:pPr>
              <w:pStyle w:val="a3"/>
              <w:spacing w:before="0" w:beforeAutospacing="0" w:after="0" w:afterAutospacing="0"/>
              <w:jc w:val="right"/>
              <w:rPr>
                <w:sz w:val="20"/>
                <w:szCs w:val="20"/>
              </w:rPr>
            </w:pPr>
            <w:r>
              <w:rPr>
                <w:sz w:val="20"/>
                <w:szCs w:val="20"/>
              </w:rPr>
              <w:t>17,69</w:t>
            </w:r>
            <w:r>
              <w:rPr>
                <w:sz w:val="20"/>
                <w:szCs w:val="20"/>
              </w:rPr>
              <w:t>8</w:t>
            </w:r>
          </w:p>
        </w:tc>
        <w:tc>
          <w:tcPr>
            <w:tcW w:w="0" w:type="auto"/>
            <w:noWrap/>
            <w:vAlign w:val="bottom"/>
            <w:hideMark/>
          </w:tcPr>
          <w:p w14:paraId="6AD48974" w14:textId="77777777" w:rsidR="00000000" w:rsidRDefault="003A1B5D">
            <w:pPr>
              <w:pStyle w:val="a3"/>
              <w:spacing w:before="0" w:beforeAutospacing="0" w:after="0" w:afterAutospacing="0"/>
              <w:rPr>
                <w:sz w:val="20"/>
                <w:szCs w:val="20"/>
              </w:rPr>
            </w:pPr>
            <w:r>
              <w:rPr>
                <w:sz w:val="20"/>
                <w:szCs w:val="20"/>
              </w:rPr>
              <w:t> </w:t>
            </w:r>
          </w:p>
        </w:tc>
      </w:tr>
      <w:tr w:rsidR="00000000" w14:paraId="539B76E9" w14:textId="77777777">
        <w:trPr>
          <w:divId w:val="331760783"/>
          <w:trHeight w:val="200"/>
          <w:tblCellSpacing w:w="15" w:type="dxa"/>
        </w:trPr>
        <w:tc>
          <w:tcPr>
            <w:tcW w:w="0" w:type="auto"/>
            <w:hideMark/>
          </w:tcPr>
          <w:p w14:paraId="7472BDA7" w14:textId="77777777" w:rsidR="00000000" w:rsidRDefault="003A1B5D">
            <w:pPr>
              <w:pStyle w:val="a3"/>
              <w:spacing w:before="0" w:beforeAutospacing="0" w:after="0" w:afterAutospacing="0"/>
              <w:rPr>
                <w:sz w:val="20"/>
                <w:szCs w:val="20"/>
              </w:rPr>
            </w:pPr>
            <w:r>
              <w:rPr>
                <w:sz w:val="20"/>
                <w:szCs w:val="20"/>
              </w:rPr>
              <w:t>202</w:t>
            </w:r>
            <w:r>
              <w:rPr>
                <w:sz w:val="20"/>
                <w:szCs w:val="20"/>
              </w:rPr>
              <w:t>6</w:t>
            </w:r>
          </w:p>
        </w:tc>
        <w:tc>
          <w:tcPr>
            <w:tcW w:w="0" w:type="auto"/>
            <w:vAlign w:val="bottom"/>
            <w:hideMark/>
          </w:tcPr>
          <w:p w14:paraId="70E2A47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1CCE36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C3D4687" w14:textId="77777777" w:rsidR="00000000" w:rsidRDefault="003A1B5D">
            <w:pPr>
              <w:pStyle w:val="a3"/>
              <w:spacing w:before="0" w:beforeAutospacing="0" w:after="0" w:afterAutospacing="0"/>
              <w:jc w:val="right"/>
              <w:rPr>
                <w:sz w:val="20"/>
                <w:szCs w:val="20"/>
              </w:rPr>
            </w:pPr>
            <w:r>
              <w:rPr>
                <w:sz w:val="20"/>
                <w:szCs w:val="20"/>
              </w:rPr>
              <w:t>715,98</w:t>
            </w:r>
            <w:r>
              <w:rPr>
                <w:sz w:val="20"/>
                <w:szCs w:val="20"/>
              </w:rPr>
              <w:t>5</w:t>
            </w:r>
          </w:p>
        </w:tc>
        <w:tc>
          <w:tcPr>
            <w:tcW w:w="0" w:type="auto"/>
            <w:noWrap/>
            <w:vAlign w:val="bottom"/>
            <w:hideMark/>
          </w:tcPr>
          <w:p w14:paraId="05C78DE6" w14:textId="77777777" w:rsidR="00000000" w:rsidRDefault="003A1B5D">
            <w:pPr>
              <w:pStyle w:val="a3"/>
              <w:spacing w:before="0" w:beforeAutospacing="0" w:after="0" w:afterAutospacing="0"/>
              <w:rPr>
                <w:sz w:val="20"/>
                <w:szCs w:val="20"/>
              </w:rPr>
            </w:pPr>
            <w:r>
              <w:rPr>
                <w:sz w:val="20"/>
                <w:szCs w:val="20"/>
              </w:rPr>
              <w:t> </w:t>
            </w:r>
          </w:p>
        </w:tc>
      </w:tr>
      <w:tr w:rsidR="00000000" w14:paraId="17DE53D3" w14:textId="77777777">
        <w:trPr>
          <w:divId w:val="331760783"/>
          <w:trHeight w:val="200"/>
          <w:tblCellSpacing w:w="15" w:type="dxa"/>
        </w:trPr>
        <w:tc>
          <w:tcPr>
            <w:tcW w:w="0" w:type="auto"/>
            <w:hideMark/>
          </w:tcPr>
          <w:p w14:paraId="0E2DB7FE" w14:textId="77777777" w:rsidR="00000000" w:rsidRDefault="003A1B5D">
            <w:pPr>
              <w:pStyle w:val="a3"/>
              <w:spacing w:before="0" w:beforeAutospacing="0" w:after="0" w:afterAutospacing="0"/>
              <w:rPr>
                <w:sz w:val="20"/>
                <w:szCs w:val="20"/>
              </w:rPr>
            </w:pPr>
            <w:r>
              <w:rPr>
                <w:sz w:val="20"/>
                <w:szCs w:val="20"/>
              </w:rPr>
              <w:t>202</w:t>
            </w:r>
            <w:r>
              <w:rPr>
                <w:sz w:val="20"/>
                <w:szCs w:val="20"/>
              </w:rPr>
              <w:t>7</w:t>
            </w:r>
          </w:p>
        </w:tc>
        <w:tc>
          <w:tcPr>
            <w:tcW w:w="0" w:type="auto"/>
            <w:vAlign w:val="bottom"/>
            <w:hideMark/>
          </w:tcPr>
          <w:p w14:paraId="0AF83B9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01362D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2C43238" w14:textId="77777777" w:rsidR="00000000" w:rsidRDefault="003A1B5D">
            <w:pPr>
              <w:pStyle w:val="a3"/>
              <w:spacing w:before="0" w:beforeAutospacing="0" w:after="0" w:afterAutospacing="0"/>
              <w:jc w:val="right"/>
              <w:rPr>
                <w:sz w:val="20"/>
                <w:szCs w:val="20"/>
              </w:rPr>
            </w:pPr>
            <w:r>
              <w:rPr>
                <w:sz w:val="20"/>
                <w:szCs w:val="20"/>
              </w:rPr>
              <w:t>256,85</w:t>
            </w:r>
            <w:r>
              <w:rPr>
                <w:sz w:val="20"/>
                <w:szCs w:val="20"/>
              </w:rPr>
              <w:t>5</w:t>
            </w:r>
          </w:p>
        </w:tc>
        <w:tc>
          <w:tcPr>
            <w:tcW w:w="0" w:type="auto"/>
            <w:noWrap/>
            <w:vAlign w:val="bottom"/>
            <w:hideMark/>
          </w:tcPr>
          <w:p w14:paraId="2BC74CE9" w14:textId="77777777" w:rsidR="00000000" w:rsidRDefault="003A1B5D">
            <w:pPr>
              <w:pStyle w:val="a3"/>
              <w:spacing w:before="0" w:beforeAutospacing="0" w:after="0" w:afterAutospacing="0"/>
              <w:rPr>
                <w:sz w:val="20"/>
                <w:szCs w:val="20"/>
              </w:rPr>
            </w:pPr>
            <w:r>
              <w:rPr>
                <w:sz w:val="20"/>
                <w:szCs w:val="20"/>
              </w:rPr>
              <w:t> </w:t>
            </w:r>
          </w:p>
        </w:tc>
      </w:tr>
      <w:tr w:rsidR="00000000" w14:paraId="5EA85A40" w14:textId="77777777">
        <w:trPr>
          <w:divId w:val="331760783"/>
          <w:trHeight w:val="200"/>
          <w:tblCellSpacing w:w="15" w:type="dxa"/>
        </w:trPr>
        <w:tc>
          <w:tcPr>
            <w:tcW w:w="0" w:type="auto"/>
            <w:hideMark/>
          </w:tcPr>
          <w:p w14:paraId="47427C93" w14:textId="77777777" w:rsidR="00000000" w:rsidRDefault="003A1B5D">
            <w:pPr>
              <w:pStyle w:val="a3"/>
              <w:spacing w:before="0" w:beforeAutospacing="0" w:after="0" w:afterAutospacing="0"/>
              <w:rPr>
                <w:sz w:val="20"/>
                <w:szCs w:val="20"/>
              </w:rPr>
            </w:pPr>
            <w:r>
              <w:rPr>
                <w:sz w:val="20"/>
                <w:szCs w:val="20"/>
              </w:rPr>
              <w:t>Thereafte</w:t>
            </w:r>
            <w:r>
              <w:rPr>
                <w:sz w:val="20"/>
                <w:szCs w:val="20"/>
              </w:rPr>
              <w:t>r</w:t>
            </w:r>
          </w:p>
        </w:tc>
        <w:tc>
          <w:tcPr>
            <w:tcW w:w="0" w:type="auto"/>
            <w:vAlign w:val="bottom"/>
            <w:hideMark/>
          </w:tcPr>
          <w:p w14:paraId="5CB1F2B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1B90BC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304CA93" w14:textId="77777777" w:rsidR="00000000" w:rsidRDefault="003A1B5D">
            <w:pPr>
              <w:pStyle w:val="a3"/>
              <w:spacing w:before="0" w:beforeAutospacing="0" w:after="0" w:afterAutospacing="0"/>
              <w:jc w:val="right"/>
              <w:rPr>
                <w:sz w:val="20"/>
                <w:szCs w:val="20"/>
              </w:rPr>
            </w:pPr>
            <w:r>
              <w:rPr>
                <w:sz w:val="20"/>
                <w:szCs w:val="20"/>
              </w:rPr>
              <w:t>121,15</w:t>
            </w:r>
            <w:r>
              <w:rPr>
                <w:sz w:val="20"/>
                <w:szCs w:val="20"/>
              </w:rPr>
              <w:t>9</w:t>
            </w:r>
          </w:p>
        </w:tc>
        <w:tc>
          <w:tcPr>
            <w:tcW w:w="0" w:type="auto"/>
            <w:noWrap/>
            <w:vAlign w:val="bottom"/>
            <w:hideMark/>
          </w:tcPr>
          <w:p w14:paraId="09DC2C9E" w14:textId="77777777" w:rsidR="00000000" w:rsidRDefault="003A1B5D">
            <w:pPr>
              <w:pStyle w:val="a3"/>
              <w:spacing w:before="0" w:beforeAutospacing="0" w:after="0" w:afterAutospacing="0"/>
              <w:rPr>
                <w:sz w:val="20"/>
                <w:szCs w:val="20"/>
              </w:rPr>
            </w:pPr>
            <w:r>
              <w:rPr>
                <w:sz w:val="20"/>
                <w:szCs w:val="20"/>
              </w:rPr>
              <w:t> </w:t>
            </w:r>
          </w:p>
        </w:tc>
      </w:tr>
      <w:tr w:rsidR="00000000" w14:paraId="28DC751F" w14:textId="77777777">
        <w:trPr>
          <w:divId w:val="331760783"/>
          <w:trHeight w:val="200"/>
          <w:tblCellSpacing w:w="15" w:type="dxa"/>
        </w:trPr>
        <w:tc>
          <w:tcPr>
            <w:tcW w:w="0" w:type="auto"/>
            <w:hideMark/>
          </w:tcPr>
          <w:p w14:paraId="7B9B3392" w14:textId="77777777" w:rsidR="00000000" w:rsidRDefault="003A1B5D">
            <w:pPr>
              <w:pStyle w:val="a3"/>
              <w:spacing w:before="0" w:beforeAutospacing="0" w:after="0" w:afterAutospacing="0"/>
              <w:rPr>
                <w:sz w:val="20"/>
                <w:szCs w:val="20"/>
              </w:rPr>
            </w:pPr>
            <w:r>
              <w:rPr>
                <w:sz w:val="20"/>
                <w:szCs w:val="20"/>
              </w:rPr>
              <w:t>Total deb</w:t>
            </w:r>
            <w:r>
              <w:rPr>
                <w:sz w:val="20"/>
                <w:szCs w:val="20"/>
              </w:rPr>
              <w:t>t</w:t>
            </w:r>
          </w:p>
        </w:tc>
        <w:tc>
          <w:tcPr>
            <w:tcW w:w="0" w:type="auto"/>
            <w:vAlign w:val="bottom"/>
            <w:hideMark/>
          </w:tcPr>
          <w:p w14:paraId="0C165E9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1371507"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492E8F66" w14:textId="77777777" w:rsidR="00000000" w:rsidRDefault="003A1B5D">
            <w:pPr>
              <w:pStyle w:val="a3"/>
              <w:spacing w:before="0" w:beforeAutospacing="0" w:after="0" w:afterAutospacing="0"/>
              <w:jc w:val="right"/>
              <w:rPr>
                <w:sz w:val="20"/>
                <w:szCs w:val="20"/>
              </w:rPr>
            </w:pPr>
            <w:r>
              <w:rPr>
                <w:sz w:val="20"/>
                <w:szCs w:val="20"/>
              </w:rPr>
              <w:t>1,307,10</w:t>
            </w:r>
            <w:r>
              <w:rPr>
                <w:sz w:val="20"/>
                <w:szCs w:val="20"/>
              </w:rPr>
              <w:t>9</w:t>
            </w:r>
          </w:p>
        </w:tc>
        <w:tc>
          <w:tcPr>
            <w:tcW w:w="0" w:type="auto"/>
            <w:noWrap/>
            <w:vAlign w:val="bottom"/>
            <w:hideMark/>
          </w:tcPr>
          <w:p w14:paraId="1A401E70" w14:textId="77777777" w:rsidR="00000000" w:rsidRDefault="003A1B5D">
            <w:pPr>
              <w:pStyle w:val="a3"/>
              <w:spacing w:before="0" w:beforeAutospacing="0" w:after="0" w:afterAutospacing="0"/>
              <w:rPr>
                <w:sz w:val="20"/>
                <w:szCs w:val="20"/>
              </w:rPr>
            </w:pPr>
            <w:r>
              <w:rPr>
                <w:sz w:val="20"/>
                <w:szCs w:val="20"/>
              </w:rPr>
              <w:t> </w:t>
            </w:r>
          </w:p>
        </w:tc>
      </w:tr>
    </w:tbl>
    <w:p w14:paraId="2C85F636" w14:textId="77777777" w:rsidR="00000000" w:rsidRDefault="003A1B5D">
      <w:pPr>
        <w:pStyle w:val="a3"/>
        <w:spacing w:before="0" w:beforeAutospacing="0" w:after="0" w:afterAutospacing="0"/>
        <w:divId w:val="331760783"/>
        <w:rPr>
          <w:sz w:val="20"/>
          <w:szCs w:val="20"/>
        </w:rPr>
      </w:pPr>
      <w:r>
        <w:rPr>
          <w:sz w:val="20"/>
          <w:szCs w:val="20"/>
        </w:rPr>
        <w:t> </w:t>
      </w:r>
    </w:p>
    <w:p w14:paraId="2A434831" w14:textId="77777777" w:rsidR="00000000" w:rsidRDefault="003A1B5D">
      <w:pPr>
        <w:pStyle w:val="a3"/>
        <w:spacing w:before="240" w:beforeAutospacing="0" w:after="0" w:afterAutospacing="0"/>
        <w:jc w:val="center"/>
        <w:divId w:val="331760783"/>
        <w:rPr>
          <w:sz w:val="20"/>
          <w:szCs w:val="20"/>
        </w:rPr>
      </w:pPr>
      <w:r>
        <w:rPr>
          <w:sz w:val="20"/>
          <w:szCs w:val="20"/>
        </w:rPr>
        <w:t>1</w:t>
      </w:r>
      <w:r>
        <w:rPr>
          <w:sz w:val="20"/>
          <w:szCs w:val="20"/>
        </w:rPr>
        <w:t>3</w:t>
      </w:r>
    </w:p>
    <w:p w14:paraId="723539B8" w14:textId="77777777" w:rsidR="00000000" w:rsidRDefault="003A1B5D">
      <w:pPr>
        <w:divId w:val="331760783"/>
        <w:rPr>
          <w:rFonts w:eastAsia="Times New Roman"/>
        </w:rPr>
      </w:pPr>
      <w:r>
        <w:rPr>
          <w:rFonts w:eastAsia="Times New Roman"/>
        </w:rPr>
        <w:pict w14:anchorId="2792EFB1">
          <v:rect id="_x0000_i1039" style="width:0;height:1.5pt" o:hralign="center" o:hrstd="t" o:hr="t" fillcolor="#a0a0a0" stroked="f"/>
        </w:pict>
      </w:r>
    </w:p>
    <w:p w14:paraId="7EF43157" w14:textId="77777777" w:rsidR="00000000" w:rsidRDefault="003A1B5D">
      <w:pPr>
        <w:pStyle w:val="a3"/>
        <w:spacing w:before="0" w:beforeAutospacing="0" w:after="0" w:afterAutospacing="0"/>
        <w:divId w:val="331760783"/>
        <w:rPr>
          <w:sz w:val="20"/>
          <w:szCs w:val="20"/>
        </w:rPr>
      </w:pPr>
      <w:r>
        <w:rPr>
          <w:sz w:val="20"/>
          <w:szCs w:val="20"/>
        </w:rPr>
        <w:t> </w:t>
      </w:r>
    </w:p>
    <w:p w14:paraId="7915CD37" w14:textId="77777777" w:rsidR="00000000" w:rsidRDefault="003A1B5D">
      <w:pPr>
        <w:pStyle w:val="a3"/>
        <w:spacing w:before="0" w:beforeAutospacing="0" w:after="0" w:afterAutospacing="0"/>
        <w:jc w:val="both"/>
        <w:rPr>
          <w:sz w:val="20"/>
          <w:szCs w:val="20"/>
        </w:rPr>
      </w:pPr>
      <w:r>
        <w:rPr>
          <w:sz w:val="20"/>
          <w:szCs w:val="20"/>
        </w:rPr>
        <w:t> </w:t>
      </w:r>
    </w:p>
    <w:p w14:paraId="546EA580" w14:textId="77777777" w:rsidR="00000000" w:rsidRDefault="003A1B5D">
      <w:pPr>
        <w:jc w:val="both"/>
        <w:divId w:val="1270968948"/>
        <w:rPr>
          <w:rFonts w:eastAsia="Times New Roman"/>
          <w:sz w:val="20"/>
          <w:szCs w:val="20"/>
        </w:rPr>
      </w:pPr>
      <w:r>
        <w:rPr>
          <w:rFonts w:eastAsia="Times New Roman"/>
          <w:b/>
          <w:bCs/>
          <w:sz w:val="20"/>
          <w:szCs w:val="20"/>
        </w:rPr>
        <w:t>6</w:t>
      </w:r>
      <w:r>
        <w:rPr>
          <w:rFonts w:eastAsia="Times New Roman"/>
          <w:b/>
          <w:bCs/>
          <w:sz w:val="20"/>
          <w:szCs w:val="20"/>
        </w:rPr>
        <w:t>.</w:t>
      </w:r>
    </w:p>
    <w:p w14:paraId="33CFF658" w14:textId="77777777" w:rsidR="00000000" w:rsidRDefault="003A1B5D">
      <w:pPr>
        <w:jc w:val="both"/>
        <w:divId w:val="782379973"/>
        <w:rPr>
          <w:rFonts w:eastAsia="Times New Roman"/>
          <w:sz w:val="20"/>
          <w:szCs w:val="20"/>
        </w:rPr>
      </w:pPr>
      <w:r>
        <w:rPr>
          <w:rFonts w:eastAsia="Times New Roman"/>
          <w:b/>
          <w:bCs/>
          <w:sz w:val="20"/>
          <w:szCs w:val="20"/>
        </w:rPr>
        <w:t>STOCKHOLDERS' EQUIT</w:t>
      </w:r>
      <w:r>
        <w:rPr>
          <w:rFonts w:eastAsia="Times New Roman"/>
          <w:b/>
          <w:bCs/>
          <w:sz w:val="20"/>
          <w:szCs w:val="20"/>
        </w:rPr>
        <w:t>Y</w:t>
      </w:r>
      <w:r>
        <w:rPr>
          <w:rFonts w:eastAsia="Times New Roman"/>
          <w:sz w:val="20"/>
          <w:szCs w:val="20"/>
        </w:rPr>
        <w:t xml:space="preserve"> </w:t>
      </w:r>
    </w:p>
    <w:p w14:paraId="4C2A5573" w14:textId="77777777" w:rsidR="00000000" w:rsidRDefault="003A1B5D">
      <w:pPr>
        <w:pStyle w:val="a3"/>
        <w:spacing w:before="360" w:beforeAutospacing="0" w:after="0" w:afterAutospacing="0"/>
        <w:ind w:left="476"/>
        <w:jc w:val="both"/>
        <w:divId w:val="1781295744"/>
        <w:rPr>
          <w:sz w:val="20"/>
          <w:szCs w:val="20"/>
        </w:rPr>
      </w:pPr>
      <w:r>
        <w:rPr>
          <w:b/>
          <w:bCs/>
          <w:sz w:val="20"/>
          <w:szCs w:val="20"/>
        </w:rPr>
        <w:t>Share Repurchase Progra</w:t>
      </w:r>
      <w:r>
        <w:rPr>
          <w:b/>
          <w:bCs/>
          <w:sz w:val="20"/>
          <w:szCs w:val="20"/>
        </w:rPr>
        <w:t>m</w:t>
      </w:r>
    </w:p>
    <w:p w14:paraId="0F1D018F" w14:textId="77777777" w:rsidR="00000000" w:rsidRDefault="003A1B5D">
      <w:pPr>
        <w:pStyle w:val="a3"/>
        <w:spacing w:before="120" w:beforeAutospacing="0" w:after="0" w:afterAutospacing="0"/>
        <w:ind w:left="476"/>
        <w:jc w:val="both"/>
        <w:divId w:val="1781295744"/>
        <w:rPr>
          <w:sz w:val="20"/>
          <w:szCs w:val="20"/>
        </w:rPr>
      </w:pPr>
      <w:r>
        <w:rPr>
          <w:sz w:val="20"/>
          <w:szCs w:val="20"/>
        </w:rPr>
        <w:t xml:space="preserve">On May 12, 2022, the Board of Directors ("BOD") approved a share repurchase program to repurchase up to </w:t>
      </w:r>
      <w:r>
        <w:rPr>
          <w:sz w:val="20"/>
          <w:szCs w:val="20"/>
        </w:rPr>
        <w:t>$</w:t>
      </w:r>
      <w:r>
        <w:rPr>
          <w:sz w:val="20"/>
          <w:szCs w:val="20"/>
        </w:rPr>
        <w:t>150.</w:t>
      </w:r>
      <w:r>
        <w:rPr>
          <w:sz w:val="20"/>
          <w:szCs w:val="20"/>
        </w:rPr>
        <w:t>0</w:t>
      </w:r>
      <w:r>
        <w:rPr>
          <w:sz w:val="20"/>
          <w:szCs w:val="20"/>
        </w:rPr>
        <w:t xml:space="preserve"> </w:t>
      </w:r>
      <w:r>
        <w:rPr>
          <w:sz w:val="20"/>
          <w:szCs w:val="20"/>
        </w:rPr>
        <w:t xml:space="preserve">million of the Company's common stock. On August 2, 2022, the BOD increased the authorization to repurchase under the share repurchase program by up to an additional </w:t>
      </w:r>
      <w:r>
        <w:rPr>
          <w:sz w:val="20"/>
          <w:szCs w:val="20"/>
        </w:rPr>
        <w:t>$</w:t>
      </w:r>
      <w:r>
        <w:rPr>
          <w:sz w:val="20"/>
          <w:szCs w:val="20"/>
        </w:rPr>
        <w:t>75.</w:t>
      </w:r>
      <w:r>
        <w:rPr>
          <w:sz w:val="20"/>
          <w:szCs w:val="20"/>
        </w:rPr>
        <w:t>0</w:t>
      </w:r>
      <w:r>
        <w:rPr>
          <w:sz w:val="20"/>
          <w:szCs w:val="20"/>
        </w:rPr>
        <w:t xml:space="preserve"> million of the Company's common stock, or a total aggregate authorized amount to rep</w:t>
      </w:r>
      <w:r>
        <w:rPr>
          <w:sz w:val="20"/>
          <w:szCs w:val="20"/>
        </w:rPr>
        <w:t xml:space="preserve">urchase of up to </w:t>
      </w:r>
      <w:r>
        <w:rPr>
          <w:sz w:val="20"/>
          <w:szCs w:val="20"/>
        </w:rPr>
        <w:t>$</w:t>
      </w:r>
      <w:r>
        <w:rPr>
          <w:sz w:val="20"/>
          <w:szCs w:val="20"/>
        </w:rPr>
        <w:t>225.</w:t>
      </w:r>
      <w:r>
        <w:rPr>
          <w:sz w:val="20"/>
          <w:szCs w:val="20"/>
        </w:rPr>
        <w:t>0</w:t>
      </w:r>
      <w:r>
        <w:rPr>
          <w:sz w:val="20"/>
          <w:szCs w:val="20"/>
        </w:rPr>
        <w:t xml:space="preserve"> million of the Company's common stock. Repurchases of the Company's outstanding common stock will be made in accordance with applicable securities laws and may be made at the Company's discretion based on parameters set by the BOD f</w:t>
      </w:r>
      <w:r>
        <w:rPr>
          <w:sz w:val="20"/>
          <w:szCs w:val="20"/>
        </w:rPr>
        <w:t xml:space="preserve">rom time to time in the open market, through privately negotiated transactions, or otherwise. The share repurchase program has no time limit and does not obligate the Company to purchase any particular amount of its common stock. The authorization for the </w:t>
      </w:r>
      <w:r>
        <w:rPr>
          <w:sz w:val="20"/>
          <w:szCs w:val="20"/>
        </w:rPr>
        <w:t>share repurchase program may be terminated, suspended, increased or decreased by the BOD in its discretion at any time. Through September 30, 2022, the Company completed the repurchase of</w:t>
      </w:r>
      <w:r>
        <w:rPr>
          <w:sz w:val="20"/>
          <w:szCs w:val="20"/>
        </w:rPr>
        <w:t xml:space="preserve"> </w:t>
      </w:r>
      <w:r>
        <w:rPr>
          <w:sz w:val="20"/>
          <w:szCs w:val="20"/>
        </w:rPr>
        <w:t>6.</w:t>
      </w:r>
      <w:r>
        <w:rPr>
          <w:sz w:val="20"/>
          <w:szCs w:val="20"/>
        </w:rPr>
        <w:t>6</w:t>
      </w:r>
      <w:r>
        <w:rPr>
          <w:sz w:val="20"/>
          <w:szCs w:val="20"/>
        </w:rPr>
        <w:t xml:space="preserve"> million shares at a total cost of </w:t>
      </w:r>
      <w:r>
        <w:rPr>
          <w:sz w:val="20"/>
          <w:szCs w:val="20"/>
        </w:rPr>
        <w:t>$</w:t>
      </w:r>
      <w:r>
        <w:rPr>
          <w:sz w:val="20"/>
          <w:szCs w:val="20"/>
        </w:rPr>
        <w:t>74.</w:t>
      </w:r>
      <w:r>
        <w:rPr>
          <w:sz w:val="20"/>
          <w:szCs w:val="20"/>
        </w:rPr>
        <w:t>5</w:t>
      </w:r>
      <w:r>
        <w:rPr>
          <w:sz w:val="20"/>
          <w:szCs w:val="20"/>
        </w:rPr>
        <w:t xml:space="preserve"> million, excluding costs</w:t>
      </w:r>
      <w:r>
        <w:rPr>
          <w:sz w:val="20"/>
          <w:szCs w:val="20"/>
        </w:rPr>
        <w:t xml:space="preserve"> associated with the share repurchase program. The Company has utilized cash on hand and net cash provided by operations to fund the repurchases</w:t>
      </w:r>
      <w:r>
        <w:rPr>
          <w:sz w:val="20"/>
          <w:szCs w:val="20"/>
        </w:rPr>
        <w:t>.</w:t>
      </w:r>
    </w:p>
    <w:p w14:paraId="66D18A30" w14:textId="77777777" w:rsidR="00000000" w:rsidRDefault="003A1B5D">
      <w:pPr>
        <w:pStyle w:val="a3"/>
        <w:spacing w:before="360" w:beforeAutospacing="0" w:after="0" w:afterAutospacing="0"/>
        <w:ind w:left="476"/>
        <w:jc w:val="both"/>
        <w:divId w:val="1781295744"/>
        <w:rPr>
          <w:sz w:val="20"/>
          <w:szCs w:val="20"/>
        </w:rPr>
      </w:pPr>
      <w:r>
        <w:rPr>
          <w:b/>
          <w:bCs/>
          <w:sz w:val="20"/>
          <w:szCs w:val="20"/>
        </w:rPr>
        <w:t>Restricted Stock Unit</w:t>
      </w:r>
      <w:r>
        <w:rPr>
          <w:b/>
          <w:bCs/>
          <w:sz w:val="20"/>
          <w:szCs w:val="20"/>
        </w:rPr>
        <w:t>s</w:t>
      </w:r>
    </w:p>
    <w:p w14:paraId="0FAF38F8" w14:textId="77777777" w:rsidR="00000000" w:rsidRDefault="003A1B5D">
      <w:pPr>
        <w:pStyle w:val="a3"/>
        <w:spacing w:before="120" w:beforeAutospacing="0" w:after="0" w:afterAutospacing="0"/>
        <w:ind w:left="476"/>
        <w:jc w:val="both"/>
        <w:divId w:val="1781295744"/>
        <w:rPr>
          <w:sz w:val="20"/>
          <w:szCs w:val="20"/>
        </w:rPr>
      </w:pPr>
      <w:r>
        <w:rPr>
          <w:sz w:val="20"/>
          <w:szCs w:val="20"/>
        </w:rPr>
        <w:t>During the first nine months of 2022, CoreCivic issued approximately</w:t>
      </w:r>
      <w:r>
        <w:rPr>
          <w:sz w:val="20"/>
          <w:szCs w:val="20"/>
        </w:rPr>
        <w:t xml:space="preserve"> </w:t>
      </w:r>
      <w:r>
        <w:rPr>
          <w:sz w:val="20"/>
          <w:szCs w:val="20"/>
        </w:rPr>
        <w:t>2.</w:t>
      </w:r>
      <w:r>
        <w:rPr>
          <w:sz w:val="20"/>
          <w:szCs w:val="20"/>
        </w:rPr>
        <w:t>1</w:t>
      </w:r>
      <w:r>
        <w:rPr>
          <w:sz w:val="20"/>
          <w:szCs w:val="20"/>
        </w:rPr>
        <w:t xml:space="preserve"> millio</w:t>
      </w:r>
      <w:r>
        <w:rPr>
          <w:sz w:val="20"/>
          <w:szCs w:val="20"/>
        </w:rPr>
        <w:t>n</w:t>
      </w:r>
      <w:r>
        <w:rPr>
          <w:sz w:val="20"/>
          <w:szCs w:val="20"/>
        </w:rPr>
        <w:t xml:space="preserve"> restri</w:t>
      </w:r>
      <w:r>
        <w:rPr>
          <w:sz w:val="20"/>
          <w:szCs w:val="20"/>
        </w:rPr>
        <w:t>cted common stock units ("RSUs") to certain of its employees and non-employee directors, with an aggregate value of</w:t>
      </w:r>
      <w:r>
        <w:rPr>
          <w:sz w:val="20"/>
          <w:szCs w:val="20"/>
        </w:rPr>
        <w:t xml:space="preserve"> </w:t>
      </w:r>
      <w:r>
        <w:rPr>
          <w:sz w:val="20"/>
          <w:szCs w:val="20"/>
        </w:rPr>
        <w:t>$</w:t>
      </w:r>
      <w:r>
        <w:rPr>
          <w:sz w:val="20"/>
          <w:szCs w:val="20"/>
        </w:rPr>
        <w:t>21.</w:t>
      </w:r>
      <w:r>
        <w:rPr>
          <w:sz w:val="20"/>
          <w:szCs w:val="20"/>
        </w:rPr>
        <w:t>5</w:t>
      </w:r>
      <w:r>
        <w:rPr>
          <w:sz w:val="20"/>
          <w:szCs w:val="20"/>
        </w:rPr>
        <w:t xml:space="preserve"> millio</w:t>
      </w:r>
      <w:r>
        <w:rPr>
          <w:sz w:val="20"/>
          <w:szCs w:val="20"/>
        </w:rPr>
        <w:t>n</w:t>
      </w:r>
      <w:r>
        <w:rPr>
          <w:sz w:val="20"/>
          <w:szCs w:val="20"/>
        </w:rPr>
        <w:t>, including</w:t>
      </w:r>
      <w:r>
        <w:rPr>
          <w:sz w:val="20"/>
          <w:szCs w:val="20"/>
        </w:rPr>
        <w:t xml:space="preserve"> </w:t>
      </w:r>
      <w:r>
        <w:rPr>
          <w:sz w:val="20"/>
          <w:szCs w:val="20"/>
        </w:rPr>
        <w:t>1.</w:t>
      </w:r>
      <w:r>
        <w:rPr>
          <w:sz w:val="20"/>
          <w:szCs w:val="20"/>
        </w:rPr>
        <w:t>9</w:t>
      </w:r>
      <w:r>
        <w:rPr>
          <w:sz w:val="20"/>
          <w:szCs w:val="20"/>
        </w:rPr>
        <w:t xml:space="preserve"> millio</w:t>
      </w:r>
      <w:r>
        <w:rPr>
          <w:sz w:val="20"/>
          <w:szCs w:val="20"/>
        </w:rPr>
        <w:t>n</w:t>
      </w:r>
      <w:r>
        <w:rPr>
          <w:sz w:val="20"/>
          <w:szCs w:val="20"/>
        </w:rPr>
        <w:t xml:space="preserve"> RSUs to employees and non-employee directors whose compensation is charged to general and administrativ</w:t>
      </w:r>
      <w:r>
        <w:rPr>
          <w:sz w:val="20"/>
          <w:szCs w:val="20"/>
        </w:rPr>
        <w:t>e expense and</w:t>
      </w:r>
      <w:r>
        <w:rPr>
          <w:sz w:val="20"/>
          <w:szCs w:val="20"/>
        </w:rPr>
        <w:t xml:space="preserve"> </w:t>
      </w:r>
      <w:r>
        <w:rPr>
          <w:sz w:val="20"/>
          <w:szCs w:val="20"/>
        </w:rPr>
        <w:t>0.</w:t>
      </w:r>
      <w:r>
        <w:rPr>
          <w:sz w:val="20"/>
          <w:szCs w:val="20"/>
        </w:rPr>
        <w:t>2</w:t>
      </w:r>
      <w:r>
        <w:rPr>
          <w:sz w:val="20"/>
          <w:szCs w:val="20"/>
        </w:rPr>
        <w:t xml:space="preserve"> millio</w:t>
      </w:r>
      <w:r>
        <w:rPr>
          <w:sz w:val="20"/>
          <w:szCs w:val="20"/>
        </w:rPr>
        <w:t>n</w:t>
      </w:r>
      <w:r>
        <w:rPr>
          <w:sz w:val="20"/>
          <w:szCs w:val="20"/>
        </w:rPr>
        <w:t xml:space="preserve"> RSUs to employees whose compensation is charged to operating expense. During 2021, CoreCivic issued approximately</w:t>
      </w:r>
      <w:r>
        <w:rPr>
          <w:sz w:val="20"/>
          <w:szCs w:val="20"/>
        </w:rPr>
        <w:t xml:space="preserve"> </w:t>
      </w:r>
      <w:r>
        <w:rPr>
          <w:sz w:val="20"/>
          <w:szCs w:val="20"/>
        </w:rPr>
        <w:t>2.</w:t>
      </w:r>
      <w:r>
        <w:rPr>
          <w:sz w:val="20"/>
          <w:szCs w:val="20"/>
        </w:rPr>
        <w:t>7</w:t>
      </w:r>
      <w:r>
        <w:rPr>
          <w:sz w:val="20"/>
          <w:szCs w:val="20"/>
        </w:rPr>
        <w:t xml:space="preserve"> million RSUs to certain of its employees and non-employee directors, with an aggregate value of </w:t>
      </w:r>
      <w:r>
        <w:rPr>
          <w:sz w:val="20"/>
          <w:szCs w:val="20"/>
        </w:rPr>
        <w:t>$</w:t>
      </w:r>
      <w:r>
        <w:rPr>
          <w:sz w:val="20"/>
          <w:szCs w:val="20"/>
        </w:rPr>
        <w:t>21.</w:t>
      </w:r>
      <w:r>
        <w:rPr>
          <w:sz w:val="20"/>
          <w:szCs w:val="20"/>
        </w:rPr>
        <w:t>8</w:t>
      </w:r>
      <w:r>
        <w:rPr>
          <w:sz w:val="20"/>
          <w:szCs w:val="20"/>
        </w:rPr>
        <w:t xml:space="preserve"> million, i</w:t>
      </w:r>
      <w:r>
        <w:rPr>
          <w:sz w:val="20"/>
          <w:szCs w:val="20"/>
        </w:rPr>
        <w:t>ncluding</w:t>
      </w:r>
      <w:r>
        <w:rPr>
          <w:sz w:val="20"/>
          <w:szCs w:val="20"/>
        </w:rPr>
        <w:t xml:space="preserve"> </w:t>
      </w:r>
      <w:r>
        <w:rPr>
          <w:sz w:val="20"/>
          <w:szCs w:val="20"/>
        </w:rPr>
        <w:t>2.</w:t>
      </w:r>
      <w:r>
        <w:rPr>
          <w:sz w:val="20"/>
          <w:szCs w:val="20"/>
        </w:rPr>
        <w:t>5</w:t>
      </w:r>
      <w:r>
        <w:rPr>
          <w:sz w:val="20"/>
          <w:szCs w:val="20"/>
        </w:rPr>
        <w:t xml:space="preserve"> million RSUs to employees and non-employee directors whose compensation is charged to general and administrative expense and</w:t>
      </w:r>
      <w:r>
        <w:rPr>
          <w:sz w:val="20"/>
          <w:szCs w:val="20"/>
        </w:rPr>
        <w:t xml:space="preserve"> </w:t>
      </w:r>
      <w:r>
        <w:rPr>
          <w:sz w:val="20"/>
          <w:szCs w:val="20"/>
        </w:rPr>
        <w:t>0.</w:t>
      </w:r>
      <w:r>
        <w:rPr>
          <w:sz w:val="20"/>
          <w:szCs w:val="20"/>
        </w:rPr>
        <w:t>2</w:t>
      </w:r>
      <w:r>
        <w:rPr>
          <w:sz w:val="20"/>
          <w:szCs w:val="20"/>
        </w:rPr>
        <w:t xml:space="preserve"> million RSUs to employees whose compensation is charged to operating expense</w:t>
      </w:r>
      <w:r>
        <w:rPr>
          <w:sz w:val="20"/>
          <w:szCs w:val="20"/>
        </w:rPr>
        <w:t>.</w:t>
      </w:r>
      <w:r>
        <w:rPr>
          <w:sz w:val="20"/>
          <w:szCs w:val="20"/>
        </w:rPr>
        <w:t xml:space="preserve"> </w:t>
      </w:r>
    </w:p>
    <w:p w14:paraId="50293A4A" w14:textId="77777777" w:rsidR="00000000" w:rsidRDefault="003A1B5D">
      <w:pPr>
        <w:pStyle w:val="a3"/>
        <w:spacing w:before="240" w:beforeAutospacing="0" w:after="0" w:afterAutospacing="0"/>
        <w:ind w:left="476"/>
        <w:jc w:val="both"/>
        <w:divId w:val="1781295744"/>
        <w:rPr>
          <w:sz w:val="20"/>
          <w:szCs w:val="20"/>
        </w:rPr>
      </w:pPr>
      <w:r>
        <w:rPr>
          <w:sz w:val="20"/>
          <w:szCs w:val="20"/>
        </w:rPr>
        <w:t>Since 2015, CoreCivic has establish</w:t>
      </w:r>
      <w:r>
        <w:rPr>
          <w:sz w:val="20"/>
          <w:szCs w:val="20"/>
        </w:rPr>
        <w:t>ed performance-based vesting conditions on the RSUs awarded to its officers and executive officers that, unless earlier vested under the terms of the agreements, are subject to vesting over a</w:t>
      </w:r>
      <w:r>
        <w:rPr>
          <w:sz w:val="20"/>
          <w:szCs w:val="20"/>
        </w:rPr>
        <w:t xml:space="preserve"> </w:t>
      </w:r>
      <w:r>
        <w:rPr>
          <w:sz w:val="20"/>
          <w:szCs w:val="20"/>
        </w:rPr>
        <w:t>three-yea</w:t>
      </w:r>
      <w:r>
        <w:rPr>
          <w:sz w:val="20"/>
          <w:szCs w:val="20"/>
        </w:rPr>
        <w:t>r</w:t>
      </w:r>
      <w:r>
        <w:rPr>
          <w:sz w:val="20"/>
          <w:szCs w:val="20"/>
        </w:rPr>
        <w:t xml:space="preserve"> period based upon the satisfaction of certain annual </w:t>
      </w:r>
      <w:r>
        <w:rPr>
          <w:sz w:val="20"/>
          <w:szCs w:val="20"/>
        </w:rPr>
        <w:t>performance criteria, and no more than</w:t>
      </w:r>
      <w:r>
        <w:rPr>
          <w:sz w:val="20"/>
          <w:szCs w:val="20"/>
        </w:rPr>
        <w:t xml:space="preserve"> </w:t>
      </w:r>
      <w:r>
        <w:rPr>
          <w:sz w:val="20"/>
          <w:szCs w:val="20"/>
        </w:rPr>
        <w:t>one-thir</w:t>
      </w:r>
      <w:r>
        <w:rPr>
          <w:sz w:val="20"/>
          <w:szCs w:val="20"/>
        </w:rPr>
        <w:t>d</w:t>
      </w:r>
      <w:r>
        <w:rPr>
          <w:sz w:val="20"/>
          <w:szCs w:val="20"/>
        </w:rPr>
        <w:t xml:space="preserve"> of the RSUs can vest in any one performance period.</w:t>
      </w:r>
      <w:r>
        <w:rPr>
          <w:sz w:val="20"/>
          <w:szCs w:val="20"/>
        </w:rPr>
        <w:t xml:space="preserve"> </w:t>
      </w:r>
      <w:r>
        <w:rPr>
          <w:sz w:val="20"/>
          <w:szCs w:val="20"/>
        </w:rPr>
        <w:t>The RSUs awarded to officers and executive officers in 2020, 2021 and 2022 consist of a combination of awards with performance-based conditions and time-ba</w:t>
      </w:r>
      <w:r>
        <w:rPr>
          <w:sz w:val="20"/>
          <w:szCs w:val="20"/>
        </w:rPr>
        <w:t>sed conditions. Unless earlier vested under the terms of the RSU agreements, the RSUs with time-based vesting conditions vest in equal amounts over three years on the later of (i) the anniversary date of the grant or (ii) the delivery of the audited financ</w:t>
      </w:r>
      <w:r>
        <w:rPr>
          <w:sz w:val="20"/>
          <w:szCs w:val="20"/>
        </w:rPr>
        <w:t>ial statements by the Company’s independent registered public accountant for the applicable fiscal year. The RSUs with performance-based vesting conditions are divided into one-third increments, each of which is subject to vesting based upon satisfaction o</w:t>
      </w:r>
      <w:r>
        <w:rPr>
          <w:sz w:val="20"/>
          <w:szCs w:val="20"/>
        </w:rPr>
        <w:t>f certain annual performance criteria established at the beginning of the fiscal years ending December 31, 2020, 2021, and 2022 for the 2020 awards, December 31, 2021, 2022, and 2023 for the 2021 awards, and December 31, 2022, 2023, and 2024 for the 2022 a</w:t>
      </w:r>
      <w:r>
        <w:rPr>
          <w:sz w:val="20"/>
          <w:szCs w:val="20"/>
        </w:rPr>
        <w:t>wards, and which can be increased up to</w:t>
      </w:r>
      <w:r>
        <w:rPr>
          <w:sz w:val="20"/>
          <w:szCs w:val="20"/>
        </w:rPr>
        <w:t xml:space="preserve"> </w:t>
      </w:r>
      <w:r>
        <w:rPr>
          <w:sz w:val="20"/>
          <w:szCs w:val="20"/>
        </w:rPr>
        <w:t>15</w:t>
      </w:r>
      <w:r>
        <w:rPr>
          <w:sz w:val="20"/>
          <w:szCs w:val="20"/>
        </w:rPr>
        <w:t>0</w:t>
      </w:r>
      <w:r>
        <w:rPr>
          <w:sz w:val="20"/>
          <w:szCs w:val="20"/>
        </w:rPr>
        <w:t>% or decreased to</w:t>
      </w:r>
      <w:r>
        <w:rPr>
          <w:sz w:val="20"/>
          <w:szCs w:val="20"/>
        </w:rPr>
        <w:t xml:space="preserve"> </w:t>
      </w:r>
      <w:r>
        <w:rPr>
          <w:sz w:val="20"/>
          <w:szCs w:val="20"/>
        </w:rPr>
        <w:t>0</w:t>
      </w:r>
      <w:r>
        <w:rPr>
          <w:sz w:val="20"/>
          <w:szCs w:val="20"/>
        </w:rPr>
        <w:t>% based on performance relative to the annual performance criteria, and further increased or decreased using a modifier of</w:t>
      </w:r>
      <w:r>
        <w:rPr>
          <w:sz w:val="20"/>
          <w:szCs w:val="20"/>
        </w:rPr>
        <w:t xml:space="preserve"> </w:t>
      </w:r>
      <w:r>
        <w:rPr>
          <w:sz w:val="20"/>
          <w:szCs w:val="20"/>
        </w:rPr>
        <w:t>8</w:t>
      </w:r>
      <w:r>
        <w:rPr>
          <w:sz w:val="20"/>
          <w:szCs w:val="20"/>
        </w:rPr>
        <w:t>0</w:t>
      </w:r>
      <w:r>
        <w:rPr>
          <w:sz w:val="20"/>
          <w:szCs w:val="20"/>
        </w:rPr>
        <w:t>% to</w:t>
      </w:r>
      <w:r>
        <w:rPr>
          <w:sz w:val="20"/>
          <w:szCs w:val="20"/>
        </w:rPr>
        <w:t xml:space="preserve"> </w:t>
      </w:r>
      <w:r>
        <w:rPr>
          <w:sz w:val="20"/>
          <w:szCs w:val="20"/>
        </w:rPr>
        <w:t>12</w:t>
      </w:r>
      <w:r>
        <w:rPr>
          <w:sz w:val="20"/>
          <w:szCs w:val="20"/>
        </w:rPr>
        <w:t>0</w:t>
      </w:r>
      <w:r>
        <w:rPr>
          <w:sz w:val="20"/>
          <w:szCs w:val="20"/>
        </w:rPr>
        <w:t>% based on CoreCivic's total shareholder return relative to a</w:t>
      </w:r>
      <w:r>
        <w:rPr>
          <w:sz w:val="20"/>
          <w:szCs w:val="20"/>
        </w:rPr>
        <w:t xml:space="preserve"> peer group. Because the performance criteria for the fiscal years ending December 31, 2023 and 2024 have not yet been established, the values of the third RSU increment of the 2021 awards and of the second and third increments of the 2022 awards for finan</w:t>
      </w:r>
      <w:r>
        <w:rPr>
          <w:sz w:val="20"/>
          <w:szCs w:val="20"/>
        </w:rPr>
        <w:t>cial reporting purposes will not be determined until such criteria are established</w:t>
      </w:r>
      <w:r>
        <w:rPr>
          <w:sz w:val="20"/>
          <w:szCs w:val="20"/>
        </w:rPr>
        <w:t>.</w:t>
      </w:r>
      <w:r>
        <w:rPr>
          <w:sz w:val="20"/>
          <w:szCs w:val="20"/>
        </w:rPr>
        <w:t xml:space="preserve"> Time-based RSUs issued to other employees, unless earlier vested under the terms of the agreements, generally vest in equal amounts over</w:t>
      </w:r>
      <w:r>
        <w:rPr>
          <w:sz w:val="20"/>
          <w:szCs w:val="20"/>
        </w:rPr>
        <w:t xml:space="preserve"> </w:t>
      </w:r>
      <w:r>
        <w:rPr>
          <w:sz w:val="20"/>
          <w:szCs w:val="20"/>
        </w:rPr>
        <w:t>three year</w:t>
      </w:r>
      <w:r>
        <w:rPr>
          <w:sz w:val="20"/>
          <w:szCs w:val="20"/>
        </w:rPr>
        <w:t>s</w:t>
      </w:r>
      <w:r>
        <w:rPr>
          <w:sz w:val="20"/>
          <w:szCs w:val="20"/>
        </w:rPr>
        <w:t xml:space="preserve"> on the later of (i) the</w:t>
      </w:r>
      <w:r>
        <w:rPr>
          <w:sz w:val="20"/>
          <w:szCs w:val="20"/>
        </w:rPr>
        <w:t xml:space="preserve"> anniversary date of the grant or (ii) the delivery of the audited financial statements by the Company’s independent registered public accountant for the applicable fiscal year. RSUs issued to non-employee directors generally vest</w:t>
      </w:r>
      <w:r>
        <w:rPr>
          <w:sz w:val="20"/>
          <w:szCs w:val="20"/>
        </w:rPr>
        <w:t xml:space="preserve"> </w:t>
      </w:r>
      <w:r>
        <w:rPr>
          <w:sz w:val="20"/>
          <w:szCs w:val="20"/>
        </w:rPr>
        <w:t>one yea</w:t>
      </w:r>
      <w:r>
        <w:rPr>
          <w:sz w:val="20"/>
          <w:szCs w:val="20"/>
        </w:rPr>
        <w:t>r</w:t>
      </w:r>
      <w:r>
        <w:rPr>
          <w:sz w:val="20"/>
          <w:szCs w:val="20"/>
        </w:rPr>
        <w:t xml:space="preserve"> from the date of</w:t>
      </w:r>
      <w:r>
        <w:rPr>
          <w:sz w:val="20"/>
          <w:szCs w:val="20"/>
        </w:rPr>
        <w:t xml:space="preserve"> award</w:t>
      </w:r>
      <w:r>
        <w:rPr>
          <w:sz w:val="20"/>
          <w:szCs w:val="20"/>
        </w:rPr>
        <w:t>.</w:t>
      </w:r>
      <w:r>
        <w:rPr>
          <w:sz w:val="20"/>
          <w:szCs w:val="20"/>
        </w:rPr>
        <w:t xml:space="preserve"> </w:t>
      </w:r>
    </w:p>
    <w:p w14:paraId="58AE0B90" w14:textId="77777777" w:rsidR="00000000" w:rsidRDefault="003A1B5D">
      <w:pPr>
        <w:pStyle w:val="a3"/>
        <w:spacing w:before="240" w:beforeAutospacing="0" w:after="0" w:afterAutospacing="0"/>
        <w:ind w:left="476"/>
        <w:jc w:val="both"/>
        <w:divId w:val="1781295744"/>
        <w:rPr>
          <w:sz w:val="20"/>
          <w:szCs w:val="20"/>
        </w:rPr>
      </w:pPr>
      <w:r>
        <w:rPr>
          <w:sz w:val="20"/>
          <w:szCs w:val="20"/>
        </w:rPr>
        <w:t>During the three months ended September 30, 2022, CoreCivic expensed</w:t>
      </w:r>
      <w:r>
        <w:rPr>
          <w:sz w:val="20"/>
          <w:szCs w:val="20"/>
        </w:rPr>
        <w:t xml:space="preserve"> </w:t>
      </w:r>
      <w:r>
        <w:rPr>
          <w:sz w:val="20"/>
          <w:szCs w:val="20"/>
        </w:rPr>
        <w:t>$</w:t>
      </w:r>
      <w:r>
        <w:rPr>
          <w:sz w:val="20"/>
          <w:szCs w:val="20"/>
        </w:rPr>
        <w:t>2.</w:t>
      </w:r>
      <w:r>
        <w:rPr>
          <w:sz w:val="20"/>
          <w:szCs w:val="20"/>
        </w:rPr>
        <w:t>0</w:t>
      </w:r>
      <w:r>
        <w:rPr>
          <w:sz w:val="20"/>
          <w:szCs w:val="20"/>
        </w:rPr>
        <w:t xml:space="preserve"> millio</w:t>
      </w:r>
      <w:r>
        <w:rPr>
          <w:sz w:val="20"/>
          <w:szCs w:val="20"/>
        </w:rPr>
        <w:t>n</w:t>
      </w:r>
      <w:r>
        <w:rPr>
          <w:sz w:val="20"/>
          <w:szCs w:val="20"/>
        </w:rPr>
        <w:t xml:space="preserve">, net of forfeitures, relating to RSUs </w:t>
      </w:r>
      <w:r>
        <w:rPr>
          <w:sz w:val="20"/>
          <w:szCs w:val="20"/>
        </w:rPr>
        <w:t>(</w:t>
      </w:r>
      <w:r>
        <w:rPr>
          <w:sz w:val="20"/>
          <w:szCs w:val="20"/>
        </w:rPr>
        <w:t>$</w:t>
      </w:r>
      <w:r>
        <w:rPr>
          <w:sz w:val="20"/>
          <w:szCs w:val="20"/>
        </w:rPr>
        <w:t>0.</w:t>
      </w:r>
      <w:r>
        <w:rPr>
          <w:sz w:val="20"/>
          <w:szCs w:val="20"/>
        </w:rPr>
        <w:t>3</w:t>
      </w:r>
      <w:r>
        <w:rPr>
          <w:sz w:val="20"/>
          <w:szCs w:val="20"/>
        </w:rPr>
        <w:t xml:space="preserve"> millio</w:t>
      </w:r>
      <w:r>
        <w:rPr>
          <w:sz w:val="20"/>
          <w:szCs w:val="20"/>
        </w:rPr>
        <w:t>n</w:t>
      </w:r>
      <w:r>
        <w:rPr>
          <w:sz w:val="20"/>
          <w:szCs w:val="20"/>
        </w:rPr>
        <w:t xml:space="preserve"> of which was recorded in operating expenses and</w:t>
      </w:r>
      <w:r>
        <w:rPr>
          <w:sz w:val="20"/>
          <w:szCs w:val="20"/>
        </w:rPr>
        <w:t xml:space="preserve"> </w:t>
      </w:r>
      <w:r>
        <w:rPr>
          <w:sz w:val="20"/>
          <w:szCs w:val="20"/>
        </w:rPr>
        <w:t>$</w:t>
      </w:r>
      <w:r>
        <w:rPr>
          <w:sz w:val="20"/>
          <w:szCs w:val="20"/>
        </w:rPr>
        <w:t>1.</w:t>
      </w:r>
      <w:r>
        <w:rPr>
          <w:sz w:val="20"/>
          <w:szCs w:val="20"/>
        </w:rPr>
        <w:t>7</w:t>
      </w:r>
      <w:r>
        <w:rPr>
          <w:sz w:val="20"/>
          <w:szCs w:val="20"/>
        </w:rPr>
        <w:t xml:space="preserve"> millio</w:t>
      </w:r>
      <w:r>
        <w:rPr>
          <w:sz w:val="20"/>
          <w:szCs w:val="20"/>
        </w:rPr>
        <w:t>n</w:t>
      </w:r>
      <w:r>
        <w:rPr>
          <w:sz w:val="20"/>
          <w:szCs w:val="20"/>
        </w:rPr>
        <w:t xml:space="preserve"> of which was recorded in general and administrative </w:t>
      </w:r>
      <w:r>
        <w:rPr>
          <w:sz w:val="20"/>
          <w:szCs w:val="20"/>
        </w:rPr>
        <w:t>expenses). During the three months ended September 30, 2021, CoreCivic expensed</w:t>
      </w:r>
      <w:r>
        <w:rPr>
          <w:sz w:val="20"/>
          <w:szCs w:val="20"/>
        </w:rPr>
        <w:t xml:space="preserve"> </w:t>
      </w:r>
      <w:r>
        <w:rPr>
          <w:sz w:val="20"/>
          <w:szCs w:val="20"/>
        </w:rPr>
        <w:t>$</w:t>
      </w:r>
      <w:r>
        <w:rPr>
          <w:sz w:val="20"/>
          <w:szCs w:val="20"/>
        </w:rPr>
        <w:t>5.</w:t>
      </w:r>
      <w:r>
        <w:rPr>
          <w:sz w:val="20"/>
          <w:szCs w:val="20"/>
        </w:rPr>
        <w:t>1</w:t>
      </w:r>
      <w:r>
        <w:rPr>
          <w:sz w:val="20"/>
          <w:szCs w:val="20"/>
        </w:rPr>
        <w:t xml:space="preserve"> millio</w:t>
      </w:r>
      <w:r>
        <w:rPr>
          <w:sz w:val="20"/>
          <w:szCs w:val="20"/>
        </w:rPr>
        <w:t>n</w:t>
      </w:r>
      <w:r>
        <w:rPr>
          <w:sz w:val="20"/>
          <w:szCs w:val="20"/>
        </w:rPr>
        <w:t xml:space="preserve">, net of forfeitures, relating to RSUs </w:t>
      </w:r>
      <w:r>
        <w:rPr>
          <w:sz w:val="20"/>
          <w:szCs w:val="20"/>
        </w:rPr>
        <w:t>(</w:t>
      </w:r>
      <w:r>
        <w:rPr>
          <w:sz w:val="20"/>
          <w:szCs w:val="20"/>
        </w:rPr>
        <w:t>$</w:t>
      </w:r>
      <w:r>
        <w:rPr>
          <w:sz w:val="20"/>
          <w:szCs w:val="20"/>
        </w:rPr>
        <w:t>0.</w:t>
      </w:r>
      <w:r>
        <w:rPr>
          <w:sz w:val="20"/>
          <w:szCs w:val="20"/>
        </w:rPr>
        <w:t>4</w:t>
      </w:r>
      <w:r>
        <w:rPr>
          <w:sz w:val="20"/>
          <w:szCs w:val="20"/>
        </w:rPr>
        <w:t xml:space="preserve"> millio</w:t>
      </w:r>
      <w:r>
        <w:rPr>
          <w:sz w:val="20"/>
          <w:szCs w:val="20"/>
        </w:rPr>
        <w:t>n</w:t>
      </w:r>
      <w:r>
        <w:rPr>
          <w:sz w:val="20"/>
          <w:szCs w:val="20"/>
        </w:rPr>
        <w:t xml:space="preserve"> of which was recorded in operating expenses and</w:t>
      </w:r>
      <w:r>
        <w:rPr>
          <w:sz w:val="20"/>
          <w:szCs w:val="20"/>
        </w:rPr>
        <w:t xml:space="preserve"> </w:t>
      </w:r>
      <w:r>
        <w:rPr>
          <w:sz w:val="20"/>
          <w:szCs w:val="20"/>
        </w:rPr>
        <w:t>$</w:t>
      </w:r>
      <w:r>
        <w:rPr>
          <w:sz w:val="20"/>
          <w:szCs w:val="20"/>
        </w:rPr>
        <w:t>4.</w:t>
      </w:r>
      <w:r>
        <w:rPr>
          <w:sz w:val="20"/>
          <w:szCs w:val="20"/>
        </w:rPr>
        <w:t>7</w:t>
      </w:r>
      <w:r>
        <w:rPr>
          <w:sz w:val="20"/>
          <w:szCs w:val="20"/>
        </w:rPr>
        <w:t xml:space="preserve"> millio</w:t>
      </w:r>
      <w:r>
        <w:rPr>
          <w:sz w:val="20"/>
          <w:szCs w:val="20"/>
        </w:rPr>
        <w:t>n</w:t>
      </w:r>
      <w:r>
        <w:rPr>
          <w:sz w:val="20"/>
          <w:szCs w:val="20"/>
        </w:rPr>
        <w:t xml:space="preserve"> of which was recorded in general and administrativ</w:t>
      </w:r>
      <w:r>
        <w:rPr>
          <w:sz w:val="20"/>
          <w:szCs w:val="20"/>
        </w:rPr>
        <w:t>e expenses)</w:t>
      </w:r>
      <w:r>
        <w:rPr>
          <w:sz w:val="20"/>
          <w:szCs w:val="20"/>
        </w:rPr>
        <w:t>.</w:t>
      </w:r>
      <w:r>
        <w:rPr>
          <w:sz w:val="20"/>
          <w:szCs w:val="20"/>
        </w:rPr>
        <w:t xml:space="preserve"> </w:t>
      </w:r>
    </w:p>
    <w:p w14:paraId="27FE759F" w14:textId="77777777" w:rsidR="00000000" w:rsidRDefault="003A1B5D">
      <w:pPr>
        <w:pStyle w:val="a3"/>
        <w:spacing w:before="240" w:beforeAutospacing="0" w:after="0" w:afterAutospacing="0"/>
        <w:ind w:left="476"/>
        <w:jc w:val="both"/>
        <w:divId w:val="1781295744"/>
        <w:rPr>
          <w:sz w:val="20"/>
          <w:szCs w:val="20"/>
        </w:rPr>
      </w:pPr>
      <w:r>
        <w:rPr>
          <w:sz w:val="20"/>
          <w:szCs w:val="20"/>
        </w:rPr>
        <w:t>During the nine months ended September 30, 2022, CoreCivic expensed</w:t>
      </w:r>
      <w:r>
        <w:rPr>
          <w:sz w:val="20"/>
          <w:szCs w:val="20"/>
        </w:rPr>
        <w:t xml:space="preserve"> </w:t>
      </w:r>
      <w:r>
        <w:rPr>
          <w:sz w:val="20"/>
          <w:szCs w:val="20"/>
        </w:rPr>
        <w:t>$</w:t>
      </w:r>
      <w:r>
        <w:rPr>
          <w:sz w:val="20"/>
          <w:szCs w:val="20"/>
        </w:rPr>
        <w:t>11.</w:t>
      </w:r>
      <w:r>
        <w:rPr>
          <w:sz w:val="20"/>
          <w:szCs w:val="20"/>
        </w:rPr>
        <w:t>7</w:t>
      </w:r>
      <w:r>
        <w:rPr>
          <w:sz w:val="20"/>
          <w:szCs w:val="20"/>
        </w:rPr>
        <w:t xml:space="preserve"> millio</w:t>
      </w:r>
      <w:r>
        <w:rPr>
          <w:sz w:val="20"/>
          <w:szCs w:val="20"/>
        </w:rPr>
        <w:t>n</w:t>
      </w:r>
      <w:r>
        <w:rPr>
          <w:sz w:val="20"/>
          <w:szCs w:val="20"/>
        </w:rPr>
        <w:t xml:space="preserve">, net of forfeitures, relating to RSUs </w:t>
      </w:r>
      <w:r>
        <w:rPr>
          <w:sz w:val="20"/>
          <w:szCs w:val="20"/>
        </w:rPr>
        <w:t>(</w:t>
      </w:r>
      <w:r>
        <w:rPr>
          <w:sz w:val="20"/>
          <w:szCs w:val="20"/>
        </w:rPr>
        <w:t>$</w:t>
      </w:r>
      <w:r>
        <w:rPr>
          <w:sz w:val="20"/>
          <w:szCs w:val="20"/>
        </w:rPr>
        <w:t>1.</w:t>
      </w:r>
      <w:r>
        <w:rPr>
          <w:sz w:val="20"/>
          <w:szCs w:val="20"/>
        </w:rPr>
        <w:t>1</w:t>
      </w:r>
      <w:r>
        <w:rPr>
          <w:sz w:val="20"/>
          <w:szCs w:val="20"/>
        </w:rPr>
        <w:t xml:space="preserve"> millio</w:t>
      </w:r>
      <w:r>
        <w:rPr>
          <w:sz w:val="20"/>
          <w:szCs w:val="20"/>
        </w:rPr>
        <w:t>n</w:t>
      </w:r>
      <w:r>
        <w:rPr>
          <w:sz w:val="20"/>
          <w:szCs w:val="20"/>
        </w:rPr>
        <w:t xml:space="preserve"> of which was recorded in operating expenses and</w:t>
      </w:r>
      <w:r>
        <w:rPr>
          <w:sz w:val="20"/>
          <w:szCs w:val="20"/>
        </w:rPr>
        <w:t xml:space="preserve"> </w:t>
      </w:r>
      <w:r>
        <w:rPr>
          <w:sz w:val="20"/>
          <w:szCs w:val="20"/>
        </w:rPr>
        <w:t>$</w:t>
      </w:r>
      <w:r>
        <w:rPr>
          <w:sz w:val="20"/>
          <w:szCs w:val="20"/>
        </w:rPr>
        <w:t>10.</w:t>
      </w:r>
      <w:r>
        <w:rPr>
          <w:sz w:val="20"/>
          <w:szCs w:val="20"/>
        </w:rPr>
        <w:t>6</w:t>
      </w:r>
      <w:r>
        <w:rPr>
          <w:sz w:val="20"/>
          <w:szCs w:val="20"/>
        </w:rPr>
        <w:t xml:space="preserve"> millio</w:t>
      </w:r>
      <w:r>
        <w:rPr>
          <w:sz w:val="20"/>
          <w:szCs w:val="20"/>
        </w:rPr>
        <w:t>n</w:t>
      </w:r>
      <w:r>
        <w:rPr>
          <w:sz w:val="20"/>
          <w:szCs w:val="20"/>
        </w:rPr>
        <w:t xml:space="preserve"> of which was recorded in general and administr</w:t>
      </w:r>
      <w:r>
        <w:rPr>
          <w:sz w:val="20"/>
          <w:szCs w:val="20"/>
        </w:rPr>
        <w:t>ative expenses). During the nine months ended September 30, 2021, CoreCivic expensed</w:t>
      </w:r>
      <w:r>
        <w:rPr>
          <w:sz w:val="20"/>
          <w:szCs w:val="20"/>
        </w:rPr>
        <w:t xml:space="preserve"> </w:t>
      </w:r>
      <w:r>
        <w:rPr>
          <w:sz w:val="20"/>
          <w:szCs w:val="20"/>
        </w:rPr>
        <w:t>$</w:t>
      </w:r>
      <w:r>
        <w:rPr>
          <w:sz w:val="20"/>
          <w:szCs w:val="20"/>
        </w:rPr>
        <w:t>13.</w:t>
      </w:r>
      <w:r>
        <w:rPr>
          <w:sz w:val="20"/>
          <w:szCs w:val="20"/>
        </w:rPr>
        <w:t>6</w:t>
      </w:r>
      <w:r>
        <w:rPr>
          <w:sz w:val="20"/>
          <w:szCs w:val="20"/>
        </w:rPr>
        <w:t xml:space="preserve"> millio</w:t>
      </w:r>
      <w:r>
        <w:rPr>
          <w:sz w:val="20"/>
          <w:szCs w:val="20"/>
        </w:rPr>
        <w:t>n</w:t>
      </w:r>
      <w:r>
        <w:rPr>
          <w:sz w:val="20"/>
          <w:szCs w:val="20"/>
        </w:rPr>
        <w:t xml:space="preserve">, net of forfeitures, relating to RSUs </w:t>
      </w:r>
      <w:r>
        <w:rPr>
          <w:sz w:val="20"/>
          <w:szCs w:val="20"/>
        </w:rPr>
        <w:t>(</w:t>
      </w:r>
      <w:r>
        <w:rPr>
          <w:sz w:val="20"/>
          <w:szCs w:val="20"/>
        </w:rPr>
        <w:t>$</w:t>
      </w:r>
      <w:r>
        <w:rPr>
          <w:sz w:val="20"/>
          <w:szCs w:val="20"/>
        </w:rPr>
        <w:t>1.</w:t>
      </w:r>
      <w:r>
        <w:rPr>
          <w:sz w:val="20"/>
          <w:szCs w:val="20"/>
        </w:rPr>
        <w:t>2</w:t>
      </w:r>
      <w:r>
        <w:rPr>
          <w:sz w:val="20"/>
          <w:szCs w:val="20"/>
        </w:rPr>
        <w:t xml:space="preserve"> millio</w:t>
      </w:r>
      <w:r>
        <w:rPr>
          <w:sz w:val="20"/>
          <w:szCs w:val="20"/>
        </w:rPr>
        <w:t>n</w:t>
      </w:r>
      <w:r>
        <w:rPr>
          <w:sz w:val="20"/>
          <w:szCs w:val="20"/>
        </w:rPr>
        <w:t xml:space="preserve"> of which was recorded in operating expenses and</w:t>
      </w:r>
      <w:r>
        <w:rPr>
          <w:sz w:val="20"/>
          <w:szCs w:val="20"/>
        </w:rPr>
        <w:t xml:space="preserve"> </w:t>
      </w:r>
      <w:r>
        <w:rPr>
          <w:sz w:val="20"/>
          <w:szCs w:val="20"/>
        </w:rPr>
        <w:t>$</w:t>
      </w:r>
      <w:r>
        <w:rPr>
          <w:sz w:val="20"/>
          <w:szCs w:val="20"/>
        </w:rPr>
        <w:t>12.</w:t>
      </w:r>
      <w:r>
        <w:rPr>
          <w:sz w:val="20"/>
          <w:szCs w:val="20"/>
        </w:rPr>
        <w:t>4</w:t>
      </w:r>
      <w:r>
        <w:rPr>
          <w:sz w:val="20"/>
          <w:szCs w:val="20"/>
        </w:rPr>
        <w:t xml:space="preserve"> millio</w:t>
      </w:r>
      <w:r>
        <w:rPr>
          <w:sz w:val="20"/>
          <w:szCs w:val="20"/>
        </w:rPr>
        <w:t>n</w:t>
      </w:r>
      <w:r>
        <w:rPr>
          <w:sz w:val="20"/>
          <w:szCs w:val="20"/>
        </w:rPr>
        <w:t xml:space="preserve"> of which was recorded in general and admini</w:t>
      </w:r>
      <w:r>
        <w:rPr>
          <w:sz w:val="20"/>
          <w:szCs w:val="20"/>
        </w:rPr>
        <w:t>strative expenses). As of September 30, 2022, approximately</w:t>
      </w:r>
      <w:r>
        <w:rPr>
          <w:sz w:val="20"/>
          <w:szCs w:val="20"/>
        </w:rPr>
        <w:t xml:space="preserve"> </w:t>
      </w:r>
      <w:r>
        <w:rPr>
          <w:sz w:val="20"/>
          <w:szCs w:val="20"/>
        </w:rPr>
        <w:t>3.</w:t>
      </w:r>
      <w:r>
        <w:rPr>
          <w:sz w:val="20"/>
          <w:szCs w:val="20"/>
        </w:rPr>
        <w:t>9</w:t>
      </w:r>
      <w:r>
        <w:rPr>
          <w:sz w:val="20"/>
          <w:szCs w:val="20"/>
        </w:rPr>
        <w:t xml:space="preserve"> millio</w:t>
      </w:r>
      <w:r>
        <w:rPr>
          <w:sz w:val="20"/>
          <w:szCs w:val="20"/>
        </w:rPr>
        <w:t>n</w:t>
      </w:r>
      <w:r>
        <w:rPr>
          <w:sz w:val="20"/>
          <w:szCs w:val="20"/>
        </w:rPr>
        <w:t xml:space="preserve"> RSUs remained outstanding and subject to vesting</w:t>
      </w:r>
      <w:r>
        <w:rPr>
          <w:sz w:val="20"/>
          <w:szCs w:val="20"/>
        </w:rPr>
        <w:t>.</w:t>
      </w:r>
    </w:p>
    <w:p w14:paraId="67F31439" w14:textId="77777777" w:rsidR="00000000" w:rsidRDefault="003A1B5D">
      <w:pPr>
        <w:pStyle w:val="a3"/>
        <w:spacing w:before="240" w:beforeAutospacing="0" w:after="0" w:afterAutospacing="0"/>
        <w:jc w:val="center"/>
        <w:rPr>
          <w:sz w:val="20"/>
          <w:szCs w:val="20"/>
        </w:rPr>
      </w:pPr>
      <w:r>
        <w:rPr>
          <w:sz w:val="20"/>
          <w:szCs w:val="20"/>
        </w:rPr>
        <w:t>1</w:t>
      </w:r>
      <w:r>
        <w:rPr>
          <w:sz w:val="20"/>
          <w:szCs w:val="20"/>
        </w:rPr>
        <w:t>4</w:t>
      </w:r>
    </w:p>
    <w:p w14:paraId="735BC923" w14:textId="77777777" w:rsidR="00000000" w:rsidRDefault="003A1B5D">
      <w:pPr>
        <w:rPr>
          <w:rFonts w:eastAsia="Times New Roman"/>
        </w:rPr>
      </w:pPr>
      <w:r>
        <w:rPr>
          <w:rFonts w:eastAsia="Times New Roman"/>
        </w:rPr>
        <w:pict w14:anchorId="4B0216F7">
          <v:rect id="_x0000_i1040" style="width:0;height:1.5pt" o:hralign="center" o:hrstd="t" o:hr="t" fillcolor="#a0a0a0" stroked="f"/>
        </w:pict>
      </w:r>
    </w:p>
    <w:p w14:paraId="23403C47" w14:textId="77777777" w:rsidR="00000000" w:rsidRDefault="003A1B5D">
      <w:pPr>
        <w:pStyle w:val="a3"/>
        <w:spacing w:before="0" w:beforeAutospacing="0" w:after="0" w:afterAutospacing="0"/>
        <w:rPr>
          <w:sz w:val="20"/>
          <w:szCs w:val="20"/>
        </w:rPr>
      </w:pPr>
      <w:r>
        <w:rPr>
          <w:sz w:val="20"/>
          <w:szCs w:val="20"/>
        </w:rPr>
        <w:t> </w:t>
      </w:r>
    </w:p>
    <w:p w14:paraId="72552D4E" w14:textId="77777777" w:rsidR="00000000" w:rsidRDefault="003A1B5D">
      <w:pPr>
        <w:pStyle w:val="a3"/>
        <w:spacing w:before="0" w:beforeAutospacing="0" w:after="0" w:afterAutospacing="0"/>
        <w:ind w:left="476"/>
        <w:jc w:val="both"/>
        <w:rPr>
          <w:sz w:val="20"/>
          <w:szCs w:val="20"/>
        </w:rPr>
      </w:pPr>
      <w:r>
        <w:rPr>
          <w:sz w:val="20"/>
          <w:szCs w:val="20"/>
        </w:rPr>
        <w:t> </w:t>
      </w:r>
    </w:p>
    <w:p w14:paraId="48B80E69" w14:textId="77777777" w:rsidR="00000000" w:rsidRDefault="003A1B5D">
      <w:pPr>
        <w:jc w:val="both"/>
        <w:divId w:val="487285962"/>
        <w:rPr>
          <w:rFonts w:eastAsia="Times New Roman"/>
          <w:sz w:val="20"/>
          <w:szCs w:val="20"/>
        </w:rPr>
      </w:pPr>
      <w:r>
        <w:rPr>
          <w:rFonts w:eastAsia="Times New Roman"/>
          <w:b/>
          <w:bCs/>
          <w:sz w:val="20"/>
          <w:szCs w:val="20"/>
        </w:rPr>
        <w:t>7</w:t>
      </w:r>
      <w:r>
        <w:rPr>
          <w:rFonts w:eastAsia="Times New Roman"/>
          <w:b/>
          <w:bCs/>
          <w:sz w:val="20"/>
          <w:szCs w:val="20"/>
        </w:rPr>
        <w:t>.</w:t>
      </w:r>
    </w:p>
    <w:p w14:paraId="580D9C66" w14:textId="77777777" w:rsidR="00000000" w:rsidRDefault="003A1B5D">
      <w:pPr>
        <w:jc w:val="both"/>
        <w:divId w:val="1362776684"/>
        <w:rPr>
          <w:rFonts w:eastAsia="Times New Roman"/>
          <w:sz w:val="20"/>
          <w:szCs w:val="20"/>
        </w:rPr>
      </w:pPr>
      <w:r>
        <w:rPr>
          <w:rFonts w:eastAsia="Times New Roman"/>
          <w:b/>
          <w:bCs/>
          <w:sz w:val="20"/>
          <w:szCs w:val="20"/>
        </w:rPr>
        <w:t>EARNINGS PER SHAR</w:t>
      </w:r>
      <w:r>
        <w:rPr>
          <w:rFonts w:eastAsia="Times New Roman"/>
          <w:b/>
          <w:bCs/>
          <w:sz w:val="20"/>
          <w:szCs w:val="20"/>
        </w:rPr>
        <w:t>E</w:t>
      </w:r>
    </w:p>
    <w:p w14:paraId="1D35CF1F" w14:textId="77777777" w:rsidR="00000000" w:rsidRDefault="003A1B5D">
      <w:pPr>
        <w:pStyle w:val="a3"/>
        <w:spacing w:before="120" w:beforeAutospacing="0" w:after="0" w:afterAutospacing="0"/>
        <w:ind w:left="476"/>
        <w:jc w:val="both"/>
        <w:divId w:val="1256398881"/>
        <w:rPr>
          <w:sz w:val="20"/>
          <w:szCs w:val="20"/>
        </w:rPr>
      </w:pPr>
      <w:r>
        <w:rPr>
          <w:sz w:val="20"/>
          <w:szCs w:val="20"/>
        </w:rPr>
        <w:t>Basic earnings per share is computed by dividing net income by the w</w:t>
      </w:r>
      <w:r>
        <w:rPr>
          <w:sz w:val="20"/>
          <w:szCs w:val="20"/>
        </w:rPr>
        <w:t>eighted average number of common shares outstanding during the year. Diluted earnings per share reflects the potential dilution that could occur if securities or other contracts to issue common stock were exercised or converted into common stock or resulte</w:t>
      </w:r>
      <w:r>
        <w:rPr>
          <w:sz w:val="20"/>
          <w:szCs w:val="20"/>
        </w:rPr>
        <w:t>d in the issuance of common stock that then shared in the earnings of the entity. For CoreCivic, diluted earnings per share is computed by dividing net income by the weighted average number of common shares after considering the additional dilution related</w:t>
      </w:r>
      <w:r>
        <w:rPr>
          <w:sz w:val="20"/>
          <w:szCs w:val="20"/>
        </w:rPr>
        <w:t xml:space="preserve"> to restricted stock-based awards, stock options, and Operating Partnership Units</w:t>
      </w:r>
      <w:r>
        <w:rPr>
          <w:sz w:val="20"/>
          <w:szCs w:val="20"/>
        </w:rPr>
        <w:t>.</w:t>
      </w:r>
    </w:p>
    <w:p w14:paraId="3457987A" w14:textId="77777777" w:rsidR="00000000" w:rsidRDefault="003A1B5D">
      <w:pPr>
        <w:pStyle w:val="a3"/>
        <w:spacing w:before="240" w:beforeAutospacing="0" w:after="0" w:afterAutospacing="0"/>
        <w:ind w:left="476"/>
        <w:jc w:val="both"/>
        <w:divId w:val="1495956384"/>
        <w:rPr>
          <w:sz w:val="20"/>
          <w:szCs w:val="20"/>
        </w:rPr>
      </w:pPr>
      <w:r>
        <w:rPr>
          <w:sz w:val="20"/>
          <w:szCs w:val="20"/>
        </w:rPr>
        <w:t xml:space="preserve">A reconciliation of the numerator and denominator of the basic earnings per share computation to the numerator and denominator of the diluted earnings per share computation </w:t>
      </w:r>
      <w:r>
        <w:rPr>
          <w:sz w:val="20"/>
          <w:szCs w:val="20"/>
        </w:rPr>
        <w:t>is as follows (in thousands, except per share data)</w:t>
      </w:r>
      <w:r>
        <w:rPr>
          <w:sz w:val="20"/>
          <w:szCs w:val="20"/>
        </w:rPr>
        <w:t>:</w:t>
      </w:r>
    </w:p>
    <w:p w14:paraId="1F814D59" w14:textId="77777777" w:rsidR="00000000" w:rsidRDefault="003A1B5D">
      <w:pPr>
        <w:pStyle w:val="a3"/>
        <w:spacing w:before="240" w:beforeAutospacing="0" w:after="0" w:afterAutospacing="0"/>
        <w:ind w:left="476"/>
        <w:jc w:val="both"/>
        <w:divId w:val="1495956384"/>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83"/>
        <w:gridCol w:w="110"/>
        <w:gridCol w:w="160"/>
        <w:gridCol w:w="710"/>
        <w:gridCol w:w="110"/>
        <w:gridCol w:w="110"/>
        <w:gridCol w:w="160"/>
        <w:gridCol w:w="710"/>
        <w:gridCol w:w="110"/>
        <w:gridCol w:w="110"/>
        <w:gridCol w:w="160"/>
        <w:gridCol w:w="710"/>
        <w:gridCol w:w="110"/>
        <w:gridCol w:w="110"/>
        <w:gridCol w:w="160"/>
        <w:gridCol w:w="710"/>
        <w:gridCol w:w="142"/>
      </w:tblGrid>
      <w:tr w:rsidR="00000000" w14:paraId="42AD2096" w14:textId="77777777">
        <w:trPr>
          <w:divId w:val="1495956384"/>
          <w:tblCellSpacing w:w="15" w:type="dxa"/>
        </w:trPr>
        <w:tc>
          <w:tcPr>
            <w:tcW w:w="2519" w:type="pct"/>
            <w:vAlign w:val="center"/>
            <w:hideMark/>
          </w:tcPr>
          <w:p w14:paraId="3E811EAE" w14:textId="77777777" w:rsidR="00000000" w:rsidRDefault="003A1B5D">
            <w:pPr>
              <w:rPr>
                <w:sz w:val="20"/>
                <w:szCs w:val="20"/>
              </w:rPr>
            </w:pPr>
          </w:p>
        </w:tc>
        <w:tc>
          <w:tcPr>
            <w:tcW w:w="60" w:type="pct"/>
            <w:vAlign w:val="center"/>
            <w:hideMark/>
          </w:tcPr>
          <w:p w14:paraId="7A82E0C2" w14:textId="77777777" w:rsidR="00000000" w:rsidRDefault="003A1B5D">
            <w:pPr>
              <w:rPr>
                <w:rFonts w:eastAsia="Times New Roman"/>
                <w:sz w:val="20"/>
                <w:szCs w:val="20"/>
              </w:rPr>
            </w:pPr>
          </w:p>
        </w:tc>
        <w:tc>
          <w:tcPr>
            <w:tcW w:w="50" w:type="pct"/>
            <w:vAlign w:val="center"/>
            <w:hideMark/>
          </w:tcPr>
          <w:p w14:paraId="09F573BB" w14:textId="77777777" w:rsidR="00000000" w:rsidRDefault="003A1B5D">
            <w:pPr>
              <w:rPr>
                <w:rFonts w:eastAsia="Times New Roman"/>
                <w:sz w:val="20"/>
                <w:szCs w:val="20"/>
              </w:rPr>
            </w:pPr>
          </w:p>
        </w:tc>
        <w:tc>
          <w:tcPr>
            <w:tcW w:w="448" w:type="pct"/>
            <w:vAlign w:val="center"/>
            <w:hideMark/>
          </w:tcPr>
          <w:p w14:paraId="28658D26" w14:textId="77777777" w:rsidR="00000000" w:rsidRDefault="003A1B5D">
            <w:pPr>
              <w:rPr>
                <w:rFonts w:eastAsia="Times New Roman"/>
                <w:sz w:val="20"/>
                <w:szCs w:val="20"/>
              </w:rPr>
            </w:pPr>
          </w:p>
        </w:tc>
        <w:tc>
          <w:tcPr>
            <w:tcW w:w="50" w:type="pct"/>
            <w:vAlign w:val="center"/>
            <w:hideMark/>
          </w:tcPr>
          <w:p w14:paraId="5AE4B7D4" w14:textId="77777777" w:rsidR="00000000" w:rsidRDefault="003A1B5D">
            <w:pPr>
              <w:rPr>
                <w:rFonts w:eastAsia="Times New Roman"/>
                <w:sz w:val="20"/>
                <w:szCs w:val="20"/>
              </w:rPr>
            </w:pPr>
          </w:p>
        </w:tc>
        <w:tc>
          <w:tcPr>
            <w:tcW w:w="60" w:type="pct"/>
            <w:vAlign w:val="center"/>
            <w:hideMark/>
          </w:tcPr>
          <w:p w14:paraId="136D35BB" w14:textId="77777777" w:rsidR="00000000" w:rsidRDefault="003A1B5D">
            <w:pPr>
              <w:rPr>
                <w:rFonts w:eastAsia="Times New Roman"/>
                <w:sz w:val="20"/>
                <w:szCs w:val="20"/>
              </w:rPr>
            </w:pPr>
          </w:p>
        </w:tc>
        <w:tc>
          <w:tcPr>
            <w:tcW w:w="50" w:type="pct"/>
            <w:vAlign w:val="center"/>
            <w:hideMark/>
          </w:tcPr>
          <w:p w14:paraId="5FB3081F" w14:textId="77777777" w:rsidR="00000000" w:rsidRDefault="003A1B5D">
            <w:pPr>
              <w:rPr>
                <w:rFonts w:eastAsia="Times New Roman"/>
                <w:sz w:val="20"/>
                <w:szCs w:val="20"/>
              </w:rPr>
            </w:pPr>
          </w:p>
        </w:tc>
        <w:tc>
          <w:tcPr>
            <w:tcW w:w="470" w:type="pct"/>
            <w:vAlign w:val="center"/>
            <w:hideMark/>
          </w:tcPr>
          <w:p w14:paraId="724B6826" w14:textId="77777777" w:rsidR="00000000" w:rsidRDefault="003A1B5D">
            <w:pPr>
              <w:rPr>
                <w:rFonts w:eastAsia="Times New Roman"/>
                <w:sz w:val="20"/>
                <w:szCs w:val="20"/>
              </w:rPr>
            </w:pPr>
          </w:p>
        </w:tc>
        <w:tc>
          <w:tcPr>
            <w:tcW w:w="50" w:type="pct"/>
            <w:vAlign w:val="center"/>
            <w:hideMark/>
          </w:tcPr>
          <w:p w14:paraId="51E7604E" w14:textId="77777777" w:rsidR="00000000" w:rsidRDefault="003A1B5D">
            <w:pPr>
              <w:rPr>
                <w:rFonts w:eastAsia="Times New Roman"/>
                <w:sz w:val="20"/>
                <w:szCs w:val="20"/>
              </w:rPr>
            </w:pPr>
          </w:p>
        </w:tc>
        <w:tc>
          <w:tcPr>
            <w:tcW w:w="60" w:type="pct"/>
            <w:vAlign w:val="center"/>
            <w:hideMark/>
          </w:tcPr>
          <w:p w14:paraId="34667CC2" w14:textId="77777777" w:rsidR="00000000" w:rsidRDefault="003A1B5D">
            <w:pPr>
              <w:rPr>
                <w:rFonts w:eastAsia="Times New Roman"/>
                <w:sz w:val="20"/>
                <w:szCs w:val="20"/>
              </w:rPr>
            </w:pPr>
          </w:p>
        </w:tc>
        <w:tc>
          <w:tcPr>
            <w:tcW w:w="50" w:type="pct"/>
            <w:vAlign w:val="center"/>
            <w:hideMark/>
          </w:tcPr>
          <w:p w14:paraId="5ACCF1F2" w14:textId="77777777" w:rsidR="00000000" w:rsidRDefault="003A1B5D">
            <w:pPr>
              <w:rPr>
                <w:rFonts w:eastAsia="Times New Roman"/>
                <w:sz w:val="20"/>
                <w:szCs w:val="20"/>
              </w:rPr>
            </w:pPr>
          </w:p>
        </w:tc>
        <w:tc>
          <w:tcPr>
            <w:tcW w:w="448" w:type="pct"/>
            <w:vAlign w:val="center"/>
            <w:hideMark/>
          </w:tcPr>
          <w:p w14:paraId="036AB818" w14:textId="77777777" w:rsidR="00000000" w:rsidRDefault="003A1B5D">
            <w:pPr>
              <w:rPr>
                <w:rFonts w:eastAsia="Times New Roman"/>
                <w:sz w:val="20"/>
                <w:szCs w:val="20"/>
              </w:rPr>
            </w:pPr>
          </w:p>
        </w:tc>
        <w:tc>
          <w:tcPr>
            <w:tcW w:w="50" w:type="pct"/>
            <w:vAlign w:val="center"/>
            <w:hideMark/>
          </w:tcPr>
          <w:p w14:paraId="302528C4" w14:textId="77777777" w:rsidR="00000000" w:rsidRDefault="003A1B5D">
            <w:pPr>
              <w:rPr>
                <w:rFonts w:eastAsia="Times New Roman"/>
                <w:sz w:val="20"/>
                <w:szCs w:val="20"/>
              </w:rPr>
            </w:pPr>
          </w:p>
        </w:tc>
        <w:tc>
          <w:tcPr>
            <w:tcW w:w="60" w:type="pct"/>
            <w:vAlign w:val="center"/>
            <w:hideMark/>
          </w:tcPr>
          <w:p w14:paraId="1C99BBF3" w14:textId="77777777" w:rsidR="00000000" w:rsidRDefault="003A1B5D">
            <w:pPr>
              <w:rPr>
                <w:rFonts w:eastAsia="Times New Roman"/>
                <w:sz w:val="20"/>
                <w:szCs w:val="20"/>
              </w:rPr>
            </w:pPr>
          </w:p>
        </w:tc>
        <w:tc>
          <w:tcPr>
            <w:tcW w:w="50" w:type="pct"/>
            <w:vAlign w:val="center"/>
            <w:hideMark/>
          </w:tcPr>
          <w:p w14:paraId="50CC1D76" w14:textId="77777777" w:rsidR="00000000" w:rsidRDefault="003A1B5D">
            <w:pPr>
              <w:rPr>
                <w:rFonts w:eastAsia="Times New Roman"/>
                <w:sz w:val="20"/>
                <w:szCs w:val="20"/>
              </w:rPr>
            </w:pPr>
          </w:p>
        </w:tc>
        <w:tc>
          <w:tcPr>
            <w:tcW w:w="470" w:type="pct"/>
            <w:vAlign w:val="center"/>
            <w:hideMark/>
          </w:tcPr>
          <w:p w14:paraId="41931CF2" w14:textId="77777777" w:rsidR="00000000" w:rsidRDefault="003A1B5D">
            <w:pPr>
              <w:rPr>
                <w:rFonts w:eastAsia="Times New Roman"/>
                <w:sz w:val="20"/>
                <w:szCs w:val="20"/>
              </w:rPr>
            </w:pPr>
          </w:p>
        </w:tc>
        <w:tc>
          <w:tcPr>
            <w:tcW w:w="50" w:type="pct"/>
            <w:vAlign w:val="center"/>
            <w:hideMark/>
          </w:tcPr>
          <w:p w14:paraId="43CA4B07" w14:textId="77777777" w:rsidR="00000000" w:rsidRDefault="003A1B5D">
            <w:pPr>
              <w:rPr>
                <w:rFonts w:eastAsia="Times New Roman"/>
                <w:sz w:val="20"/>
                <w:szCs w:val="20"/>
              </w:rPr>
            </w:pPr>
          </w:p>
        </w:tc>
      </w:tr>
      <w:tr w:rsidR="00000000" w14:paraId="3DA493F1" w14:textId="77777777">
        <w:trPr>
          <w:divId w:val="1495956384"/>
          <w:trHeight w:val="160"/>
          <w:tblCellSpacing w:w="15" w:type="dxa"/>
        </w:trPr>
        <w:tc>
          <w:tcPr>
            <w:tcW w:w="0" w:type="auto"/>
            <w:vAlign w:val="bottom"/>
            <w:hideMark/>
          </w:tcPr>
          <w:p w14:paraId="06C7FA8E"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40E3C7D1"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7D757989" w14:textId="77777777" w:rsidR="00000000" w:rsidRDefault="003A1B5D">
            <w:pPr>
              <w:pStyle w:val="a3"/>
              <w:spacing w:before="0" w:beforeAutospacing="0" w:after="0" w:afterAutospacing="0"/>
              <w:jc w:val="center"/>
              <w:rPr>
                <w:sz w:val="16"/>
                <w:szCs w:val="16"/>
              </w:rPr>
            </w:pPr>
            <w:r>
              <w:rPr>
                <w:b/>
                <w:bCs/>
                <w:sz w:val="16"/>
                <w:szCs w:val="16"/>
              </w:rPr>
              <w:t xml:space="preserve">For the Three Months Ended </w:t>
            </w:r>
            <w:r>
              <w:rPr>
                <w:b/>
                <w:bCs/>
                <w:sz w:val="16"/>
                <w:szCs w:val="16"/>
              </w:rPr>
              <w:br/>
              <w:t>September 30</w:t>
            </w:r>
            <w:r>
              <w:rPr>
                <w:b/>
                <w:bCs/>
                <w:sz w:val="16"/>
                <w:szCs w:val="16"/>
              </w:rPr>
              <w:t>,</w:t>
            </w:r>
          </w:p>
        </w:tc>
        <w:tc>
          <w:tcPr>
            <w:tcW w:w="0" w:type="auto"/>
            <w:vAlign w:val="bottom"/>
            <w:hideMark/>
          </w:tcPr>
          <w:p w14:paraId="1EC46A18"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7026CECB"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1BD824CE" w14:textId="77777777" w:rsidR="00000000" w:rsidRDefault="003A1B5D">
            <w:pPr>
              <w:pStyle w:val="a3"/>
              <w:spacing w:before="0" w:beforeAutospacing="0" w:after="0" w:afterAutospacing="0"/>
              <w:jc w:val="center"/>
              <w:rPr>
                <w:sz w:val="16"/>
                <w:szCs w:val="16"/>
              </w:rPr>
            </w:pPr>
            <w:r>
              <w:rPr>
                <w:b/>
                <w:bCs/>
                <w:sz w:val="16"/>
                <w:szCs w:val="16"/>
              </w:rPr>
              <w:t xml:space="preserve">For the Nine Months Ended </w:t>
            </w:r>
            <w:r>
              <w:rPr>
                <w:b/>
                <w:bCs/>
                <w:sz w:val="16"/>
                <w:szCs w:val="16"/>
              </w:rPr>
              <w:br/>
              <w:t>September 30</w:t>
            </w:r>
            <w:r>
              <w:rPr>
                <w:b/>
                <w:bCs/>
                <w:sz w:val="16"/>
                <w:szCs w:val="16"/>
              </w:rPr>
              <w:t>,</w:t>
            </w:r>
          </w:p>
        </w:tc>
        <w:tc>
          <w:tcPr>
            <w:tcW w:w="0" w:type="auto"/>
            <w:vAlign w:val="bottom"/>
            <w:hideMark/>
          </w:tcPr>
          <w:p w14:paraId="4E08AB68"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7DC75536" w14:textId="77777777">
        <w:trPr>
          <w:divId w:val="1495956384"/>
          <w:trHeight w:val="160"/>
          <w:tblCellSpacing w:w="15" w:type="dxa"/>
        </w:trPr>
        <w:tc>
          <w:tcPr>
            <w:tcW w:w="0" w:type="auto"/>
            <w:vAlign w:val="bottom"/>
            <w:hideMark/>
          </w:tcPr>
          <w:p w14:paraId="6DCC5240"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527C48F3"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5077B1B"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0B0A72B5"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2ADF5090"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42270BD"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484BE6FD"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22E95A11"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D311610"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0F28667E"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1BF09ADC"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871AE67"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3C3CA65F"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4A0D5C51" w14:textId="77777777">
        <w:trPr>
          <w:divId w:val="1495956384"/>
          <w:trHeight w:val="200"/>
          <w:tblCellSpacing w:w="15" w:type="dxa"/>
        </w:trPr>
        <w:tc>
          <w:tcPr>
            <w:tcW w:w="0" w:type="auto"/>
            <w:hideMark/>
          </w:tcPr>
          <w:p w14:paraId="631CFC7D" w14:textId="77777777" w:rsidR="00000000" w:rsidRDefault="003A1B5D">
            <w:pPr>
              <w:pStyle w:val="a3"/>
              <w:spacing w:before="0" w:beforeAutospacing="0" w:after="0" w:afterAutospacing="0"/>
              <w:rPr>
                <w:sz w:val="20"/>
                <w:szCs w:val="20"/>
              </w:rPr>
            </w:pPr>
            <w:r>
              <w:rPr>
                <w:b/>
                <w:bCs/>
                <w:sz w:val="20"/>
                <w:szCs w:val="20"/>
              </w:rPr>
              <w:t>NUMERATO</w:t>
            </w:r>
            <w:r>
              <w:rPr>
                <w:b/>
                <w:bCs/>
                <w:sz w:val="20"/>
                <w:szCs w:val="20"/>
              </w:rPr>
              <w:t>R</w:t>
            </w:r>
          </w:p>
        </w:tc>
        <w:tc>
          <w:tcPr>
            <w:tcW w:w="0" w:type="auto"/>
            <w:vAlign w:val="bottom"/>
            <w:hideMark/>
          </w:tcPr>
          <w:p w14:paraId="6A0F3B9F"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656F3866"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76D381A2"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B21293A" w14:textId="77777777" w:rsidR="00000000" w:rsidRDefault="003A1B5D">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323755D6"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0FE4BC53"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5197DDD"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4DFE6C96"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3498A683"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F38B845" w14:textId="77777777" w:rsidR="00000000" w:rsidRDefault="003A1B5D">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E021040"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0363147" w14:textId="77777777" w:rsidR="00000000" w:rsidRDefault="003A1B5D">
            <w:pPr>
              <w:pStyle w:val="a3"/>
              <w:spacing w:before="0" w:beforeAutospacing="0" w:after="0" w:afterAutospacing="0"/>
              <w:jc w:val="right"/>
              <w:rPr>
                <w:sz w:val="20"/>
                <w:szCs w:val="20"/>
              </w:rPr>
            </w:pPr>
            <w:r>
              <w:rPr>
                <w:sz w:val="20"/>
                <w:szCs w:val="20"/>
              </w:rPr>
              <w:t> </w:t>
            </w:r>
          </w:p>
        </w:tc>
      </w:tr>
      <w:tr w:rsidR="00000000" w14:paraId="7D2193AB" w14:textId="77777777">
        <w:trPr>
          <w:divId w:val="1495956384"/>
          <w:trHeight w:val="200"/>
          <w:tblCellSpacing w:w="15" w:type="dxa"/>
        </w:trPr>
        <w:tc>
          <w:tcPr>
            <w:tcW w:w="0" w:type="auto"/>
            <w:hideMark/>
          </w:tcPr>
          <w:p w14:paraId="7D9B5C00" w14:textId="77777777" w:rsidR="00000000" w:rsidRDefault="003A1B5D">
            <w:pPr>
              <w:pStyle w:val="a3"/>
              <w:spacing w:before="0" w:beforeAutospacing="0" w:after="0" w:afterAutospacing="0"/>
              <w:rPr>
                <w:sz w:val="20"/>
                <w:szCs w:val="20"/>
              </w:rPr>
            </w:pPr>
            <w:r>
              <w:rPr>
                <w:b/>
                <w:bCs/>
                <w:sz w:val="20"/>
                <w:szCs w:val="20"/>
              </w:rPr>
              <w:t>Basic</w:t>
            </w:r>
            <w:r>
              <w:rPr>
                <w:b/>
                <w:bCs/>
                <w:sz w:val="20"/>
                <w:szCs w:val="20"/>
              </w:rPr>
              <w:t>:</w:t>
            </w:r>
          </w:p>
        </w:tc>
        <w:tc>
          <w:tcPr>
            <w:tcW w:w="0" w:type="auto"/>
            <w:vAlign w:val="bottom"/>
            <w:hideMark/>
          </w:tcPr>
          <w:p w14:paraId="4C255E44"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509E30B1"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FBED5E8"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37211CCB" w14:textId="77777777" w:rsidR="00000000" w:rsidRDefault="003A1B5D">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0C5A66B9"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03238BEC"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05BB7F81"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05173623"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66847EA5"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03FB7BC1" w14:textId="77777777" w:rsidR="00000000" w:rsidRDefault="003A1B5D">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1C758B4"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37A2D712" w14:textId="77777777" w:rsidR="00000000" w:rsidRDefault="003A1B5D">
            <w:pPr>
              <w:pStyle w:val="a3"/>
              <w:spacing w:before="0" w:beforeAutospacing="0" w:after="0" w:afterAutospacing="0"/>
              <w:jc w:val="right"/>
              <w:rPr>
                <w:sz w:val="20"/>
                <w:szCs w:val="20"/>
              </w:rPr>
            </w:pPr>
            <w:r>
              <w:rPr>
                <w:sz w:val="20"/>
                <w:szCs w:val="20"/>
              </w:rPr>
              <w:t> </w:t>
            </w:r>
          </w:p>
        </w:tc>
      </w:tr>
      <w:tr w:rsidR="00000000" w14:paraId="3A544A30" w14:textId="77777777">
        <w:trPr>
          <w:divId w:val="1495956384"/>
          <w:trHeight w:val="200"/>
          <w:tblCellSpacing w:w="15" w:type="dxa"/>
        </w:trPr>
        <w:tc>
          <w:tcPr>
            <w:tcW w:w="0" w:type="auto"/>
            <w:hideMark/>
          </w:tcPr>
          <w:p w14:paraId="0C2B07ED" w14:textId="77777777" w:rsidR="00000000" w:rsidRDefault="003A1B5D">
            <w:pPr>
              <w:pStyle w:val="a3"/>
              <w:spacing w:before="0" w:beforeAutospacing="0" w:after="0" w:afterAutospacing="0"/>
              <w:ind w:left="200"/>
              <w:rPr>
                <w:sz w:val="20"/>
                <w:szCs w:val="20"/>
              </w:rPr>
            </w:pPr>
            <w:r>
              <w:rPr>
                <w:sz w:val="20"/>
                <w:szCs w:val="20"/>
              </w:rPr>
              <w:t>Net income (loss</w:t>
            </w:r>
            <w:r>
              <w:rPr>
                <w:sz w:val="20"/>
                <w:szCs w:val="20"/>
              </w:rPr>
              <w:t>)</w:t>
            </w:r>
          </w:p>
        </w:tc>
        <w:tc>
          <w:tcPr>
            <w:tcW w:w="0" w:type="auto"/>
            <w:vAlign w:val="bottom"/>
            <w:hideMark/>
          </w:tcPr>
          <w:p w14:paraId="69DBCBD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028C30A"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26CF23BC" w14:textId="77777777" w:rsidR="00000000" w:rsidRDefault="003A1B5D">
            <w:pPr>
              <w:pStyle w:val="a3"/>
              <w:spacing w:before="0" w:beforeAutospacing="0" w:after="0" w:afterAutospacing="0"/>
              <w:jc w:val="right"/>
              <w:rPr>
                <w:sz w:val="20"/>
                <w:szCs w:val="20"/>
              </w:rPr>
            </w:pPr>
            <w:r>
              <w:rPr>
                <w:b/>
                <w:bCs/>
                <w:sz w:val="20"/>
                <w:szCs w:val="20"/>
              </w:rPr>
              <w:t>68,31</w:t>
            </w:r>
            <w:r>
              <w:rPr>
                <w:b/>
                <w:bCs/>
                <w:sz w:val="20"/>
                <w:szCs w:val="20"/>
              </w:rPr>
              <w:t>8</w:t>
            </w:r>
          </w:p>
        </w:tc>
        <w:tc>
          <w:tcPr>
            <w:tcW w:w="0" w:type="auto"/>
            <w:noWrap/>
            <w:vAlign w:val="bottom"/>
            <w:hideMark/>
          </w:tcPr>
          <w:p w14:paraId="739AB99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1CF9F78"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65257391"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68CF6B9F" w14:textId="77777777" w:rsidR="00000000" w:rsidRDefault="003A1B5D">
            <w:pPr>
              <w:pStyle w:val="a3"/>
              <w:spacing w:before="0" w:beforeAutospacing="0" w:after="0" w:afterAutospacing="0"/>
              <w:jc w:val="right"/>
              <w:rPr>
                <w:sz w:val="20"/>
                <w:szCs w:val="20"/>
              </w:rPr>
            </w:pPr>
            <w:r>
              <w:rPr>
                <w:sz w:val="20"/>
                <w:szCs w:val="20"/>
              </w:rPr>
              <w:t>30,01</w:t>
            </w:r>
            <w:r>
              <w:rPr>
                <w:sz w:val="20"/>
                <w:szCs w:val="20"/>
              </w:rPr>
              <w:t>2</w:t>
            </w:r>
          </w:p>
        </w:tc>
        <w:tc>
          <w:tcPr>
            <w:tcW w:w="0" w:type="auto"/>
            <w:noWrap/>
            <w:vAlign w:val="bottom"/>
            <w:hideMark/>
          </w:tcPr>
          <w:p w14:paraId="7860ACD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FD2CA0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49C80C6"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430501CC" w14:textId="77777777" w:rsidR="00000000" w:rsidRDefault="003A1B5D">
            <w:pPr>
              <w:pStyle w:val="a3"/>
              <w:spacing w:before="0" w:beforeAutospacing="0" w:after="0" w:afterAutospacing="0"/>
              <w:jc w:val="right"/>
              <w:rPr>
                <w:sz w:val="20"/>
                <w:szCs w:val="20"/>
              </w:rPr>
            </w:pPr>
            <w:r>
              <w:rPr>
                <w:b/>
                <w:bCs/>
                <w:sz w:val="20"/>
                <w:szCs w:val="20"/>
              </w:rPr>
              <w:t>97,88</w:t>
            </w:r>
            <w:r>
              <w:rPr>
                <w:b/>
                <w:bCs/>
                <w:sz w:val="20"/>
                <w:szCs w:val="20"/>
              </w:rPr>
              <w:t>3</w:t>
            </w:r>
          </w:p>
        </w:tc>
        <w:tc>
          <w:tcPr>
            <w:tcW w:w="0" w:type="auto"/>
            <w:noWrap/>
            <w:vAlign w:val="bottom"/>
            <w:hideMark/>
          </w:tcPr>
          <w:p w14:paraId="3222CF1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C6F9957"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605AA5B3"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1093B10D" w14:textId="77777777" w:rsidR="00000000" w:rsidRDefault="003A1B5D">
            <w:pPr>
              <w:pStyle w:val="a3"/>
              <w:spacing w:before="0" w:beforeAutospacing="0" w:after="0" w:afterAutospacing="0"/>
              <w:jc w:val="right"/>
              <w:rPr>
                <w:sz w:val="20"/>
                <w:szCs w:val="20"/>
              </w:rPr>
            </w:pPr>
            <w:r>
              <w:rPr>
                <w:sz w:val="20"/>
                <w:szCs w:val="20"/>
              </w:rPr>
              <w:t>(</w:t>
            </w:r>
            <w:r>
              <w:rPr>
                <w:sz w:val="20"/>
                <w:szCs w:val="20"/>
              </w:rPr>
              <w:t>79,93</w:t>
            </w:r>
            <w:r>
              <w:rPr>
                <w:sz w:val="20"/>
                <w:szCs w:val="20"/>
              </w:rPr>
              <w:t>3</w:t>
            </w:r>
          </w:p>
        </w:tc>
        <w:tc>
          <w:tcPr>
            <w:tcW w:w="0" w:type="auto"/>
            <w:noWrap/>
            <w:vAlign w:val="bottom"/>
            <w:hideMark/>
          </w:tcPr>
          <w:p w14:paraId="0CFBFE37" w14:textId="77777777" w:rsidR="00000000" w:rsidRDefault="003A1B5D">
            <w:pPr>
              <w:pStyle w:val="a3"/>
              <w:spacing w:before="0" w:beforeAutospacing="0" w:after="0" w:afterAutospacing="0"/>
              <w:rPr>
                <w:sz w:val="20"/>
                <w:szCs w:val="20"/>
              </w:rPr>
            </w:pPr>
            <w:r>
              <w:rPr>
                <w:sz w:val="20"/>
                <w:szCs w:val="20"/>
              </w:rPr>
              <w:t>)</w:t>
            </w:r>
          </w:p>
        </w:tc>
      </w:tr>
      <w:tr w:rsidR="00000000" w14:paraId="06CCCE6B" w14:textId="77777777">
        <w:trPr>
          <w:divId w:val="1495956384"/>
          <w:trHeight w:val="200"/>
          <w:tblCellSpacing w:w="15" w:type="dxa"/>
        </w:trPr>
        <w:tc>
          <w:tcPr>
            <w:tcW w:w="0" w:type="auto"/>
            <w:hideMark/>
          </w:tcPr>
          <w:p w14:paraId="4EAEF4D8" w14:textId="77777777" w:rsidR="00000000" w:rsidRDefault="003A1B5D">
            <w:pPr>
              <w:pStyle w:val="a3"/>
              <w:spacing w:before="0" w:beforeAutospacing="0" w:after="0" w:afterAutospacing="0"/>
              <w:rPr>
                <w:sz w:val="20"/>
                <w:szCs w:val="20"/>
              </w:rPr>
            </w:pPr>
            <w:r>
              <w:rPr>
                <w:b/>
                <w:bCs/>
                <w:sz w:val="20"/>
                <w:szCs w:val="20"/>
              </w:rPr>
              <w:t>Diluted</w:t>
            </w:r>
            <w:r>
              <w:rPr>
                <w:b/>
                <w:bCs/>
                <w:sz w:val="20"/>
                <w:szCs w:val="20"/>
              </w:rPr>
              <w:t>:</w:t>
            </w:r>
          </w:p>
        </w:tc>
        <w:tc>
          <w:tcPr>
            <w:tcW w:w="0" w:type="auto"/>
            <w:vAlign w:val="bottom"/>
            <w:hideMark/>
          </w:tcPr>
          <w:p w14:paraId="28F3E168"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2F1B0B94"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3B97FA78"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0708EEE" w14:textId="77777777" w:rsidR="00000000" w:rsidRDefault="003A1B5D">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0928294A"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64C4B3C7"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6931C676"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35978FA9"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126F045D"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48071F94" w14:textId="77777777" w:rsidR="00000000" w:rsidRDefault="003A1B5D">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45348A8"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1A173158" w14:textId="77777777" w:rsidR="00000000" w:rsidRDefault="003A1B5D">
            <w:pPr>
              <w:pStyle w:val="a3"/>
              <w:spacing w:before="0" w:beforeAutospacing="0" w:after="0" w:afterAutospacing="0"/>
              <w:jc w:val="right"/>
              <w:rPr>
                <w:sz w:val="20"/>
                <w:szCs w:val="20"/>
              </w:rPr>
            </w:pPr>
            <w:r>
              <w:rPr>
                <w:sz w:val="20"/>
                <w:szCs w:val="20"/>
              </w:rPr>
              <w:t> </w:t>
            </w:r>
          </w:p>
        </w:tc>
      </w:tr>
      <w:tr w:rsidR="00000000" w14:paraId="7457EE3C" w14:textId="77777777">
        <w:trPr>
          <w:divId w:val="1495956384"/>
          <w:trHeight w:val="200"/>
          <w:tblCellSpacing w:w="15" w:type="dxa"/>
        </w:trPr>
        <w:tc>
          <w:tcPr>
            <w:tcW w:w="0" w:type="auto"/>
            <w:hideMark/>
          </w:tcPr>
          <w:p w14:paraId="7A17A35A" w14:textId="77777777" w:rsidR="00000000" w:rsidRDefault="003A1B5D">
            <w:pPr>
              <w:pStyle w:val="a3"/>
              <w:spacing w:before="0" w:beforeAutospacing="0" w:after="0" w:afterAutospacing="0"/>
              <w:ind w:left="200"/>
              <w:rPr>
                <w:sz w:val="20"/>
                <w:szCs w:val="20"/>
              </w:rPr>
            </w:pPr>
            <w:r>
              <w:rPr>
                <w:sz w:val="20"/>
                <w:szCs w:val="20"/>
              </w:rPr>
              <w:t>Net income (loss</w:t>
            </w:r>
            <w:r>
              <w:rPr>
                <w:sz w:val="20"/>
                <w:szCs w:val="20"/>
              </w:rPr>
              <w:t>)</w:t>
            </w:r>
          </w:p>
        </w:tc>
        <w:tc>
          <w:tcPr>
            <w:tcW w:w="0" w:type="auto"/>
            <w:vAlign w:val="bottom"/>
            <w:hideMark/>
          </w:tcPr>
          <w:p w14:paraId="77E2B4A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F390F02"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5B019D50" w14:textId="77777777" w:rsidR="00000000" w:rsidRDefault="003A1B5D">
            <w:pPr>
              <w:pStyle w:val="a3"/>
              <w:spacing w:before="0" w:beforeAutospacing="0" w:after="0" w:afterAutospacing="0"/>
              <w:jc w:val="right"/>
              <w:rPr>
                <w:sz w:val="20"/>
                <w:szCs w:val="20"/>
              </w:rPr>
            </w:pPr>
            <w:r>
              <w:rPr>
                <w:b/>
                <w:bCs/>
                <w:sz w:val="20"/>
                <w:szCs w:val="20"/>
              </w:rPr>
              <w:t>68,31</w:t>
            </w:r>
            <w:r>
              <w:rPr>
                <w:b/>
                <w:bCs/>
                <w:sz w:val="20"/>
                <w:szCs w:val="20"/>
              </w:rPr>
              <w:t>8</w:t>
            </w:r>
          </w:p>
        </w:tc>
        <w:tc>
          <w:tcPr>
            <w:tcW w:w="0" w:type="auto"/>
            <w:noWrap/>
            <w:vAlign w:val="bottom"/>
            <w:hideMark/>
          </w:tcPr>
          <w:p w14:paraId="67FCDAE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A65DB41"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60992D92"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6F761586" w14:textId="77777777" w:rsidR="00000000" w:rsidRDefault="003A1B5D">
            <w:pPr>
              <w:pStyle w:val="a3"/>
              <w:spacing w:before="0" w:beforeAutospacing="0" w:after="0" w:afterAutospacing="0"/>
              <w:jc w:val="right"/>
              <w:rPr>
                <w:sz w:val="20"/>
                <w:szCs w:val="20"/>
              </w:rPr>
            </w:pPr>
            <w:r>
              <w:rPr>
                <w:sz w:val="20"/>
                <w:szCs w:val="20"/>
              </w:rPr>
              <w:t>30,01</w:t>
            </w:r>
            <w:r>
              <w:rPr>
                <w:sz w:val="20"/>
                <w:szCs w:val="20"/>
              </w:rPr>
              <w:t>2</w:t>
            </w:r>
          </w:p>
        </w:tc>
        <w:tc>
          <w:tcPr>
            <w:tcW w:w="0" w:type="auto"/>
            <w:noWrap/>
            <w:vAlign w:val="bottom"/>
            <w:hideMark/>
          </w:tcPr>
          <w:p w14:paraId="2024AD9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A235F2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A054B74"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382C9282" w14:textId="77777777" w:rsidR="00000000" w:rsidRDefault="003A1B5D">
            <w:pPr>
              <w:pStyle w:val="a3"/>
              <w:spacing w:before="0" w:beforeAutospacing="0" w:after="0" w:afterAutospacing="0"/>
              <w:jc w:val="right"/>
              <w:rPr>
                <w:sz w:val="20"/>
                <w:szCs w:val="20"/>
              </w:rPr>
            </w:pPr>
            <w:r>
              <w:rPr>
                <w:b/>
                <w:bCs/>
                <w:sz w:val="20"/>
                <w:szCs w:val="20"/>
              </w:rPr>
              <w:t>97,88</w:t>
            </w:r>
            <w:r>
              <w:rPr>
                <w:b/>
                <w:bCs/>
                <w:sz w:val="20"/>
                <w:szCs w:val="20"/>
              </w:rPr>
              <w:t>3</w:t>
            </w:r>
          </w:p>
        </w:tc>
        <w:tc>
          <w:tcPr>
            <w:tcW w:w="0" w:type="auto"/>
            <w:noWrap/>
            <w:vAlign w:val="bottom"/>
            <w:hideMark/>
          </w:tcPr>
          <w:p w14:paraId="20FD585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2322C7D"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49E18410"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6B942CAE" w14:textId="77777777" w:rsidR="00000000" w:rsidRDefault="003A1B5D">
            <w:pPr>
              <w:pStyle w:val="a3"/>
              <w:spacing w:before="0" w:beforeAutospacing="0" w:after="0" w:afterAutospacing="0"/>
              <w:jc w:val="right"/>
              <w:rPr>
                <w:sz w:val="20"/>
                <w:szCs w:val="20"/>
              </w:rPr>
            </w:pPr>
            <w:r>
              <w:rPr>
                <w:sz w:val="20"/>
                <w:szCs w:val="20"/>
              </w:rPr>
              <w:t>(</w:t>
            </w:r>
            <w:r>
              <w:rPr>
                <w:sz w:val="20"/>
                <w:szCs w:val="20"/>
              </w:rPr>
              <w:t>79,93</w:t>
            </w:r>
            <w:r>
              <w:rPr>
                <w:sz w:val="20"/>
                <w:szCs w:val="20"/>
              </w:rPr>
              <w:t>3</w:t>
            </w:r>
          </w:p>
        </w:tc>
        <w:tc>
          <w:tcPr>
            <w:tcW w:w="0" w:type="auto"/>
            <w:noWrap/>
            <w:vAlign w:val="bottom"/>
            <w:hideMark/>
          </w:tcPr>
          <w:p w14:paraId="2E830B5E" w14:textId="77777777" w:rsidR="00000000" w:rsidRDefault="003A1B5D">
            <w:pPr>
              <w:pStyle w:val="a3"/>
              <w:spacing w:before="0" w:beforeAutospacing="0" w:after="0" w:afterAutospacing="0"/>
              <w:rPr>
                <w:sz w:val="20"/>
                <w:szCs w:val="20"/>
              </w:rPr>
            </w:pPr>
            <w:r>
              <w:rPr>
                <w:sz w:val="20"/>
                <w:szCs w:val="20"/>
              </w:rPr>
              <w:t>)</w:t>
            </w:r>
          </w:p>
        </w:tc>
      </w:tr>
      <w:tr w:rsidR="00000000" w14:paraId="68C34E28" w14:textId="77777777">
        <w:trPr>
          <w:divId w:val="1495956384"/>
          <w:trHeight w:val="200"/>
          <w:tblCellSpacing w:w="15" w:type="dxa"/>
        </w:trPr>
        <w:tc>
          <w:tcPr>
            <w:tcW w:w="0" w:type="auto"/>
            <w:hideMark/>
          </w:tcPr>
          <w:p w14:paraId="6C5B72DF" w14:textId="77777777" w:rsidR="00000000" w:rsidRDefault="003A1B5D">
            <w:pPr>
              <w:pStyle w:val="a3"/>
              <w:spacing w:before="0" w:beforeAutospacing="0" w:after="0" w:afterAutospacing="0"/>
              <w:rPr>
                <w:sz w:val="20"/>
                <w:szCs w:val="20"/>
              </w:rPr>
            </w:pPr>
            <w:r>
              <w:rPr>
                <w:b/>
                <w:bCs/>
                <w:sz w:val="20"/>
                <w:szCs w:val="20"/>
              </w:rPr>
              <w:t>DENOMINATO</w:t>
            </w:r>
            <w:r>
              <w:rPr>
                <w:b/>
                <w:bCs/>
                <w:sz w:val="20"/>
                <w:szCs w:val="20"/>
              </w:rPr>
              <w:t>R</w:t>
            </w:r>
          </w:p>
        </w:tc>
        <w:tc>
          <w:tcPr>
            <w:tcW w:w="0" w:type="auto"/>
            <w:vAlign w:val="bottom"/>
            <w:hideMark/>
          </w:tcPr>
          <w:p w14:paraId="0B52D79E"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04266C9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120AC6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D83CE0D"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7484BD9C"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36AF14D"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8B7D28A"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1F14E17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F1B145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CE8DDBF"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1C8FB77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07D0F5D" w14:textId="77777777" w:rsidR="00000000" w:rsidRDefault="003A1B5D">
            <w:pPr>
              <w:pStyle w:val="a3"/>
              <w:spacing w:before="0" w:beforeAutospacing="0" w:after="0" w:afterAutospacing="0"/>
              <w:rPr>
                <w:sz w:val="20"/>
                <w:szCs w:val="20"/>
              </w:rPr>
            </w:pPr>
            <w:r>
              <w:rPr>
                <w:sz w:val="20"/>
                <w:szCs w:val="20"/>
              </w:rPr>
              <w:t> </w:t>
            </w:r>
          </w:p>
        </w:tc>
      </w:tr>
      <w:tr w:rsidR="00000000" w14:paraId="282543DC" w14:textId="77777777">
        <w:trPr>
          <w:divId w:val="1495956384"/>
          <w:trHeight w:val="200"/>
          <w:tblCellSpacing w:w="15" w:type="dxa"/>
        </w:trPr>
        <w:tc>
          <w:tcPr>
            <w:tcW w:w="0" w:type="auto"/>
            <w:hideMark/>
          </w:tcPr>
          <w:p w14:paraId="279A3989" w14:textId="77777777" w:rsidR="00000000" w:rsidRDefault="003A1B5D">
            <w:pPr>
              <w:pStyle w:val="a3"/>
              <w:spacing w:before="0" w:beforeAutospacing="0" w:after="0" w:afterAutospacing="0"/>
              <w:rPr>
                <w:sz w:val="20"/>
                <w:szCs w:val="20"/>
              </w:rPr>
            </w:pPr>
            <w:r>
              <w:rPr>
                <w:b/>
                <w:bCs/>
                <w:sz w:val="20"/>
                <w:szCs w:val="20"/>
              </w:rPr>
              <w:t>Basic</w:t>
            </w:r>
            <w:r>
              <w:rPr>
                <w:b/>
                <w:bCs/>
                <w:sz w:val="20"/>
                <w:szCs w:val="20"/>
              </w:rPr>
              <w:t>:</w:t>
            </w:r>
          </w:p>
        </w:tc>
        <w:tc>
          <w:tcPr>
            <w:tcW w:w="0" w:type="auto"/>
            <w:vAlign w:val="bottom"/>
            <w:hideMark/>
          </w:tcPr>
          <w:p w14:paraId="629E10EA"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64FBBA2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82209A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CD9BD3D"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083D9804"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3DFD968A"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4484F1BE"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3B3AD60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B3263E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72F4AB8"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2C52385B"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6948C7C8" w14:textId="77777777" w:rsidR="00000000" w:rsidRDefault="003A1B5D">
            <w:pPr>
              <w:pStyle w:val="a3"/>
              <w:spacing w:before="0" w:beforeAutospacing="0" w:after="0" w:afterAutospacing="0"/>
              <w:jc w:val="right"/>
              <w:rPr>
                <w:sz w:val="20"/>
                <w:szCs w:val="20"/>
              </w:rPr>
            </w:pPr>
            <w:r>
              <w:rPr>
                <w:sz w:val="20"/>
                <w:szCs w:val="20"/>
              </w:rPr>
              <w:t> </w:t>
            </w:r>
          </w:p>
        </w:tc>
      </w:tr>
      <w:tr w:rsidR="00000000" w14:paraId="7CFA0811" w14:textId="77777777">
        <w:trPr>
          <w:divId w:val="1495956384"/>
          <w:trHeight w:val="200"/>
          <w:tblCellSpacing w:w="15" w:type="dxa"/>
        </w:trPr>
        <w:tc>
          <w:tcPr>
            <w:tcW w:w="0" w:type="auto"/>
            <w:hideMark/>
          </w:tcPr>
          <w:p w14:paraId="38A92098" w14:textId="77777777" w:rsidR="00000000" w:rsidRDefault="003A1B5D">
            <w:pPr>
              <w:pStyle w:val="a3"/>
              <w:spacing w:before="0" w:beforeAutospacing="0" w:after="0" w:afterAutospacing="0"/>
              <w:ind w:left="200"/>
              <w:rPr>
                <w:sz w:val="20"/>
                <w:szCs w:val="20"/>
              </w:rPr>
            </w:pPr>
            <w:r>
              <w:rPr>
                <w:sz w:val="20"/>
                <w:szCs w:val="20"/>
              </w:rPr>
              <w:t>Weighted average common shares outstandin</w:t>
            </w:r>
            <w:r>
              <w:rPr>
                <w:sz w:val="20"/>
                <w:szCs w:val="20"/>
              </w:rPr>
              <w:t>g</w:t>
            </w:r>
          </w:p>
        </w:tc>
        <w:tc>
          <w:tcPr>
            <w:tcW w:w="0" w:type="auto"/>
            <w:vAlign w:val="bottom"/>
            <w:hideMark/>
          </w:tcPr>
          <w:p w14:paraId="4B54409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A3F6EE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E8E394E" w14:textId="77777777" w:rsidR="00000000" w:rsidRDefault="003A1B5D">
            <w:pPr>
              <w:pStyle w:val="a3"/>
              <w:spacing w:before="0" w:beforeAutospacing="0" w:after="0" w:afterAutospacing="0"/>
              <w:jc w:val="right"/>
              <w:rPr>
                <w:sz w:val="20"/>
                <w:szCs w:val="20"/>
              </w:rPr>
            </w:pPr>
            <w:r>
              <w:rPr>
                <w:b/>
                <w:bCs/>
                <w:sz w:val="20"/>
                <w:szCs w:val="20"/>
              </w:rPr>
              <w:t>116,56</w:t>
            </w:r>
            <w:r>
              <w:rPr>
                <w:b/>
                <w:bCs/>
                <w:sz w:val="20"/>
                <w:szCs w:val="20"/>
              </w:rPr>
              <w:t>9</w:t>
            </w:r>
          </w:p>
        </w:tc>
        <w:tc>
          <w:tcPr>
            <w:tcW w:w="0" w:type="auto"/>
            <w:noWrap/>
            <w:vAlign w:val="bottom"/>
            <w:hideMark/>
          </w:tcPr>
          <w:p w14:paraId="613957C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FE848A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D38EC3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BCACC07" w14:textId="77777777" w:rsidR="00000000" w:rsidRDefault="003A1B5D">
            <w:pPr>
              <w:pStyle w:val="a3"/>
              <w:spacing w:before="0" w:beforeAutospacing="0" w:after="0" w:afterAutospacing="0"/>
              <w:jc w:val="right"/>
              <w:rPr>
                <w:sz w:val="20"/>
                <w:szCs w:val="20"/>
              </w:rPr>
            </w:pPr>
            <w:r>
              <w:rPr>
                <w:sz w:val="20"/>
                <w:szCs w:val="20"/>
              </w:rPr>
              <w:t>120,28</w:t>
            </w:r>
            <w:r>
              <w:rPr>
                <w:sz w:val="20"/>
                <w:szCs w:val="20"/>
              </w:rPr>
              <w:t>5</w:t>
            </w:r>
          </w:p>
        </w:tc>
        <w:tc>
          <w:tcPr>
            <w:tcW w:w="0" w:type="auto"/>
            <w:noWrap/>
            <w:vAlign w:val="bottom"/>
            <w:hideMark/>
          </w:tcPr>
          <w:p w14:paraId="3E01FE6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D89E22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DB4D99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E0D3CC4" w14:textId="77777777" w:rsidR="00000000" w:rsidRDefault="003A1B5D">
            <w:pPr>
              <w:pStyle w:val="a3"/>
              <w:spacing w:before="0" w:beforeAutospacing="0" w:after="0" w:afterAutospacing="0"/>
              <w:jc w:val="right"/>
              <w:rPr>
                <w:sz w:val="20"/>
                <w:szCs w:val="20"/>
              </w:rPr>
            </w:pPr>
            <w:r>
              <w:rPr>
                <w:b/>
                <w:bCs/>
                <w:sz w:val="20"/>
                <w:szCs w:val="20"/>
              </w:rPr>
              <w:t>119,28</w:t>
            </w:r>
            <w:r>
              <w:rPr>
                <w:b/>
                <w:bCs/>
                <w:sz w:val="20"/>
                <w:szCs w:val="20"/>
              </w:rPr>
              <w:t>2</w:t>
            </w:r>
          </w:p>
        </w:tc>
        <w:tc>
          <w:tcPr>
            <w:tcW w:w="0" w:type="auto"/>
            <w:noWrap/>
            <w:vAlign w:val="bottom"/>
            <w:hideMark/>
          </w:tcPr>
          <w:p w14:paraId="5CE1182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26847D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598DB5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424A44D" w14:textId="77777777" w:rsidR="00000000" w:rsidRDefault="003A1B5D">
            <w:pPr>
              <w:pStyle w:val="a3"/>
              <w:spacing w:before="0" w:beforeAutospacing="0" w:after="0" w:afterAutospacing="0"/>
              <w:jc w:val="right"/>
              <w:rPr>
                <w:sz w:val="20"/>
                <w:szCs w:val="20"/>
              </w:rPr>
            </w:pPr>
            <w:r>
              <w:rPr>
                <w:sz w:val="20"/>
                <w:szCs w:val="20"/>
              </w:rPr>
              <w:t>120,16</w:t>
            </w:r>
            <w:r>
              <w:rPr>
                <w:sz w:val="20"/>
                <w:szCs w:val="20"/>
              </w:rPr>
              <w:t>1</w:t>
            </w:r>
          </w:p>
        </w:tc>
        <w:tc>
          <w:tcPr>
            <w:tcW w:w="0" w:type="auto"/>
            <w:noWrap/>
            <w:vAlign w:val="bottom"/>
            <w:hideMark/>
          </w:tcPr>
          <w:p w14:paraId="4CC0012D" w14:textId="77777777" w:rsidR="00000000" w:rsidRDefault="003A1B5D">
            <w:pPr>
              <w:pStyle w:val="a3"/>
              <w:spacing w:before="0" w:beforeAutospacing="0" w:after="0" w:afterAutospacing="0"/>
              <w:rPr>
                <w:sz w:val="20"/>
                <w:szCs w:val="20"/>
              </w:rPr>
            </w:pPr>
            <w:r>
              <w:rPr>
                <w:sz w:val="20"/>
                <w:szCs w:val="20"/>
              </w:rPr>
              <w:t> </w:t>
            </w:r>
          </w:p>
        </w:tc>
      </w:tr>
      <w:tr w:rsidR="00000000" w14:paraId="4F348E14" w14:textId="77777777">
        <w:trPr>
          <w:divId w:val="1495956384"/>
          <w:trHeight w:val="200"/>
          <w:tblCellSpacing w:w="15" w:type="dxa"/>
        </w:trPr>
        <w:tc>
          <w:tcPr>
            <w:tcW w:w="0" w:type="auto"/>
            <w:hideMark/>
          </w:tcPr>
          <w:p w14:paraId="1F146386" w14:textId="77777777" w:rsidR="00000000" w:rsidRDefault="003A1B5D">
            <w:pPr>
              <w:pStyle w:val="a3"/>
              <w:spacing w:before="0" w:beforeAutospacing="0" w:after="0" w:afterAutospacing="0"/>
              <w:rPr>
                <w:sz w:val="20"/>
                <w:szCs w:val="20"/>
              </w:rPr>
            </w:pPr>
            <w:r>
              <w:rPr>
                <w:b/>
                <w:bCs/>
                <w:sz w:val="20"/>
                <w:szCs w:val="20"/>
              </w:rPr>
              <w:t>Diluted</w:t>
            </w:r>
            <w:r>
              <w:rPr>
                <w:b/>
                <w:bCs/>
                <w:sz w:val="20"/>
                <w:szCs w:val="20"/>
              </w:rPr>
              <w:t>:</w:t>
            </w:r>
          </w:p>
        </w:tc>
        <w:tc>
          <w:tcPr>
            <w:tcW w:w="0" w:type="auto"/>
            <w:vAlign w:val="bottom"/>
            <w:hideMark/>
          </w:tcPr>
          <w:p w14:paraId="6C3ABC28"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2451386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AEC9FC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2BB6F03"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2B9EA361"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7FEE792E"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7AABDBB5"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2E18B4A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4D734E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F161BCC"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1E3547B0"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7D0BF7F6" w14:textId="77777777" w:rsidR="00000000" w:rsidRDefault="003A1B5D">
            <w:pPr>
              <w:pStyle w:val="a3"/>
              <w:spacing w:before="0" w:beforeAutospacing="0" w:after="0" w:afterAutospacing="0"/>
              <w:jc w:val="right"/>
              <w:rPr>
                <w:sz w:val="20"/>
                <w:szCs w:val="20"/>
              </w:rPr>
            </w:pPr>
            <w:r>
              <w:rPr>
                <w:sz w:val="20"/>
                <w:szCs w:val="20"/>
              </w:rPr>
              <w:t> </w:t>
            </w:r>
          </w:p>
        </w:tc>
      </w:tr>
      <w:tr w:rsidR="00000000" w14:paraId="33E27B97" w14:textId="77777777">
        <w:trPr>
          <w:divId w:val="1495956384"/>
          <w:trHeight w:val="200"/>
          <w:tblCellSpacing w:w="15" w:type="dxa"/>
        </w:trPr>
        <w:tc>
          <w:tcPr>
            <w:tcW w:w="0" w:type="auto"/>
            <w:hideMark/>
          </w:tcPr>
          <w:p w14:paraId="2E3B7CE5" w14:textId="77777777" w:rsidR="00000000" w:rsidRDefault="003A1B5D">
            <w:pPr>
              <w:pStyle w:val="a3"/>
              <w:spacing w:before="0" w:beforeAutospacing="0" w:after="0" w:afterAutospacing="0"/>
              <w:ind w:left="200"/>
              <w:rPr>
                <w:sz w:val="20"/>
                <w:szCs w:val="20"/>
              </w:rPr>
            </w:pPr>
            <w:r>
              <w:rPr>
                <w:sz w:val="20"/>
                <w:szCs w:val="20"/>
              </w:rPr>
              <w:t>Weighted average common shares outstandin</w:t>
            </w:r>
            <w:r>
              <w:rPr>
                <w:sz w:val="20"/>
                <w:szCs w:val="20"/>
              </w:rPr>
              <w:t>g</w:t>
            </w:r>
          </w:p>
        </w:tc>
        <w:tc>
          <w:tcPr>
            <w:tcW w:w="0" w:type="auto"/>
            <w:vAlign w:val="bottom"/>
            <w:hideMark/>
          </w:tcPr>
          <w:p w14:paraId="3B3318A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246D3F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23E246F" w14:textId="77777777" w:rsidR="00000000" w:rsidRDefault="003A1B5D">
            <w:pPr>
              <w:pStyle w:val="a3"/>
              <w:spacing w:before="0" w:beforeAutospacing="0" w:after="0" w:afterAutospacing="0"/>
              <w:jc w:val="right"/>
              <w:rPr>
                <w:sz w:val="20"/>
                <w:szCs w:val="20"/>
              </w:rPr>
            </w:pPr>
            <w:r>
              <w:rPr>
                <w:b/>
                <w:bCs/>
                <w:sz w:val="20"/>
                <w:szCs w:val="20"/>
              </w:rPr>
              <w:t>116,56</w:t>
            </w:r>
            <w:r>
              <w:rPr>
                <w:b/>
                <w:bCs/>
                <w:sz w:val="20"/>
                <w:szCs w:val="20"/>
              </w:rPr>
              <w:t>9</w:t>
            </w:r>
          </w:p>
        </w:tc>
        <w:tc>
          <w:tcPr>
            <w:tcW w:w="0" w:type="auto"/>
            <w:noWrap/>
            <w:vAlign w:val="bottom"/>
            <w:hideMark/>
          </w:tcPr>
          <w:p w14:paraId="0508ACA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8D3BBC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DD7EE4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FDDE979" w14:textId="77777777" w:rsidR="00000000" w:rsidRDefault="003A1B5D">
            <w:pPr>
              <w:pStyle w:val="a3"/>
              <w:spacing w:before="0" w:beforeAutospacing="0" w:after="0" w:afterAutospacing="0"/>
              <w:jc w:val="right"/>
              <w:rPr>
                <w:sz w:val="20"/>
                <w:szCs w:val="20"/>
              </w:rPr>
            </w:pPr>
            <w:r>
              <w:rPr>
                <w:sz w:val="20"/>
                <w:szCs w:val="20"/>
              </w:rPr>
              <w:t>120,28</w:t>
            </w:r>
            <w:r>
              <w:rPr>
                <w:sz w:val="20"/>
                <w:szCs w:val="20"/>
              </w:rPr>
              <w:t>5</w:t>
            </w:r>
          </w:p>
        </w:tc>
        <w:tc>
          <w:tcPr>
            <w:tcW w:w="0" w:type="auto"/>
            <w:noWrap/>
            <w:vAlign w:val="bottom"/>
            <w:hideMark/>
          </w:tcPr>
          <w:p w14:paraId="0F52973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E7F945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F6A770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265A5B5" w14:textId="77777777" w:rsidR="00000000" w:rsidRDefault="003A1B5D">
            <w:pPr>
              <w:pStyle w:val="a3"/>
              <w:spacing w:before="0" w:beforeAutospacing="0" w:after="0" w:afterAutospacing="0"/>
              <w:jc w:val="right"/>
              <w:rPr>
                <w:sz w:val="20"/>
                <w:szCs w:val="20"/>
              </w:rPr>
            </w:pPr>
            <w:r>
              <w:rPr>
                <w:b/>
                <w:bCs/>
                <w:sz w:val="20"/>
                <w:szCs w:val="20"/>
              </w:rPr>
              <w:t>119,28</w:t>
            </w:r>
            <w:r>
              <w:rPr>
                <w:b/>
                <w:bCs/>
                <w:sz w:val="20"/>
                <w:szCs w:val="20"/>
              </w:rPr>
              <w:t>2</w:t>
            </w:r>
          </w:p>
        </w:tc>
        <w:tc>
          <w:tcPr>
            <w:tcW w:w="0" w:type="auto"/>
            <w:noWrap/>
            <w:vAlign w:val="bottom"/>
            <w:hideMark/>
          </w:tcPr>
          <w:p w14:paraId="3092D9E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CBD97B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072B89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C20B35A" w14:textId="77777777" w:rsidR="00000000" w:rsidRDefault="003A1B5D">
            <w:pPr>
              <w:pStyle w:val="a3"/>
              <w:spacing w:before="0" w:beforeAutospacing="0" w:after="0" w:afterAutospacing="0"/>
              <w:jc w:val="right"/>
              <w:rPr>
                <w:sz w:val="20"/>
                <w:szCs w:val="20"/>
              </w:rPr>
            </w:pPr>
            <w:r>
              <w:rPr>
                <w:sz w:val="20"/>
                <w:szCs w:val="20"/>
              </w:rPr>
              <w:t>120,16</w:t>
            </w:r>
            <w:r>
              <w:rPr>
                <w:sz w:val="20"/>
                <w:szCs w:val="20"/>
              </w:rPr>
              <w:t>1</w:t>
            </w:r>
          </w:p>
        </w:tc>
        <w:tc>
          <w:tcPr>
            <w:tcW w:w="0" w:type="auto"/>
            <w:noWrap/>
            <w:vAlign w:val="bottom"/>
            <w:hideMark/>
          </w:tcPr>
          <w:p w14:paraId="7D8D6181" w14:textId="77777777" w:rsidR="00000000" w:rsidRDefault="003A1B5D">
            <w:pPr>
              <w:pStyle w:val="a3"/>
              <w:spacing w:before="0" w:beforeAutospacing="0" w:after="0" w:afterAutospacing="0"/>
              <w:rPr>
                <w:sz w:val="20"/>
                <w:szCs w:val="20"/>
              </w:rPr>
            </w:pPr>
            <w:r>
              <w:rPr>
                <w:sz w:val="20"/>
                <w:szCs w:val="20"/>
              </w:rPr>
              <w:t> </w:t>
            </w:r>
          </w:p>
        </w:tc>
      </w:tr>
      <w:tr w:rsidR="00000000" w14:paraId="05D7B4BF" w14:textId="77777777">
        <w:trPr>
          <w:divId w:val="1495956384"/>
          <w:trHeight w:val="200"/>
          <w:tblCellSpacing w:w="15" w:type="dxa"/>
        </w:trPr>
        <w:tc>
          <w:tcPr>
            <w:tcW w:w="0" w:type="auto"/>
            <w:hideMark/>
          </w:tcPr>
          <w:p w14:paraId="12AC0EB9" w14:textId="77777777" w:rsidR="00000000" w:rsidRDefault="003A1B5D">
            <w:pPr>
              <w:pStyle w:val="a3"/>
              <w:spacing w:before="0" w:beforeAutospacing="0" w:after="0" w:afterAutospacing="0"/>
              <w:ind w:left="200"/>
              <w:rPr>
                <w:sz w:val="20"/>
                <w:szCs w:val="20"/>
              </w:rPr>
            </w:pPr>
            <w:r>
              <w:rPr>
                <w:sz w:val="20"/>
                <w:szCs w:val="20"/>
              </w:rPr>
              <w:t>Effect of dilutive securities</w:t>
            </w:r>
            <w:r>
              <w:rPr>
                <w:sz w:val="20"/>
                <w:szCs w:val="20"/>
              </w:rPr>
              <w:t>:</w:t>
            </w:r>
          </w:p>
        </w:tc>
        <w:tc>
          <w:tcPr>
            <w:tcW w:w="0" w:type="auto"/>
            <w:vAlign w:val="bottom"/>
            <w:hideMark/>
          </w:tcPr>
          <w:p w14:paraId="6DBD91E4"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1C92CAF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682532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0BCFA0E"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3CD19A5E"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01BD33A"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683320F"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0224491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513959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B5EDD90"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216692AA"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771543D2" w14:textId="77777777" w:rsidR="00000000" w:rsidRDefault="003A1B5D">
            <w:pPr>
              <w:pStyle w:val="a3"/>
              <w:spacing w:before="0" w:beforeAutospacing="0" w:after="0" w:afterAutospacing="0"/>
              <w:jc w:val="right"/>
              <w:rPr>
                <w:sz w:val="20"/>
                <w:szCs w:val="20"/>
              </w:rPr>
            </w:pPr>
            <w:r>
              <w:rPr>
                <w:sz w:val="20"/>
                <w:szCs w:val="20"/>
              </w:rPr>
              <w:t> </w:t>
            </w:r>
          </w:p>
        </w:tc>
      </w:tr>
      <w:tr w:rsidR="00000000" w14:paraId="317E979D" w14:textId="77777777">
        <w:trPr>
          <w:divId w:val="1495956384"/>
          <w:trHeight w:val="200"/>
          <w:tblCellSpacing w:w="15" w:type="dxa"/>
        </w:trPr>
        <w:tc>
          <w:tcPr>
            <w:tcW w:w="0" w:type="auto"/>
            <w:hideMark/>
          </w:tcPr>
          <w:p w14:paraId="3F3DB4C4" w14:textId="77777777" w:rsidR="00000000" w:rsidRDefault="003A1B5D">
            <w:pPr>
              <w:pStyle w:val="a3"/>
              <w:spacing w:before="0" w:beforeAutospacing="0" w:after="0" w:afterAutospacing="0"/>
              <w:ind w:left="400"/>
              <w:rPr>
                <w:sz w:val="20"/>
                <w:szCs w:val="20"/>
              </w:rPr>
            </w:pPr>
            <w:r>
              <w:rPr>
                <w:sz w:val="20"/>
                <w:szCs w:val="20"/>
              </w:rPr>
              <w:t>Restricted stock-based award</w:t>
            </w:r>
            <w:r>
              <w:rPr>
                <w:sz w:val="20"/>
                <w:szCs w:val="20"/>
              </w:rPr>
              <w:t>s</w:t>
            </w:r>
          </w:p>
        </w:tc>
        <w:tc>
          <w:tcPr>
            <w:tcW w:w="0" w:type="auto"/>
            <w:vAlign w:val="bottom"/>
            <w:hideMark/>
          </w:tcPr>
          <w:p w14:paraId="3D4C919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D79B47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10CB03E" w14:textId="77777777" w:rsidR="00000000" w:rsidRDefault="003A1B5D">
            <w:pPr>
              <w:pStyle w:val="a3"/>
              <w:spacing w:before="0" w:beforeAutospacing="0" w:after="0" w:afterAutospacing="0"/>
              <w:jc w:val="right"/>
              <w:rPr>
                <w:sz w:val="20"/>
                <w:szCs w:val="20"/>
              </w:rPr>
            </w:pPr>
            <w:r>
              <w:rPr>
                <w:b/>
                <w:bCs/>
                <w:sz w:val="20"/>
                <w:szCs w:val="20"/>
              </w:rPr>
              <w:t>88</w:t>
            </w:r>
            <w:r>
              <w:rPr>
                <w:b/>
                <w:bCs/>
                <w:sz w:val="20"/>
                <w:szCs w:val="20"/>
              </w:rPr>
              <w:t>1</w:t>
            </w:r>
          </w:p>
        </w:tc>
        <w:tc>
          <w:tcPr>
            <w:tcW w:w="0" w:type="auto"/>
            <w:noWrap/>
            <w:vAlign w:val="bottom"/>
            <w:hideMark/>
          </w:tcPr>
          <w:p w14:paraId="5ED1F5C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7CF3A3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3F97AF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4EF42E7" w14:textId="77777777" w:rsidR="00000000" w:rsidRDefault="003A1B5D">
            <w:pPr>
              <w:pStyle w:val="a3"/>
              <w:spacing w:before="0" w:beforeAutospacing="0" w:after="0" w:afterAutospacing="0"/>
              <w:jc w:val="right"/>
              <w:rPr>
                <w:sz w:val="20"/>
                <w:szCs w:val="20"/>
              </w:rPr>
            </w:pPr>
            <w:r>
              <w:rPr>
                <w:sz w:val="20"/>
                <w:szCs w:val="20"/>
              </w:rPr>
              <w:t>64</w:t>
            </w:r>
            <w:r>
              <w:rPr>
                <w:sz w:val="20"/>
                <w:szCs w:val="20"/>
              </w:rPr>
              <w:t>1</w:t>
            </w:r>
          </w:p>
        </w:tc>
        <w:tc>
          <w:tcPr>
            <w:tcW w:w="0" w:type="auto"/>
            <w:noWrap/>
            <w:vAlign w:val="bottom"/>
            <w:hideMark/>
          </w:tcPr>
          <w:p w14:paraId="59E6645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6A4684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C420DC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D16F03F" w14:textId="77777777" w:rsidR="00000000" w:rsidRDefault="003A1B5D">
            <w:pPr>
              <w:pStyle w:val="a3"/>
              <w:spacing w:before="0" w:beforeAutospacing="0" w:after="0" w:afterAutospacing="0"/>
              <w:jc w:val="right"/>
              <w:rPr>
                <w:sz w:val="20"/>
                <w:szCs w:val="20"/>
              </w:rPr>
            </w:pPr>
            <w:r>
              <w:rPr>
                <w:b/>
                <w:bCs/>
                <w:sz w:val="20"/>
                <w:szCs w:val="20"/>
              </w:rPr>
              <w:t>77</w:t>
            </w:r>
            <w:r>
              <w:rPr>
                <w:b/>
                <w:bCs/>
                <w:sz w:val="20"/>
                <w:szCs w:val="20"/>
              </w:rPr>
              <w:t>4</w:t>
            </w:r>
          </w:p>
        </w:tc>
        <w:tc>
          <w:tcPr>
            <w:tcW w:w="0" w:type="auto"/>
            <w:noWrap/>
            <w:vAlign w:val="bottom"/>
            <w:hideMark/>
          </w:tcPr>
          <w:p w14:paraId="640B64C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425C92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8A208F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B3E25D2"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7A3DD76E" w14:textId="77777777" w:rsidR="00000000" w:rsidRDefault="003A1B5D">
            <w:pPr>
              <w:pStyle w:val="a3"/>
              <w:spacing w:before="0" w:beforeAutospacing="0" w:after="0" w:afterAutospacing="0"/>
              <w:rPr>
                <w:sz w:val="20"/>
                <w:szCs w:val="20"/>
              </w:rPr>
            </w:pPr>
            <w:r>
              <w:rPr>
                <w:sz w:val="20"/>
                <w:szCs w:val="20"/>
              </w:rPr>
              <w:t> </w:t>
            </w:r>
          </w:p>
        </w:tc>
      </w:tr>
      <w:tr w:rsidR="00000000" w14:paraId="1CDA847C" w14:textId="77777777">
        <w:trPr>
          <w:divId w:val="1495956384"/>
          <w:trHeight w:val="200"/>
          <w:tblCellSpacing w:w="15" w:type="dxa"/>
        </w:trPr>
        <w:tc>
          <w:tcPr>
            <w:tcW w:w="0" w:type="auto"/>
            <w:hideMark/>
          </w:tcPr>
          <w:p w14:paraId="608B373A" w14:textId="77777777" w:rsidR="00000000" w:rsidRDefault="003A1B5D">
            <w:pPr>
              <w:pStyle w:val="a3"/>
              <w:spacing w:before="0" w:beforeAutospacing="0" w:after="0" w:afterAutospacing="0"/>
              <w:ind w:left="400"/>
              <w:rPr>
                <w:sz w:val="20"/>
                <w:szCs w:val="20"/>
              </w:rPr>
            </w:pPr>
            <w:r>
              <w:rPr>
                <w:sz w:val="20"/>
                <w:szCs w:val="20"/>
              </w:rPr>
              <w:t>Non-controlling interest - Operating Partnership</w:t>
            </w:r>
            <w:r>
              <w:rPr>
                <w:sz w:val="20"/>
                <w:szCs w:val="20"/>
              </w:rPr>
              <w:br/>
              <w:t>     Unit</w:t>
            </w:r>
            <w:r>
              <w:rPr>
                <w:sz w:val="20"/>
                <w:szCs w:val="20"/>
              </w:rPr>
              <w:t>s</w:t>
            </w:r>
          </w:p>
        </w:tc>
        <w:tc>
          <w:tcPr>
            <w:tcW w:w="0" w:type="auto"/>
            <w:vAlign w:val="bottom"/>
            <w:hideMark/>
          </w:tcPr>
          <w:p w14:paraId="57D29A1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56D4A8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CD0FA68" w14:textId="77777777" w:rsidR="00000000" w:rsidRDefault="003A1B5D">
            <w:pPr>
              <w:pStyle w:val="a3"/>
              <w:spacing w:before="0" w:beforeAutospacing="0" w:after="0" w:afterAutospacing="0"/>
              <w:jc w:val="right"/>
              <w:rPr>
                <w:sz w:val="20"/>
                <w:szCs w:val="20"/>
              </w:rPr>
            </w:pPr>
            <w:r>
              <w:rPr>
                <w:b/>
                <w:bCs/>
                <w:sz w:val="20"/>
                <w:szCs w:val="20"/>
              </w:rPr>
              <w:t>—</w:t>
            </w:r>
          </w:p>
        </w:tc>
        <w:tc>
          <w:tcPr>
            <w:tcW w:w="0" w:type="auto"/>
            <w:noWrap/>
            <w:vAlign w:val="bottom"/>
            <w:hideMark/>
          </w:tcPr>
          <w:p w14:paraId="482327B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7B6AF2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66B578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F0A558C" w14:textId="77777777" w:rsidR="00000000" w:rsidRDefault="003A1B5D">
            <w:pPr>
              <w:pStyle w:val="a3"/>
              <w:spacing w:before="0" w:beforeAutospacing="0" w:after="0" w:afterAutospacing="0"/>
              <w:jc w:val="right"/>
              <w:rPr>
                <w:sz w:val="20"/>
                <w:szCs w:val="20"/>
              </w:rPr>
            </w:pPr>
            <w:r>
              <w:rPr>
                <w:sz w:val="20"/>
                <w:szCs w:val="20"/>
              </w:rPr>
              <w:t>1,12</w:t>
            </w:r>
            <w:r>
              <w:rPr>
                <w:sz w:val="20"/>
                <w:szCs w:val="20"/>
              </w:rPr>
              <w:t>3</w:t>
            </w:r>
          </w:p>
        </w:tc>
        <w:tc>
          <w:tcPr>
            <w:tcW w:w="0" w:type="auto"/>
            <w:noWrap/>
            <w:vAlign w:val="bottom"/>
            <w:hideMark/>
          </w:tcPr>
          <w:p w14:paraId="2A80C4D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90C0B9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E24EB5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964E90D" w14:textId="77777777" w:rsidR="00000000" w:rsidRDefault="003A1B5D">
            <w:pPr>
              <w:pStyle w:val="a3"/>
              <w:spacing w:before="0" w:beforeAutospacing="0" w:after="0" w:afterAutospacing="0"/>
              <w:jc w:val="right"/>
              <w:rPr>
                <w:sz w:val="20"/>
                <w:szCs w:val="20"/>
              </w:rPr>
            </w:pPr>
            <w:r>
              <w:rPr>
                <w:b/>
                <w:bCs/>
                <w:sz w:val="20"/>
                <w:szCs w:val="20"/>
              </w:rPr>
              <w:t>—</w:t>
            </w:r>
          </w:p>
        </w:tc>
        <w:tc>
          <w:tcPr>
            <w:tcW w:w="0" w:type="auto"/>
            <w:noWrap/>
            <w:vAlign w:val="bottom"/>
            <w:hideMark/>
          </w:tcPr>
          <w:p w14:paraId="2F4D9B5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F4E6AE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E67B5C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BB62E73"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5720B55D" w14:textId="77777777" w:rsidR="00000000" w:rsidRDefault="003A1B5D">
            <w:pPr>
              <w:pStyle w:val="a3"/>
              <w:spacing w:before="0" w:beforeAutospacing="0" w:after="0" w:afterAutospacing="0"/>
              <w:rPr>
                <w:sz w:val="20"/>
                <w:szCs w:val="20"/>
              </w:rPr>
            </w:pPr>
            <w:r>
              <w:rPr>
                <w:sz w:val="20"/>
                <w:szCs w:val="20"/>
              </w:rPr>
              <w:t> </w:t>
            </w:r>
          </w:p>
        </w:tc>
      </w:tr>
      <w:tr w:rsidR="00000000" w14:paraId="34A1C848" w14:textId="77777777">
        <w:trPr>
          <w:divId w:val="1495956384"/>
          <w:trHeight w:val="200"/>
          <w:tblCellSpacing w:w="15" w:type="dxa"/>
        </w:trPr>
        <w:tc>
          <w:tcPr>
            <w:tcW w:w="0" w:type="auto"/>
            <w:hideMark/>
          </w:tcPr>
          <w:p w14:paraId="06193868" w14:textId="77777777" w:rsidR="00000000" w:rsidRDefault="003A1B5D">
            <w:pPr>
              <w:pStyle w:val="a3"/>
              <w:spacing w:before="0" w:beforeAutospacing="0" w:after="0" w:afterAutospacing="0"/>
              <w:ind w:left="200"/>
              <w:rPr>
                <w:sz w:val="20"/>
                <w:szCs w:val="20"/>
              </w:rPr>
            </w:pPr>
            <w:r>
              <w:rPr>
                <w:sz w:val="20"/>
                <w:szCs w:val="20"/>
              </w:rPr>
              <w:t>Weighted average shares and assumed conversion</w:t>
            </w:r>
            <w:r>
              <w:rPr>
                <w:sz w:val="20"/>
                <w:szCs w:val="20"/>
              </w:rPr>
              <w:t>s</w:t>
            </w:r>
          </w:p>
        </w:tc>
        <w:tc>
          <w:tcPr>
            <w:tcW w:w="0" w:type="auto"/>
            <w:vAlign w:val="bottom"/>
            <w:hideMark/>
          </w:tcPr>
          <w:p w14:paraId="1095997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62D401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100DF11" w14:textId="77777777" w:rsidR="00000000" w:rsidRDefault="003A1B5D">
            <w:pPr>
              <w:pStyle w:val="a3"/>
              <w:spacing w:before="0" w:beforeAutospacing="0" w:after="0" w:afterAutospacing="0"/>
              <w:jc w:val="right"/>
              <w:rPr>
                <w:sz w:val="20"/>
                <w:szCs w:val="20"/>
              </w:rPr>
            </w:pPr>
            <w:r>
              <w:rPr>
                <w:b/>
                <w:bCs/>
                <w:sz w:val="20"/>
                <w:szCs w:val="20"/>
              </w:rPr>
              <w:t>117,45</w:t>
            </w:r>
            <w:r>
              <w:rPr>
                <w:b/>
                <w:bCs/>
                <w:sz w:val="20"/>
                <w:szCs w:val="20"/>
              </w:rPr>
              <w:t>0</w:t>
            </w:r>
          </w:p>
        </w:tc>
        <w:tc>
          <w:tcPr>
            <w:tcW w:w="0" w:type="auto"/>
            <w:noWrap/>
            <w:vAlign w:val="bottom"/>
            <w:hideMark/>
          </w:tcPr>
          <w:p w14:paraId="397A5CC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647053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D9F88D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C5157A1" w14:textId="77777777" w:rsidR="00000000" w:rsidRDefault="003A1B5D">
            <w:pPr>
              <w:pStyle w:val="a3"/>
              <w:spacing w:before="0" w:beforeAutospacing="0" w:after="0" w:afterAutospacing="0"/>
              <w:jc w:val="right"/>
              <w:rPr>
                <w:sz w:val="20"/>
                <w:szCs w:val="20"/>
              </w:rPr>
            </w:pPr>
            <w:r>
              <w:rPr>
                <w:sz w:val="20"/>
                <w:szCs w:val="20"/>
              </w:rPr>
              <w:t>122,04</w:t>
            </w:r>
            <w:r>
              <w:rPr>
                <w:sz w:val="20"/>
                <w:szCs w:val="20"/>
              </w:rPr>
              <w:t>9</w:t>
            </w:r>
          </w:p>
        </w:tc>
        <w:tc>
          <w:tcPr>
            <w:tcW w:w="0" w:type="auto"/>
            <w:noWrap/>
            <w:vAlign w:val="bottom"/>
            <w:hideMark/>
          </w:tcPr>
          <w:p w14:paraId="179B85D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46983F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EF8307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267EC45" w14:textId="77777777" w:rsidR="00000000" w:rsidRDefault="003A1B5D">
            <w:pPr>
              <w:pStyle w:val="a3"/>
              <w:spacing w:before="0" w:beforeAutospacing="0" w:after="0" w:afterAutospacing="0"/>
              <w:jc w:val="right"/>
              <w:rPr>
                <w:sz w:val="20"/>
                <w:szCs w:val="20"/>
              </w:rPr>
            </w:pPr>
            <w:r>
              <w:rPr>
                <w:b/>
                <w:bCs/>
                <w:sz w:val="20"/>
                <w:szCs w:val="20"/>
              </w:rPr>
              <w:t>120,05</w:t>
            </w:r>
            <w:r>
              <w:rPr>
                <w:b/>
                <w:bCs/>
                <w:sz w:val="20"/>
                <w:szCs w:val="20"/>
              </w:rPr>
              <w:t>6</w:t>
            </w:r>
          </w:p>
        </w:tc>
        <w:tc>
          <w:tcPr>
            <w:tcW w:w="0" w:type="auto"/>
            <w:noWrap/>
            <w:vAlign w:val="bottom"/>
            <w:hideMark/>
          </w:tcPr>
          <w:p w14:paraId="57DFDEE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276CA2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2357D7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91B8637" w14:textId="77777777" w:rsidR="00000000" w:rsidRDefault="003A1B5D">
            <w:pPr>
              <w:pStyle w:val="a3"/>
              <w:spacing w:before="0" w:beforeAutospacing="0" w:after="0" w:afterAutospacing="0"/>
              <w:jc w:val="right"/>
              <w:rPr>
                <w:sz w:val="20"/>
                <w:szCs w:val="20"/>
              </w:rPr>
            </w:pPr>
            <w:r>
              <w:rPr>
                <w:sz w:val="20"/>
                <w:szCs w:val="20"/>
              </w:rPr>
              <w:t>120,16</w:t>
            </w:r>
            <w:r>
              <w:rPr>
                <w:sz w:val="20"/>
                <w:szCs w:val="20"/>
              </w:rPr>
              <w:t>1</w:t>
            </w:r>
          </w:p>
        </w:tc>
        <w:tc>
          <w:tcPr>
            <w:tcW w:w="0" w:type="auto"/>
            <w:noWrap/>
            <w:vAlign w:val="bottom"/>
            <w:hideMark/>
          </w:tcPr>
          <w:p w14:paraId="6FF8BE19" w14:textId="77777777" w:rsidR="00000000" w:rsidRDefault="003A1B5D">
            <w:pPr>
              <w:pStyle w:val="a3"/>
              <w:spacing w:before="0" w:beforeAutospacing="0" w:after="0" w:afterAutospacing="0"/>
              <w:rPr>
                <w:sz w:val="20"/>
                <w:szCs w:val="20"/>
              </w:rPr>
            </w:pPr>
            <w:r>
              <w:rPr>
                <w:sz w:val="20"/>
                <w:szCs w:val="20"/>
              </w:rPr>
              <w:t> </w:t>
            </w:r>
          </w:p>
        </w:tc>
      </w:tr>
      <w:tr w:rsidR="00000000" w14:paraId="419516C4" w14:textId="77777777">
        <w:trPr>
          <w:divId w:val="1495956384"/>
          <w:trHeight w:val="200"/>
          <w:tblCellSpacing w:w="15" w:type="dxa"/>
        </w:trPr>
        <w:tc>
          <w:tcPr>
            <w:tcW w:w="0" w:type="auto"/>
            <w:hideMark/>
          </w:tcPr>
          <w:p w14:paraId="3D8D4E18" w14:textId="77777777" w:rsidR="00000000" w:rsidRDefault="003A1B5D">
            <w:pPr>
              <w:pStyle w:val="a3"/>
              <w:spacing w:before="0" w:beforeAutospacing="0" w:after="0" w:afterAutospacing="0"/>
              <w:rPr>
                <w:sz w:val="20"/>
                <w:szCs w:val="20"/>
              </w:rPr>
            </w:pPr>
            <w:r>
              <w:rPr>
                <w:b/>
                <w:bCs/>
                <w:sz w:val="20"/>
                <w:szCs w:val="20"/>
              </w:rPr>
              <w:t>BASIC EARNINGS (LOSS) PER SHAR</w:t>
            </w:r>
            <w:r>
              <w:rPr>
                <w:b/>
                <w:bCs/>
                <w:sz w:val="20"/>
                <w:szCs w:val="20"/>
              </w:rPr>
              <w:t>E</w:t>
            </w:r>
          </w:p>
        </w:tc>
        <w:tc>
          <w:tcPr>
            <w:tcW w:w="0" w:type="auto"/>
            <w:vAlign w:val="bottom"/>
            <w:hideMark/>
          </w:tcPr>
          <w:p w14:paraId="70F9C3A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8D51007"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0D4B555" w14:textId="77777777" w:rsidR="00000000" w:rsidRDefault="003A1B5D">
            <w:pPr>
              <w:pStyle w:val="a3"/>
              <w:spacing w:before="0" w:beforeAutospacing="0" w:after="0" w:afterAutospacing="0"/>
              <w:jc w:val="right"/>
              <w:rPr>
                <w:sz w:val="20"/>
                <w:szCs w:val="20"/>
              </w:rPr>
            </w:pPr>
            <w:r>
              <w:rPr>
                <w:b/>
                <w:bCs/>
                <w:sz w:val="20"/>
                <w:szCs w:val="20"/>
              </w:rPr>
              <w:t>0.5</w:t>
            </w:r>
            <w:r>
              <w:rPr>
                <w:b/>
                <w:bCs/>
                <w:sz w:val="20"/>
                <w:szCs w:val="20"/>
              </w:rPr>
              <w:t>9</w:t>
            </w:r>
          </w:p>
        </w:tc>
        <w:tc>
          <w:tcPr>
            <w:tcW w:w="0" w:type="auto"/>
            <w:noWrap/>
            <w:vAlign w:val="bottom"/>
            <w:hideMark/>
          </w:tcPr>
          <w:p w14:paraId="5B3D611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CC24F5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56AF8AD"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13D2DB8B" w14:textId="77777777" w:rsidR="00000000" w:rsidRDefault="003A1B5D">
            <w:pPr>
              <w:pStyle w:val="a3"/>
              <w:spacing w:before="0" w:beforeAutospacing="0" w:after="0" w:afterAutospacing="0"/>
              <w:jc w:val="right"/>
              <w:rPr>
                <w:sz w:val="20"/>
                <w:szCs w:val="20"/>
              </w:rPr>
            </w:pPr>
            <w:r>
              <w:rPr>
                <w:sz w:val="20"/>
                <w:szCs w:val="20"/>
              </w:rPr>
              <w:t>0.2</w:t>
            </w:r>
            <w:r>
              <w:rPr>
                <w:sz w:val="20"/>
                <w:szCs w:val="20"/>
              </w:rPr>
              <w:t>5</w:t>
            </w:r>
          </w:p>
        </w:tc>
        <w:tc>
          <w:tcPr>
            <w:tcW w:w="0" w:type="auto"/>
            <w:noWrap/>
            <w:vAlign w:val="bottom"/>
            <w:hideMark/>
          </w:tcPr>
          <w:p w14:paraId="1B3D1D0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28FF5A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7CFEC86"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3EB196E3" w14:textId="77777777" w:rsidR="00000000" w:rsidRDefault="003A1B5D">
            <w:pPr>
              <w:pStyle w:val="a3"/>
              <w:spacing w:before="0" w:beforeAutospacing="0" w:after="0" w:afterAutospacing="0"/>
              <w:jc w:val="right"/>
              <w:rPr>
                <w:sz w:val="20"/>
                <w:szCs w:val="20"/>
              </w:rPr>
            </w:pPr>
            <w:r>
              <w:rPr>
                <w:b/>
                <w:bCs/>
                <w:sz w:val="20"/>
                <w:szCs w:val="20"/>
              </w:rPr>
              <w:t>0.8</w:t>
            </w:r>
            <w:r>
              <w:rPr>
                <w:b/>
                <w:bCs/>
                <w:sz w:val="20"/>
                <w:szCs w:val="20"/>
              </w:rPr>
              <w:t>2</w:t>
            </w:r>
          </w:p>
        </w:tc>
        <w:tc>
          <w:tcPr>
            <w:tcW w:w="0" w:type="auto"/>
            <w:noWrap/>
            <w:vAlign w:val="bottom"/>
            <w:hideMark/>
          </w:tcPr>
          <w:p w14:paraId="3DF663D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06240F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4626313"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0D7F9D9B" w14:textId="77777777" w:rsidR="00000000" w:rsidRDefault="003A1B5D">
            <w:pPr>
              <w:pStyle w:val="a3"/>
              <w:spacing w:before="0" w:beforeAutospacing="0" w:after="0" w:afterAutospacing="0"/>
              <w:jc w:val="right"/>
              <w:rPr>
                <w:sz w:val="20"/>
                <w:szCs w:val="20"/>
              </w:rPr>
            </w:pPr>
            <w:r>
              <w:rPr>
                <w:sz w:val="20"/>
                <w:szCs w:val="20"/>
              </w:rPr>
              <w:t>(</w:t>
            </w:r>
            <w:r>
              <w:rPr>
                <w:sz w:val="20"/>
                <w:szCs w:val="20"/>
              </w:rPr>
              <w:t>0.6</w:t>
            </w:r>
            <w:r>
              <w:rPr>
                <w:sz w:val="20"/>
                <w:szCs w:val="20"/>
              </w:rPr>
              <w:t>7</w:t>
            </w:r>
          </w:p>
        </w:tc>
        <w:tc>
          <w:tcPr>
            <w:tcW w:w="0" w:type="auto"/>
            <w:noWrap/>
            <w:vAlign w:val="bottom"/>
            <w:hideMark/>
          </w:tcPr>
          <w:p w14:paraId="73CE04A5" w14:textId="77777777" w:rsidR="00000000" w:rsidRDefault="003A1B5D">
            <w:pPr>
              <w:pStyle w:val="a3"/>
              <w:spacing w:before="0" w:beforeAutospacing="0" w:after="0" w:afterAutospacing="0"/>
              <w:rPr>
                <w:sz w:val="20"/>
                <w:szCs w:val="20"/>
              </w:rPr>
            </w:pPr>
            <w:r>
              <w:rPr>
                <w:sz w:val="20"/>
                <w:szCs w:val="20"/>
              </w:rPr>
              <w:t>)</w:t>
            </w:r>
          </w:p>
        </w:tc>
      </w:tr>
      <w:tr w:rsidR="00000000" w14:paraId="2FF2CC9B" w14:textId="77777777">
        <w:trPr>
          <w:divId w:val="1495956384"/>
          <w:trHeight w:val="200"/>
          <w:tblCellSpacing w:w="15" w:type="dxa"/>
        </w:trPr>
        <w:tc>
          <w:tcPr>
            <w:tcW w:w="0" w:type="auto"/>
            <w:hideMark/>
          </w:tcPr>
          <w:p w14:paraId="0F973B8B" w14:textId="77777777" w:rsidR="00000000" w:rsidRDefault="003A1B5D">
            <w:pPr>
              <w:pStyle w:val="a3"/>
              <w:spacing w:before="0" w:beforeAutospacing="0" w:after="0" w:afterAutospacing="0"/>
              <w:rPr>
                <w:sz w:val="20"/>
                <w:szCs w:val="20"/>
              </w:rPr>
            </w:pPr>
            <w:r>
              <w:rPr>
                <w:b/>
                <w:bCs/>
                <w:sz w:val="20"/>
                <w:szCs w:val="20"/>
              </w:rPr>
              <w:t>DILUTED EARNINGS (LOSS) PER SHAR</w:t>
            </w:r>
            <w:r>
              <w:rPr>
                <w:b/>
                <w:bCs/>
                <w:sz w:val="20"/>
                <w:szCs w:val="20"/>
              </w:rPr>
              <w:t>E</w:t>
            </w:r>
          </w:p>
        </w:tc>
        <w:tc>
          <w:tcPr>
            <w:tcW w:w="0" w:type="auto"/>
            <w:vAlign w:val="bottom"/>
            <w:hideMark/>
          </w:tcPr>
          <w:p w14:paraId="37D3EAE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7E7B4F3"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F15B2FA" w14:textId="77777777" w:rsidR="00000000" w:rsidRDefault="003A1B5D">
            <w:pPr>
              <w:pStyle w:val="a3"/>
              <w:spacing w:before="0" w:beforeAutospacing="0" w:after="0" w:afterAutospacing="0"/>
              <w:jc w:val="right"/>
              <w:rPr>
                <w:sz w:val="20"/>
                <w:szCs w:val="20"/>
              </w:rPr>
            </w:pPr>
            <w:r>
              <w:rPr>
                <w:b/>
                <w:bCs/>
                <w:sz w:val="20"/>
                <w:szCs w:val="20"/>
              </w:rPr>
              <w:t>0.5</w:t>
            </w:r>
            <w:r>
              <w:rPr>
                <w:b/>
                <w:bCs/>
                <w:sz w:val="20"/>
                <w:szCs w:val="20"/>
              </w:rPr>
              <w:t>8</w:t>
            </w:r>
          </w:p>
        </w:tc>
        <w:tc>
          <w:tcPr>
            <w:tcW w:w="0" w:type="auto"/>
            <w:noWrap/>
            <w:vAlign w:val="bottom"/>
            <w:hideMark/>
          </w:tcPr>
          <w:p w14:paraId="2E8025D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537ACA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3E74175"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19C70796" w14:textId="77777777" w:rsidR="00000000" w:rsidRDefault="003A1B5D">
            <w:pPr>
              <w:pStyle w:val="a3"/>
              <w:spacing w:before="0" w:beforeAutospacing="0" w:after="0" w:afterAutospacing="0"/>
              <w:jc w:val="right"/>
              <w:rPr>
                <w:sz w:val="20"/>
                <w:szCs w:val="20"/>
              </w:rPr>
            </w:pPr>
            <w:r>
              <w:rPr>
                <w:sz w:val="20"/>
                <w:szCs w:val="20"/>
              </w:rPr>
              <w:t>0.2</w:t>
            </w:r>
            <w:r>
              <w:rPr>
                <w:sz w:val="20"/>
                <w:szCs w:val="20"/>
              </w:rPr>
              <w:t>5</w:t>
            </w:r>
          </w:p>
        </w:tc>
        <w:tc>
          <w:tcPr>
            <w:tcW w:w="0" w:type="auto"/>
            <w:noWrap/>
            <w:vAlign w:val="bottom"/>
            <w:hideMark/>
          </w:tcPr>
          <w:p w14:paraId="037AD66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A8080F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EDF6E9F"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CA3B821" w14:textId="77777777" w:rsidR="00000000" w:rsidRDefault="003A1B5D">
            <w:pPr>
              <w:pStyle w:val="a3"/>
              <w:spacing w:before="0" w:beforeAutospacing="0" w:after="0" w:afterAutospacing="0"/>
              <w:jc w:val="right"/>
              <w:rPr>
                <w:sz w:val="20"/>
                <w:szCs w:val="20"/>
              </w:rPr>
            </w:pPr>
            <w:r>
              <w:rPr>
                <w:b/>
                <w:bCs/>
                <w:sz w:val="20"/>
                <w:szCs w:val="20"/>
              </w:rPr>
              <w:t>0.8</w:t>
            </w:r>
            <w:r>
              <w:rPr>
                <w:b/>
                <w:bCs/>
                <w:sz w:val="20"/>
                <w:szCs w:val="20"/>
              </w:rPr>
              <w:t>2</w:t>
            </w:r>
          </w:p>
        </w:tc>
        <w:tc>
          <w:tcPr>
            <w:tcW w:w="0" w:type="auto"/>
            <w:noWrap/>
            <w:vAlign w:val="bottom"/>
            <w:hideMark/>
          </w:tcPr>
          <w:p w14:paraId="5FDBB92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B5C08D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4CB952A"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71265887" w14:textId="77777777" w:rsidR="00000000" w:rsidRDefault="003A1B5D">
            <w:pPr>
              <w:pStyle w:val="a3"/>
              <w:spacing w:before="0" w:beforeAutospacing="0" w:after="0" w:afterAutospacing="0"/>
              <w:jc w:val="right"/>
              <w:rPr>
                <w:sz w:val="20"/>
                <w:szCs w:val="20"/>
              </w:rPr>
            </w:pPr>
            <w:r>
              <w:rPr>
                <w:sz w:val="20"/>
                <w:szCs w:val="20"/>
              </w:rPr>
              <w:t>(</w:t>
            </w:r>
            <w:r>
              <w:rPr>
                <w:sz w:val="20"/>
                <w:szCs w:val="20"/>
              </w:rPr>
              <w:t>0.6</w:t>
            </w:r>
            <w:r>
              <w:rPr>
                <w:sz w:val="20"/>
                <w:szCs w:val="20"/>
              </w:rPr>
              <w:t>7</w:t>
            </w:r>
          </w:p>
        </w:tc>
        <w:tc>
          <w:tcPr>
            <w:tcW w:w="0" w:type="auto"/>
            <w:noWrap/>
            <w:vAlign w:val="bottom"/>
            <w:hideMark/>
          </w:tcPr>
          <w:p w14:paraId="671F1EF0" w14:textId="77777777" w:rsidR="00000000" w:rsidRDefault="003A1B5D">
            <w:pPr>
              <w:pStyle w:val="a3"/>
              <w:spacing w:before="0" w:beforeAutospacing="0" w:after="0" w:afterAutospacing="0"/>
              <w:rPr>
                <w:sz w:val="20"/>
                <w:szCs w:val="20"/>
              </w:rPr>
            </w:pPr>
            <w:r>
              <w:rPr>
                <w:sz w:val="20"/>
                <w:szCs w:val="20"/>
              </w:rPr>
              <w:t>)</w:t>
            </w:r>
          </w:p>
        </w:tc>
      </w:tr>
    </w:tbl>
    <w:p w14:paraId="10A033F9" w14:textId="77777777" w:rsidR="00000000" w:rsidRDefault="003A1B5D">
      <w:pPr>
        <w:pStyle w:val="a3"/>
        <w:spacing w:before="0" w:beforeAutospacing="0" w:after="0" w:afterAutospacing="0"/>
        <w:ind w:hanging="644"/>
        <w:jc w:val="both"/>
        <w:divId w:val="1256398881"/>
        <w:rPr>
          <w:sz w:val="20"/>
          <w:szCs w:val="20"/>
        </w:rPr>
      </w:pPr>
      <w:r>
        <w:rPr>
          <w:sz w:val="20"/>
          <w:szCs w:val="20"/>
        </w:rPr>
        <w:t> </w:t>
      </w:r>
    </w:p>
    <w:p w14:paraId="6CF68CE1" w14:textId="77777777" w:rsidR="00000000" w:rsidRDefault="003A1B5D">
      <w:pPr>
        <w:pStyle w:val="a3"/>
        <w:spacing w:before="0" w:beforeAutospacing="0" w:after="0" w:afterAutospacing="0"/>
        <w:ind w:left="476"/>
        <w:jc w:val="both"/>
        <w:divId w:val="1256398881"/>
        <w:rPr>
          <w:sz w:val="20"/>
          <w:szCs w:val="20"/>
        </w:rPr>
      </w:pPr>
      <w:r>
        <w:rPr>
          <w:sz w:val="20"/>
          <w:szCs w:val="20"/>
        </w:rPr>
        <w:t>For the nine months ended September 30, 2021,</w:t>
      </w:r>
      <w:r>
        <w:rPr>
          <w:sz w:val="20"/>
          <w:szCs w:val="20"/>
        </w:rPr>
        <w:t xml:space="preserve"> </w:t>
      </w:r>
      <w:r>
        <w:rPr>
          <w:sz w:val="20"/>
          <w:szCs w:val="20"/>
        </w:rPr>
        <w:t>0.</w:t>
      </w:r>
      <w:r>
        <w:rPr>
          <w:sz w:val="20"/>
          <w:szCs w:val="20"/>
        </w:rPr>
        <w:t>4</w:t>
      </w:r>
      <w:r>
        <w:rPr>
          <w:sz w:val="20"/>
          <w:szCs w:val="20"/>
        </w:rPr>
        <w:t xml:space="preserve"> million restricted stock-based awards and</w:t>
      </w:r>
      <w:r>
        <w:rPr>
          <w:sz w:val="20"/>
          <w:szCs w:val="20"/>
        </w:rPr>
        <w:t xml:space="preserve"> </w:t>
      </w:r>
      <w:r>
        <w:rPr>
          <w:sz w:val="20"/>
          <w:szCs w:val="20"/>
        </w:rPr>
        <w:t>1.</w:t>
      </w:r>
      <w:r>
        <w:rPr>
          <w:sz w:val="20"/>
          <w:szCs w:val="20"/>
        </w:rPr>
        <w:t>3</w:t>
      </w:r>
      <w:r>
        <w:rPr>
          <w:sz w:val="20"/>
          <w:szCs w:val="20"/>
        </w:rPr>
        <w:t xml:space="preserve"> million non-controlling interest - operating partnership units were excluded from the computation of diluted loss per share because they were anti-dilutive. In </w:t>
      </w:r>
      <w:r>
        <w:rPr>
          <w:sz w:val="20"/>
          <w:szCs w:val="20"/>
        </w:rPr>
        <w:t>addition, approximately</w:t>
      </w:r>
      <w:r>
        <w:rPr>
          <w:sz w:val="20"/>
          <w:szCs w:val="20"/>
        </w:rPr>
        <w:t xml:space="preserve"> </w:t>
      </w:r>
      <w:r>
        <w:rPr>
          <w:sz w:val="20"/>
          <w:szCs w:val="20"/>
        </w:rPr>
        <w:t>16,00</w:t>
      </w:r>
      <w:r>
        <w:rPr>
          <w:sz w:val="20"/>
          <w:szCs w:val="20"/>
        </w:rPr>
        <w:t>0</w:t>
      </w:r>
      <w:r>
        <w:rPr>
          <w:sz w:val="20"/>
          <w:szCs w:val="20"/>
        </w:rPr>
        <w:t xml:space="preserve"> and</w:t>
      </w:r>
      <w:r>
        <w:rPr>
          <w:sz w:val="20"/>
          <w:szCs w:val="20"/>
        </w:rPr>
        <w:t xml:space="preserve"> </w:t>
      </w:r>
      <w:r>
        <w:rPr>
          <w:sz w:val="20"/>
          <w:szCs w:val="20"/>
        </w:rPr>
        <w:t>0.</w:t>
      </w:r>
      <w:r>
        <w:rPr>
          <w:sz w:val="20"/>
          <w:szCs w:val="20"/>
        </w:rPr>
        <w:t>3</w:t>
      </w:r>
      <w:r>
        <w:rPr>
          <w:sz w:val="20"/>
          <w:szCs w:val="20"/>
        </w:rPr>
        <w:t xml:space="preserve"> million of stock options were excluded from the computation of diluted earnings per share for the three months ended September 30, 2022 and 2021, respectively, because they were anti-dilutive. Approximately</w:t>
      </w:r>
      <w:r>
        <w:rPr>
          <w:sz w:val="20"/>
          <w:szCs w:val="20"/>
        </w:rPr>
        <w:t xml:space="preserve"> </w:t>
      </w:r>
      <w:r>
        <w:rPr>
          <w:sz w:val="20"/>
          <w:szCs w:val="20"/>
        </w:rPr>
        <w:t>0.</w:t>
      </w:r>
      <w:r>
        <w:rPr>
          <w:sz w:val="20"/>
          <w:szCs w:val="20"/>
        </w:rPr>
        <w:t>1</w:t>
      </w:r>
      <w:r>
        <w:rPr>
          <w:sz w:val="20"/>
          <w:szCs w:val="20"/>
        </w:rPr>
        <w:t xml:space="preserve"> millio</w:t>
      </w:r>
      <w:r>
        <w:rPr>
          <w:sz w:val="20"/>
          <w:szCs w:val="20"/>
        </w:rPr>
        <w:t>n and</w:t>
      </w:r>
      <w:r>
        <w:rPr>
          <w:sz w:val="20"/>
          <w:szCs w:val="20"/>
        </w:rPr>
        <w:t xml:space="preserve"> </w:t>
      </w:r>
      <w:r>
        <w:rPr>
          <w:sz w:val="20"/>
          <w:szCs w:val="20"/>
        </w:rPr>
        <w:t>0.</w:t>
      </w:r>
      <w:r>
        <w:rPr>
          <w:sz w:val="20"/>
          <w:szCs w:val="20"/>
        </w:rPr>
        <w:t>3</w:t>
      </w:r>
      <w:r>
        <w:rPr>
          <w:sz w:val="20"/>
          <w:szCs w:val="20"/>
        </w:rPr>
        <w:t xml:space="preserve"> million stock options were excluded from the computation of diluted earnings (loss) per share for the nine months ended September 30, 2022 and 2021, respectively, because they were anti-dilutive</w:t>
      </w:r>
      <w:r>
        <w:rPr>
          <w:sz w:val="20"/>
          <w:szCs w:val="20"/>
        </w:rPr>
        <w:t>.</w:t>
      </w:r>
    </w:p>
    <w:p w14:paraId="49878122" w14:textId="77777777" w:rsidR="00000000" w:rsidRDefault="003A1B5D">
      <w:pPr>
        <w:jc w:val="both"/>
        <w:divId w:val="881674373"/>
        <w:rPr>
          <w:rFonts w:eastAsia="Times New Roman"/>
        </w:rPr>
      </w:pPr>
      <w:r>
        <w:rPr>
          <w:rFonts w:eastAsia="Times New Roman"/>
          <w:b/>
          <w:bCs/>
          <w:sz w:val="20"/>
          <w:szCs w:val="20"/>
        </w:rPr>
        <w:t>8</w:t>
      </w:r>
      <w:r>
        <w:rPr>
          <w:rFonts w:eastAsia="Times New Roman"/>
          <w:b/>
          <w:bCs/>
          <w:sz w:val="20"/>
          <w:szCs w:val="20"/>
        </w:rPr>
        <w:t>.</w:t>
      </w:r>
    </w:p>
    <w:p w14:paraId="6E71D6AE" w14:textId="77777777" w:rsidR="00000000" w:rsidRDefault="003A1B5D">
      <w:pPr>
        <w:jc w:val="both"/>
        <w:divId w:val="498934738"/>
        <w:rPr>
          <w:rFonts w:eastAsia="Times New Roman"/>
        </w:rPr>
      </w:pPr>
      <w:r>
        <w:rPr>
          <w:rFonts w:eastAsia="Times New Roman"/>
          <w:b/>
          <w:bCs/>
          <w:sz w:val="20"/>
          <w:szCs w:val="20"/>
        </w:rPr>
        <w:t>COMMITMENTS AND CONTINGENCIE</w:t>
      </w:r>
      <w:r>
        <w:rPr>
          <w:rFonts w:eastAsia="Times New Roman"/>
          <w:b/>
          <w:bCs/>
          <w:sz w:val="20"/>
          <w:szCs w:val="20"/>
        </w:rPr>
        <w:t>S</w:t>
      </w:r>
    </w:p>
    <w:p w14:paraId="2045CF8B" w14:textId="77777777" w:rsidR="00000000" w:rsidRDefault="003A1B5D">
      <w:pPr>
        <w:pStyle w:val="a3"/>
        <w:spacing w:before="120" w:beforeAutospacing="0" w:after="0" w:afterAutospacing="0"/>
        <w:ind w:left="476"/>
        <w:jc w:val="both"/>
        <w:divId w:val="1007755603"/>
        <w:rPr>
          <w:sz w:val="20"/>
          <w:szCs w:val="20"/>
        </w:rPr>
      </w:pPr>
      <w:r>
        <w:rPr>
          <w:b/>
          <w:bCs/>
          <w:sz w:val="20"/>
          <w:szCs w:val="20"/>
        </w:rPr>
        <w:t>Legal Proceeding</w:t>
      </w:r>
      <w:r>
        <w:rPr>
          <w:b/>
          <w:bCs/>
          <w:sz w:val="20"/>
          <w:szCs w:val="20"/>
        </w:rPr>
        <w:t>s</w:t>
      </w:r>
    </w:p>
    <w:p w14:paraId="3137C490" w14:textId="77777777" w:rsidR="00000000" w:rsidRDefault="003A1B5D">
      <w:pPr>
        <w:pStyle w:val="a3"/>
        <w:spacing w:before="120" w:beforeAutospacing="0" w:after="0" w:afterAutospacing="0"/>
        <w:ind w:left="476"/>
        <w:jc w:val="both"/>
        <w:divId w:val="1007755603"/>
        <w:rPr>
          <w:sz w:val="20"/>
          <w:szCs w:val="20"/>
        </w:rPr>
      </w:pPr>
      <w:r>
        <w:rPr>
          <w:sz w:val="20"/>
          <w:szCs w:val="20"/>
        </w:rPr>
        <w:t>The nature of CoreCivic's business results in claims and litigation alleging that it is liable for damages arising from the conduct of its employees, offenders or others. The nature of such claims includes, but is not limited to, claims a</w:t>
      </w:r>
      <w:r>
        <w:rPr>
          <w:sz w:val="20"/>
          <w:szCs w:val="20"/>
        </w:rPr>
        <w:t>rising from employee or offender misconduct, medical malpractice, employment matters, property loss, contractual claims, including claims regarding compliance with contract performance requirements, and personal injury or other damages resulting from conta</w:t>
      </w:r>
      <w:r>
        <w:rPr>
          <w:sz w:val="20"/>
          <w:szCs w:val="20"/>
        </w:rPr>
        <w:t xml:space="preserve">ct with CoreCivic's facilities, personnel or offenders, including damages arising from an offender's escape or from a disturbance at a facility. CoreCivic maintains insurance to cover many of these claims, which may mitigate the risk that any single claim </w:t>
      </w:r>
      <w:r>
        <w:rPr>
          <w:sz w:val="20"/>
          <w:szCs w:val="20"/>
        </w:rPr>
        <w:t>would have a material effect on CoreCivic's consolidated financial position, results of operations, or cash flows, provided the claim is one for which coverage is available. The combination of self-insured retentions and deductible amounts means that, in t</w:t>
      </w:r>
      <w:r>
        <w:rPr>
          <w:sz w:val="20"/>
          <w:szCs w:val="20"/>
        </w:rPr>
        <w:t>he aggregate, CoreCivic is subject to substantial self-insurance risk</w:t>
      </w:r>
      <w:r>
        <w:rPr>
          <w:sz w:val="20"/>
          <w:szCs w:val="20"/>
        </w:rPr>
        <w:t>.</w:t>
      </w:r>
      <w:r>
        <w:rPr>
          <w:sz w:val="20"/>
          <w:szCs w:val="20"/>
        </w:rPr>
        <w:t xml:space="preserve"> </w:t>
      </w:r>
    </w:p>
    <w:p w14:paraId="437CA393" w14:textId="77777777" w:rsidR="00000000" w:rsidRDefault="003A1B5D">
      <w:pPr>
        <w:pStyle w:val="a3"/>
        <w:spacing w:before="240" w:beforeAutospacing="0" w:after="0" w:afterAutospacing="0"/>
        <w:jc w:val="center"/>
        <w:divId w:val="1007755603"/>
        <w:rPr>
          <w:sz w:val="20"/>
          <w:szCs w:val="20"/>
        </w:rPr>
      </w:pPr>
      <w:r>
        <w:rPr>
          <w:sz w:val="20"/>
          <w:szCs w:val="20"/>
        </w:rPr>
        <w:t>1</w:t>
      </w:r>
      <w:r>
        <w:rPr>
          <w:sz w:val="20"/>
          <w:szCs w:val="20"/>
        </w:rPr>
        <w:t>5</w:t>
      </w:r>
    </w:p>
    <w:p w14:paraId="1F9C2163" w14:textId="77777777" w:rsidR="00000000" w:rsidRDefault="003A1B5D">
      <w:pPr>
        <w:divId w:val="1007755603"/>
        <w:rPr>
          <w:rFonts w:eastAsia="Times New Roman"/>
        </w:rPr>
      </w:pPr>
      <w:r>
        <w:rPr>
          <w:rFonts w:eastAsia="Times New Roman"/>
        </w:rPr>
        <w:pict w14:anchorId="2A37EE61">
          <v:rect id="_x0000_i1041" style="width:0;height:1.5pt" o:hralign="center" o:hrstd="t" o:hr="t" fillcolor="#a0a0a0" stroked="f"/>
        </w:pict>
      </w:r>
    </w:p>
    <w:p w14:paraId="43B9846B" w14:textId="77777777" w:rsidR="00000000" w:rsidRDefault="003A1B5D">
      <w:pPr>
        <w:pStyle w:val="a3"/>
        <w:spacing w:before="0" w:beforeAutospacing="0" w:after="0" w:afterAutospacing="0"/>
        <w:divId w:val="1007755603"/>
        <w:rPr>
          <w:sz w:val="20"/>
          <w:szCs w:val="20"/>
        </w:rPr>
      </w:pPr>
      <w:r>
        <w:rPr>
          <w:sz w:val="20"/>
          <w:szCs w:val="20"/>
        </w:rPr>
        <w:t> </w:t>
      </w:r>
    </w:p>
    <w:p w14:paraId="3F19D237" w14:textId="77777777" w:rsidR="00000000" w:rsidRDefault="003A1B5D">
      <w:pPr>
        <w:pStyle w:val="a3"/>
        <w:spacing w:before="240" w:beforeAutospacing="0" w:after="0" w:afterAutospacing="0"/>
        <w:ind w:left="476"/>
        <w:jc w:val="both"/>
        <w:divId w:val="1007755603"/>
        <w:rPr>
          <w:sz w:val="20"/>
          <w:szCs w:val="20"/>
        </w:rPr>
      </w:pPr>
      <w:r>
        <w:rPr>
          <w:sz w:val="20"/>
          <w:szCs w:val="20"/>
        </w:rPr>
        <w:t>Based upon management's review of the potential claims and outstanding litigation, and based upon management's experience and history of estimating losses, and taking into consideration CoreCivic's self-insured retenti</w:t>
      </w:r>
      <w:r>
        <w:rPr>
          <w:sz w:val="20"/>
          <w:szCs w:val="20"/>
        </w:rPr>
        <w:t xml:space="preserve">on amounts, management believes a loss in excess of amounts already recognized would not be material to CoreCivic's financial statements. Adversarial proceedings and litigation are, however, subject to inherent uncertainties, and unfavorable decisions and </w:t>
      </w:r>
      <w:r>
        <w:rPr>
          <w:sz w:val="20"/>
          <w:szCs w:val="20"/>
        </w:rPr>
        <w:t>rulings resulting from legal proceedings could occur which could have a material impact on CoreCivic's consolidated financial position, results of operations, or cash flows for the period in which such decisions or rulings occur, or future periods. Expense</w:t>
      </w:r>
      <w:r>
        <w:rPr>
          <w:sz w:val="20"/>
          <w:szCs w:val="20"/>
        </w:rPr>
        <w:t>s associated with legal proceedings may also fluctuate from quarter to quarter based on changes in CoreCivic's assumptions, new developments, or by the effectiveness of CoreCivic's litigation and settlement strategies</w:t>
      </w:r>
      <w:r>
        <w:rPr>
          <w:sz w:val="20"/>
          <w:szCs w:val="20"/>
        </w:rPr>
        <w:t>.</w:t>
      </w:r>
      <w:r>
        <w:rPr>
          <w:sz w:val="20"/>
          <w:szCs w:val="20"/>
        </w:rPr>
        <w:t xml:space="preserve"> </w:t>
      </w:r>
    </w:p>
    <w:p w14:paraId="5CA25D8C" w14:textId="77777777" w:rsidR="00000000" w:rsidRDefault="003A1B5D">
      <w:pPr>
        <w:pStyle w:val="a3"/>
        <w:spacing w:before="240" w:beforeAutospacing="0" w:after="0" w:afterAutospacing="0"/>
        <w:ind w:left="476"/>
        <w:jc w:val="both"/>
        <w:divId w:val="1007755603"/>
        <w:rPr>
          <w:sz w:val="20"/>
          <w:szCs w:val="20"/>
        </w:rPr>
      </w:pPr>
      <w:r>
        <w:rPr>
          <w:sz w:val="20"/>
          <w:szCs w:val="20"/>
        </w:rPr>
        <w:t>CoreCivic records a liability in the</w:t>
      </w:r>
      <w:r>
        <w:rPr>
          <w:sz w:val="20"/>
          <w:szCs w:val="20"/>
        </w:rPr>
        <w:t xml:space="preserve"> consolidated financial statements for loss contingencies when a loss is known or considered probable, and the amount can be reasonably estimated. If the reasonable estimate of a known or probable loss is a range, and no amount within the range is a better</w:t>
      </w:r>
      <w:r>
        <w:rPr>
          <w:sz w:val="20"/>
          <w:szCs w:val="20"/>
        </w:rPr>
        <w:t xml:space="preserve"> estimate than any other, the minimum amount of the range is accrued. If a loss is reasonably possible but not known or probable, and can be reasonably estimated, the estimated loss or range of loss is disclosed. When determining the estimated loss or rang</w:t>
      </w:r>
      <w:r>
        <w:rPr>
          <w:sz w:val="20"/>
          <w:szCs w:val="20"/>
        </w:rPr>
        <w:t>e of loss, significant judgment is required to estimate the amount and timing of a loss to be recorded. Any receivable for insurance recoveries is recorded separately from the corresponding litigation reserve, and only if recovery is determined to be proba</w:t>
      </w:r>
      <w:r>
        <w:rPr>
          <w:sz w:val="20"/>
          <w:szCs w:val="20"/>
        </w:rPr>
        <w:t>ble and the amount of payment can be determined. CoreCivic does not accrue for anticipated legal fees and costs and expenses those items as incurred</w:t>
      </w:r>
      <w:r>
        <w:rPr>
          <w:sz w:val="20"/>
          <w:szCs w:val="20"/>
        </w:rPr>
        <w:t>.</w:t>
      </w:r>
      <w:r>
        <w:rPr>
          <w:sz w:val="20"/>
          <w:szCs w:val="20"/>
        </w:rPr>
        <w:t xml:space="preserve"> </w:t>
      </w:r>
    </w:p>
    <w:p w14:paraId="5BEBAE55" w14:textId="77777777" w:rsidR="00000000" w:rsidRDefault="003A1B5D">
      <w:pPr>
        <w:pStyle w:val="a3"/>
        <w:spacing w:before="360" w:beforeAutospacing="0" w:after="0" w:afterAutospacing="0"/>
        <w:ind w:left="476"/>
        <w:jc w:val="both"/>
        <w:divId w:val="1007755603"/>
        <w:rPr>
          <w:sz w:val="20"/>
          <w:szCs w:val="20"/>
        </w:rPr>
      </w:pPr>
      <w:r>
        <w:rPr>
          <w:i/>
          <w:iCs/>
          <w:sz w:val="20"/>
          <w:szCs w:val="20"/>
        </w:rPr>
        <w:t>ICE Detainee Labor and Related Matters</w:t>
      </w:r>
      <w:r>
        <w:rPr>
          <w:i/>
          <w:iCs/>
          <w:sz w:val="20"/>
          <w:szCs w:val="20"/>
        </w:rPr>
        <w:t>.</w:t>
      </w:r>
    </w:p>
    <w:p w14:paraId="7B8BD0FC" w14:textId="77777777" w:rsidR="00000000" w:rsidRDefault="003A1B5D">
      <w:pPr>
        <w:pStyle w:val="a3"/>
        <w:spacing w:before="120" w:beforeAutospacing="0" w:after="0" w:afterAutospacing="0"/>
        <w:ind w:left="476"/>
        <w:jc w:val="both"/>
        <w:divId w:val="1007755603"/>
        <w:rPr>
          <w:sz w:val="20"/>
          <w:szCs w:val="20"/>
        </w:rPr>
      </w:pPr>
      <w:r>
        <w:rPr>
          <w:sz w:val="20"/>
          <w:szCs w:val="20"/>
        </w:rPr>
        <w:t>On May 31, 2017, two former ICE detainees, who were detained at t</w:t>
      </w:r>
      <w:r>
        <w:rPr>
          <w:sz w:val="20"/>
          <w:szCs w:val="20"/>
        </w:rPr>
        <w:t>he Company's Otay Mesa Detention Center ("OMDC") in San Diego, California, filed a class action lawsuit against the Company in the United States District Court for the Southern District of California. The complaint alleged that the Company forces detainees</w:t>
      </w:r>
      <w:r>
        <w:rPr>
          <w:sz w:val="20"/>
          <w:szCs w:val="20"/>
        </w:rPr>
        <w:t xml:space="preserve"> to perform labor under threat of punishment in violation of state and federal anti-trafficking laws and that OMDC’s Voluntary Work Program ("VWP") violates state labor laws including state minimum wage law. ICE requires that CoreCivic offer and operate th</w:t>
      </w:r>
      <w:r>
        <w:rPr>
          <w:sz w:val="20"/>
          <w:szCs w:val="20"/>
        </w:rPr>
        <w:t>e VWP in conformance with ICE standards and ICE prescribes the minimum rate of pay for VWP participants. The Plaintiffs seek compensatory damages, exemplary damages, restitution, penalties, and interest as well as declaratory and injunctive relief on behal</w:t>
      </w:r>
      <w:r>
        <w:rPr>
          <w:sz w:val="20"/>
          <w:szCs w:val="20"/>
        </w:rPr>
        <w:t>f of former and current detainees. On April 1, 2020, the district court certified a nationwide anti-trafficking claims class of former and current detainees at all CoreCivic ICE detention facilities. It also certified a state law class of former and curren</w:t>
      </w:r>
      <w:r>
        <w:rPr>
          <w:sz w:val="20"/>
          <w:szCs w:val="20"/>
        </w:rPr>
        <w:t>t detainees at the Company's ICE detention facilities in California. The court did not certify any claims for injunctive or declaratory relief. On March 10, 2021, the Ninth Circuit Court of Appeals granted CoreCivic's petition to appeal the class certifica</w:t>
      </w:r>
      <w:r>
        <w:rPr>
          <w:sz w:val="20"/>
          <w:szCs w:val="20"/>
        </w:rPr>
        <w:t>tion ruling. On June 3, 2022, a three-judge panel of the Ninth Circuit affirmed the class certification ruling.</w:t>
      </w:r>
      <w:r>
        <w:rPr>
          <w:sz w:val="20"/>
          <w:szCs w:val="20"/>
        </w:rPr>
        <w:t xml:space="preserve"> </w:t>
      </w:r>
      <w:r>
        <w:rPr>
          <w:sz w:val="20"/>
          <w:szCs w:val="20"/>
        </w:rPr>
        <w:t>Following the three-judge panel affirmance, the Company petitioned the Ninth Circuit for a discretionary appellate review, and the Company curre</w:t>
      </w:r>
      <w:r>
        <w:rPr>
          <w:sz w:val="20"/>
          <w:szCs w:val="20"/>
        </w:rPr>
        <w:t>ntly awaits a ruling on the petition for such review.</w:t>
      </w:r>
      <w:r>
        <w:rPr>
          <w:sz w:val="20"/>
          <w:szCs w:val="20"/>
        </w:rPr>
        <w:t xml:space="preserve"> </w:t>
      </w:r>
      <w:r>
        <w:rPr>
          <w:sz w:val="20"/>
          <w:szCs w:val="20"/>
        </w:rPr>
        <w:t>Since this case was filed, four similar lawsuits have been filed. A Maryland case was dismissed on September 27, 2019, and the dismissal was affirmed on appeal. Two suits filed in Georgia and Texas do n</w:t>
      </w:r>
      <w:r>
        <w:rPr>
          <w:sz w:val="20"/>
          <w:szCs w:val="20"/>
        </w:rPr>
        <w:t xml:space="preserve">ot allege minimum wage violations; and the Texas case was voluntarily dismissed on March 14, 2022, while the Georgia case is still ongoing. A second California suit concerning the Otay Mesa facility has been stayed pending the outcome of class proceedings </w:t>
      </w:r>
      <w:r>
        <w:rPr>
          <w:sz w:val="20"/>
          <w:szCs w:val="20"/>
        </w:rPr>
        <w:t>in the first. The Company disputes these allegations and intends to take all necessary steps to vigorously defend itself against all claims</w:t>
      </w:r>
      <w:r>
        <w:rPr>
          <w:sz w:val="20"/>
          <w:szCs w:val="20"/>
        </w:rPr>
        <w:t>.</w:t>
      </w:r>
    </w:p>
    <w:p w14:paraId="3DDD5925" w14:textId="77777777" w:rsidR="00000000" w:rsidRDefault="003A1B5D">
      <w:pPr>
        <w:pStyle w:val="a3"/>
        <w:spacing w:before="240" w:beforeAutospacing="0" w:after="0" w:afterAutospacing="0"/>
        <w:ind w:left="476"/>
        <w:jc w:val="both"/>
        <w:divId w:val="1007755603"/>
        <w:rPr>
          <w:sz w:val="20"/>
          <w:szCs w:val="20"/>
        </w:rPr>
      </w:pPr>
      <w:r>
        <w:rPr>
          <w:sz w:val="20"/>
          <w:szCs w:val="20"/>
        </w:rPr>
        <w:t>Due to the stage of this proceeding, the Company cannot reasonably predict the outcome, nor can it estimate the amo</w:t>
      </w:r>
      <w:r>
        <w:rPr>
          <w:sz w:val="20"/>
          <w:szCs w:val="20"/>
        </w:rPr>
        <w:t>unt of loss or range of loss, if any, that may result. As a result, the Company has not recorded an accrual relating to this matter at this time, as losses are not considered probable or reasonably estimable at this stage of these lawsuits</w:t>
      </w:r>
      <w:r>
        <w:rPr>
          <w:sz w:val="20"/>
          <w:szCs w:val="20"/>
        </w:rPr>
        <w:t>.</w:t>
      </w:r>
    </w:p>
    <w:p w14:paraId="6FB1B52F" w14:textId="77777777" w:rsidR="00000000" w:rsidRDefault="003A1B5D">
      <w:pPr>
        <w:pStyle w:val="a3"/>
        <w:spacing w:before="360" w:beforeAutospacing="0" w:after="0" w:afterAutospacing="0"/>
        <w:ind w:left="476"/>
        <w:jc w:val="both"/>
        <w:divId w:val="1007755603"/>
        <w:rPr>
          <w:sz w:val="20"/>
          <w:szCs w:val="20"/>
        </w:rPr>
      </w:pPr>
      <w:r>
        <w:rPr>
          <w:i/>
          <w:iCs/>
          <w:sz w:val="20"/>
          <w:szCs w:val="20"/>
        </w:rPr>
        <w:t xml:space="preserve">Securities and </w:t>
      </w:r>
      <w:r>
        <w:rPr>
          <w:i/>
          <w:iCs/>
          <w:sz w:val="20"/>
          <w:szCs w:val="20"/>
        </w:rPr>
        <w:t>Derivative Litigation</w:t>
      </w:r>
      <w:r>
        <w:rPr>
          <w:i/>
          <w:iCs/>
          <w:sz w:val="20"/>
          <w:szCs w:val="20"/>
        </w:rPr>
        <w:t>.</w:t>
      </w:r>
    </w:p>
    <w:p w14:paraId="0F80B6A0" w14:textId="77777777" w:rsidR="00000000" w:rsidRDefault="003A1B5D">
      <w:pPr>
        <w:pStyle w:val="a3"/>
        <w:spacing w:before="120" w:beforeAutospacing="0" w:after="0" w:afterAutospacing="0"/>
        <w:ind w:left="476"/>
        <w:jc w:val="both"/>
        <w:divId w:val="1007755603"/>
        <w:rPr>
          <w:sz w:val="20"/>
          <w:szCs w:val="20"/>
        </w:rPr>
      </w:pPr>
      <w:r>
        <w:rPr>
          <w:sz w:val="20"/>
          <w:szCs w:val="20"/>
        </w:rPr>
        <w:t>In a memorandum to the BOP dated August 18, 2016, the DOJ directed that, as each contract with privately operated prisons reaches the end of its term, the BOP should either decline to renew that contract or substantially reduce its s</w:t>
      </w:r>
      <w:r>
        <w:rPr>
          <w:sz w:val="20"/>
          <w:szCs w:val="20"/>
        </w:rPr>
        <w:t xml:space="preserve">cope in a manner consistent with law and the overall decline of the BOP's inmate population. Following the release of the August 18, 2016 DOJ memorandum, a securities class action lawsuit was filed on August 23, 2016 against the Company and certain of its </w:t>
      </w:r>
      <w:r>
        <w:rPr>
          <w:sz w:val="20"/>
          <w:szCs w:val="20"/>
        </w:rPr>
        <w:t>current and former officers in the United States District Court for the Middle District of Tennessee (the "District Court"), captioned</w:t>
      </w:r>
      <w:r>
        <w:rPr>
          <w:sz w:val="20"/>
          <w:szCs w:val="20"/>
        </w:rPr>
        <w:t xml:space="preserve"> </w:t>
      </w:r>
      <w:r>
        <w:rPr>
          <w:i/>
          <w:iCs/>
          <w:sz w:val="20"/>
          <w:szCs w:val="20"/>
        </w:rPr>
        <w:t>Grae v. Corrections Corporation of America et al</w:t>
      </w:r>
      <w:r>
        <w:rPr>
          <w:i/>
          <w:iCs/>
          <w:sz w:val="20"/>
          <w:szCs w:val="20"/>
        </w:rPr>
        <w:t>.</w:t>
      </w:r>
      <w:r>
        <w:rPr>
          <w:sz w:val="20"/>
          <w:szCs w:val="20"/>
        </w:rPr>
        <w:t>, Case No. 3:16-cv-02267. The Company settled this lawsuit in April 2021</w:t>
      </w:r>
      <w:r>
        <w:rPr>
          <w:sz w:val="20"/>
          <w:szCs w:val="20"/>
        </w:rPr>
        <w:t xml:space="preserve">. The settlement, which was approved by the District Court on November 8, 2021, contains no admission of liability, wrongdoing, or responsibility by any of the defendants including the Company. The Company paid the settlement amount of </w:t>
      </w:r>
      <w:r>
        <w:rPr>
          <w:sz w:val="20"/>
          <w:szCs w:val="20"/>
        </w:rPr>
        <w:t>$</w:t>
      </w:r>
      <w:r>
        <w:rPr>
          <w:sz w:val="20"/>
          <w:szCs w:val="20"/>
        </w:rPr>
        <w:t>56.</w:t>
      </w:r>
      <w:r>
        <w:rPr>
          <w:sz w:val="20"/>
          <w:szCs w:val="20"/>
        </w:rPr>
        <w:t>0</w:t>
      </w:r>
      <w:r>
        <w:rPr>
          <w:sz w:val="20"/>
          <w:szCs w:val="20"/>
        </w:rPr>
        <w:t xml:space="preserve"> million in May</w:t>
      </w:r>
      <w:r>
        <w:rPr>
          <w:sz w:val="20"/>
          <w:szCs w:val="20"/>
        </w:rPr>
        <w:t xml:space="preserve"> 2021. As a result of the settlement, the Company recognized an expense of </w:t>
      </w:r>
      <w:r>
        <w:rPr>
          <w:sz w:val="20"/>
          <w:szCs w:val="20"/>
        </w:rPr>
        <w:t>$</w:t>
      </w:r>
      <w:r>
        <w:rPr>
          <w:sz w:val="20"/>
          <w:szCs w:val="20"/>
        </w:rPr>
        <w:t>54.</w:t>
      </w:r>
      <w:r>
        <w:rPr>
          <w:sz w:val="20"/>
          <w:szCs w:val="20"/>
        </w:rPr>
        <w:t>3</w:t>
      </w:r>
      <w:r>
        <w:rPr>
          <w:sz w:val="20"/>
          <w:szCs w:val="20"/>
        </w:rPr>
        <w:t xml:space="preserve"> million during the year ended December 31, 2021 (all of which was recognized in the first six months of 2021), which was net of the remaining insurance available under the Com</w:t>
      </w:r>
      <w:r>
        <w:rPr>
          <w:sz w:val="20"/>
          <w:szCs w:val="20"/>
        </w:rPr>
        <w:t>pany’s policies</w:t>
      </w:r>
      <w:r>
        <w:rPr>
          <w:sz w:val="20"/>
          <w:szCs w:val="20"/>
        </w:rPr>
        <w:t>.</w:t>
      </w:r>
      <w:r>
        <w:rPr>
          <w:sz w:val="20"/>
          <w:szCs w:val="20"/>
        </w:rPr>
        <w:t xml:space="preserve"> </w:t>
      </w:r>
    </w:p>
    <w:p w14:paraId="57EAD6FD" w14:textId="77777777" w:rsidR="00000000" w:rsidRDefault="003A1B5D">
      <w:pPr>
        <w:pStyle w:val="a3"/>
        <w:spacing w:before="240" w:beforeAutospacing="0" w:after="0" w:afterAutospacing="0"/>
        <w:jc w:val="center"/>
        <w:divId w:val="1007755603"/>
        <w:rPr>
          <w:sz w:val="20"/>
          <w:szCs w:val="20"/>
        </w:rPr>
      </w:pPr>
      <w:r>
        <w:rPr>
          <w:sz w:val="20"/>
          <w:szCs w:val="20"/>
        </w:rPr>
        <w:t>1</w:t>
      </w:r>
      <w:r>
        <w:rPr>
          <w:sz w:val="20"/>
          <w:szCs w:val="20"/>
        </w:rPr>
        <w:t>6</w:t>
      </w:r>
    </w:p>
    <w:p w14:paraId="674690F5" w14:textId="77777777" w:rsidR="00000000" w:rsidRDefault="003A1B5D">
      <w:pPr>
        <w:divId w:val="1007755603"/>
        <w:rPr>
          <w:rFonts w:eastAsia="Times New Roman"/>
        </w:rPr>
      </w:pPr>
      <w:r>
        <w:rPr>
          <w:rFonts w:eastAsia="Times New Roman"/>
        </w:rPr>
        <w:pict w14:anchorId="3EC0C140">
          <v:rect id="_x0000_i1042" style="width:0;height:1.5pt" o:hralign="center" o:hrstd="t" o:hr="t" fillcolor="#a0a0a0" stroked="f"/>
        </w:pict>
      </w:r>
    </w:p>
    <w:p w14:paraId="1933FA2C" w14:textId="77777777" w:rsidR="00000000" w:rsidRDefault="003A1B5D">
      <w:pPr>
        <w:pStyle w:val="a3"/>
        <w:spacing w:before="0" w:beforeAutospacing="0" w:after="0" w:afterAutospacing="0"/>
        <w:divId w:val="1007755603"/>
        <w:rPr>
          <w:sz w:val="20"/>
          <w:szCs w:val="20"/>
        </w:rPr>
      </w:pPr>
      <w:r>
        <w:rPr>
          <w:sz w:val="20"/>
          <w:szCs w:val="20"/>
        </w:rPr>
        <w:t> </w:t>
      </w:r>
    </w:p>
    <w:p w14:paraId="7A11246D" w14:textId="77777777" w:rsidR="00000000" w:rsidRDefault="003A1B5D">
      <w:pPr>
        <w:pStyle w:val="a3"/>
        <w:spacing w:before="240" w:beforeAutospacing="0" w:after="0" w:afterAutospacing="0"/>
        <w:ind w:left="476"/>
        <w:jc w:val="both"/>
        <w:divId w:val="1007755603"/>
        <w:rPr>
          <w:sz w:val="20"/>
          <w:szCs w:val="20"/>
        </w:rPr>
      </w:pPr>
      <w:r>
        <w:rPr>
          <w:sz w:val="20"/>
          <w:szCs w:val="20"/>
        </w:rPr>
        <w:t>The Company is also named along with several of its directors in six derivative lawsuits which raise similar allegations to those raised in the</w:t>
      </w:r>
      <w:r>
        <w:rPr>
          <w:sz w:val="20"/>
          <w:szCs w:val="20"/>
        </w:rPr>
        <w:t xml:space="preserve"> </w:t>
      </w:r>
      <w:r>
        <w:rPr>
          <w:i/>
          <w:iCs/>
          <w:sz w:val="20"/>
          <w:szCs w:val="20"/>
        </w:rPr>
        <w:t>Gra</w:t>
      </w:r>
      <w:r>
        <w:rPr>
          <w:i/>
          <w:iCs/>
          <w:sz w:val="20"/>
          <w:szCs w:val="20"/>
        </w:rPr>
        <w:t>e</w:t>
      </w:r>
      <w:r>
        <w:rPr>
          <w:sz w:val="20"/>
          <w:szCs w:val="20"/>
        </w:rPr>
        <w:t xml:space="preserve"> securities litigation, which are currently stay</w:t>
      </w:r>
      <w:r>
        <w:rPr>
          <w:sz w:val="20"/>
          <w:szCs w:val="20"/>
        </w:rPr>
        <w:t>ed by agreement of the parties. While the Company believes these lawsuits are entirely without merit, the Company acknowledges the costs and risks of extensive and complex litigation regarding these matters are substantial and subject to an unpredictable o</w:t>
      </w:r>
      <w:r>
        <w:rPr>
          <w:sz w:val="20"/>
          <w:szCs w:val="20"/>
        </w:rPr>
        <w:t>utcome. On June 17, 2022, the Company and derivative plaintiffs informed the District Court that the parties had reached an agreement as to the plaintiffs' attorneys' fees and expenses. During the second quarter of 2022, the Company recognized an additiona</w:t>
      </w:r>
      <w:r>
        <w:rPr>
          <w:sz w:val="20"/>
          <w:szCs w:val="20"/>
        </w:rPr>
        <w:t xml:space="preserve">l expense of </w:t>
      </w:r>
      <w:r>
        <w:rPr>
          <w:sz w:val="20"/>
          <w:szCs w:val="20"/>
        </w:rPr>
        <w:t>$</w:t>
      </w:r>
      <w:r>
        <w:rPr>
          <w:sz w:val="20"/>
          <w:szCs w:val="20"/>
        </w:rPr>
        <w:t>1.</w:t>
      </w:r>
      <w:r>
        <w:rPr>
          <w:sz w:val="20"/>
          <w:szCs w:val="20"/>
        </w:rPr>
        <w:t>9</w:t>
      </w:r>
      <w:r>
        <w:rPr>
          <w:sz w:val="20"/>
          <w:szCs w:val="20"/>
        </w:rPr>
        <w:t xml:space="preserve"> million to reflect its estimate of the probable liability associated with these matters. On September 19, 2022, the District Court issued an order (the "Preliminary Order") providing for preliminary approval of the proposed settlement of </w:t>
      </w:r>
      <w:r>
        <w:rPr>
          <w:sz w:val="20"/>
          <w:szCs w:val="20"/>
        </w:rPr>
        <w:t>the claims asserted nominally on behalf of the Company against the individual defendants named in the previously disclosed stockholder derivative action. The settlement calls for the Company to adopt certain governance changes and to pay plaintiff’s counse</w:t>
      </w:r>
      <w:r>
        <w:rPr>
          <w:sz w:val="20"/>
          <w:szCs w:val="20"/>
        </w:rPr>
        <w:t xml:space="preserve">l </w:t>
      </w:r>
      <w:r>
        <w:rPr>
          <w:sz w:val="20"/>
          <w:szCs w:val="20"/>
        </w:rPr>
        <w:t>$</w:t>
      </w:r>
      <w:r>
        <w:rPr>
          <w:sz w:val="20"/>
          <w:szCs w:val="20"/>
        </w:rPr>
        <w:t>3.</w:t>
      </w:r>
      <w:r>
        <w:rPr>
          <w:sz w:val="20"/>
          <w:szCs w:val="20"/>
        </w:rPr>
        <w:t>5</w:t>
      </w:r>
      <w:r>
        <w:rPr>
          <w:sz w:val="20"/>
          <w:szCs w:val="20"/>
        </w:rPr>
        <w:t xml:space="preserve"> million in attorneys’ fees. The Preliminary Order set a final settlement approval hearing for December 1, 2022. Considering amounts previously recognized for these matters, the Company had adequately accrued for this liability as of September 30, 20</w:t>
      </w:r>
      <w:r>
        <w:rPr>
          <w:sz w:val="20"/>
          <w:szCs w:val="20"/>
        </w:rPr>
        <w:t>2</w:t>
      </w:r>
      <w:r>
        <w:rPr>
          <w:sz w:val="20"/>
          <w:szCs w:val="20"/>
        </w:rPr>
        <w:t>2</w:t>
      </w:r>
      <w:r>
        <w:rPr>
          <w:sz w:val="20"/>
          <w:szCs w:val="20"/>
        </w:rPr>
        <w:t>.</w:t>
      </w:r>
      <w:r>
        <w:rPr>
          <w:sz w:val="20"/>
          <w:szCs w:val="20"/>
        </w:rPr>
        <w:t xml:space="preserve"> </w:t>
      </w:r>
    </w:p>
    <w:p w14:paraId="7EAF5D82" w14:textId="77777777" w:rsidR="00000000" w:rsidRDefault="003A1B5D">
      <w:pPr>
        <w:jc w:val="both"/>
        <w:divId w:val="774250200"/>
        <w:rPr>
          <w:rFonts w:eastAsia="Times New Roman"/>
        </w:rPr>
      </w:pPr>
      <w:r>
        <w:rPr>
          <w:rFonts w:eastAsia="Times New Roman"/>
          <w:b/>
          <w:bCs/>
          <w:sz w:val="20"/>
          <w:szCs w:val="20"/>
        </w:rPr>
        <w:t>9</w:t>
      </w:r>
      <w:r>
        <w:rPr>
          <w:rFonts w:eastAsia="Times New Roman"/>
          <w:b/>
          <w:bCs/>
          <w:sz w:val="20"/>
          <w:szCs w:val="20"/>
        </w:rPr>
        <w:t>.</w:t>
      </w:r>
    </w:p>
    <w:p w14:paraId="28A3446E" w14:textId="77777777" w:rsidR="00000000" w:rsidRDefault="003A1B5D">
      <w:pPr>
        <w:jc w:val="both"/>
        <w:divId w:val="2067991794"/>
        <w:rPr>
          <w:rFonts w:eastAsia="Times New Roman"/>
        </w:rPr>
      </w:pPr>
      <w:r>
        <w:rPr>
          <w:rFonts w:eastAsia="Times New Roman"/>
          <w:b/>
          <w:bCs/>
          <w:sz w:val="20"/>
          <w:szCs w:val="20"/>
        </w:rPr>
        <w:t>INCOME TAXE</w:t>
      </w:r>
      <w:r>
        <w:rPr>
          <w:rFonts w:eastAsia="Times New Roman"/>
          <w:b/>
          <w:bCs/>
          <w:sz w:val="20"/>
          <w:szCs w:val="20"/>
        </w:rPr>
        <w:t>S</w:t>
      </w:r>
    </w:p>
    <w:p w14:paraId="1A8501B6" w14:textId="77777777" w:rsidR="00000000" w:rsidRDefault="003A1B5D">
      <w:pPr>
        <w:pStyle w:val="a3"/>
        <w:spacing w:before="120" w:beforeAutospacing="0" w:after="0" w:afterAutospacing="0"/>
        <w:ind w:left="476"/>
        <w:jc w:val="both"/>
        <w:divId w:val="1180579511"/>
        <w:rPr>
          <w:sz w:val="20"/>
          <w:szCs w:val="20"/>
        </w:rPr>
      </w:pPr>
      <w:r>
        <w:rPr>
          <w:sz w:val="20"/>
          <w:szCs w:val="20"/>
        </w:rPr>
        <w:t>Income taxes are accounted for under the provisions of ASC 740, "Income Taxes". ASC 740 generally requires CoreCivic to record deferred income taxes for the tax effect of differences between book and tax bases of its assets and liabili</w:t>
      </w:r>
      <w:r>
        <w:rPr>
          <w:sz w:val="20"/>
          <w:szCs w:val="20"/>
        </w:rPr>
        <w:t>ties. Deferred income taxes reflect the available net operating losses and the net tax effect of temporary differences between the carrying amounts of assets and liabilities for financial reporting purposes and the amounts used for income tax purposes usin</w:t>
      </w:r>
      <w:r>
        <w:rPr>
          <w:sz w:val="20"/>
          <w:szCs w:val="20"/>
        </w:rPr>
        <w:t>g enacted tax rates in effect for the year in which the differences are expected to reverse. The effect of a change in tax rates on deferred tax assets and liabilities is recognized in the statement of operations in the period that includes the enactment d</w:t>
      </w:r>
      <w:r>
        <w:rPr>
          <w:sz w:val="20"/>
          <w:szCs w:val="20"/>
        </w:rPr>
        <w:t>ate. Realization of the future tax benefits related to deferred tax assets is dependent on many factors, including CoreCivic's past earnings history, expected future earnings, the character and jurisdiction of such earnings, unsettled circumstances that, i</w:t>
      </w:r>
      <w:r>
        <w:rPr>
          <w:sz w:val="20"/>
          <w:szCs w:val="20"/>
        </w:rPr>
        <w:t>f unfavorably resolved, would adversely affect utilization of its deferred tax assets, carryback and carryforward periods, and tax strategies that could potentially enhance the likelihood of realization of a deferred tax asset</w:t>
      </w:r>
      <w:r>
        <w:rPr>
          <w:sz w:val="20"/>
          <w:szCs w:val="20"/>
        </w:rPr>
        <w:t>.</w:t>
      </w:r>
    </w:p>
    <w:p w14:paraId="7B9F5D1C" w14:textId="77777777" w:rsidR="00000000" w:rsidRDefault="003A1B5D">
      <w:pPr>
        <w:pStyle w:val="a3"/>
        <w:spacing w:before="240" w:beforeAutospacing="0" w:after="0" w:afterAutospacing="0"/>
        <w:ind w:left="476"/>
        <w:jc w:val="both"/>
        <w:divId w:val="1180579511"/>
        <w:rPr>
          <w:sz w:val="20"/>
          <w:szCs w:val="20"/>
        </w:rPr>
      </w:pPr>
      <w:r>
        <w:rPr>
          <w:sz w:val="20"/>
          <w:szCs w:val="20"/>
        </w:rPr>
        <w:t>The Company operated in comp</w:t>
      </w:r>
      <w:r>
        <w:rPr>
          <w:sz w:val="20"/>
          <w:szCs w:val="20"/>
        </w:rPr>
        <w:t>liance with real estate investment trust ("REIT") requirements for federal income tax purposes from January 1, 2013 through December 31, 2020. During the years the Company elected REIT status, the Company was required to distribute at least</w:t>
      </w:r>
      <w:r>
        <w:rPr>
          <w:sz w:val="20"/>
          <w:szCs w:val="20"/>
        </w:rPr>
        <w:t xml:space="preserve"> </w:t>
      </w:r>
      <w:r>
        <w:rPr>
          <w:sz w:val="20"/>
          <w:szCs w:val="20"/>
        </w:rPr>
        <w:t>9</w:t>
      </w:r>
      <w:r>
        <w:rPr>
          <w:sz w:val="20"/>
          <w:szCs w:val="20"/>
        </w:rPr>
        <w:t>0</w:t>
      </w:r>
      <w:r>
        <w:rPr>
          <w:sz w:val="20"/>
          <w:szCs w:val="20"/>
        </w:rPr>
        <w:t>% of its taxa</w:t>
      </w:r>
      <w:r>
        <w:rPr>
          <w:sz w:val="20"/>
          <w:szCs w:val="20"/>
        </w:rPr>
        <w:t>ble income (including dividends paid to it by its taxable REIT subsidiaries ("TRSs")) and did not pay federal income taxes on the amount distributed to its stockholders. In addition, the Company was required to meet a number of other organizational and ope</w:t>
      </w:r>
      <w:r>
        <w:rPr>
          <w:sz w:val="20"/>
          <w:szCs w:val="20"/>
        </w:rPr>
        <w:t>rational requirements, which the Company continued to meet through the year ended December 31, 2020. Most states where CoreCivic holds investments in real estate conform to the federal rules recognizing REITs. Certain subsidiaries made an election with the</w:t>
      </w:r>
      <w:r>
        <w:rPr>
          <w:sz w:val="20"/>
          <w:szCs w:val="20"/>
        </w:rPr>
        <w:t xml:space="preserve"> Company to be treated as TRSs in conjunction with the Company's REIT election. The TRS elections permitted CoreCivic to engage in certain business activities in which the REIT could not engage directly. A TRS is subject to federal and state income taxes o</w:t>
      </w:r>
      <w:r>
        <w:rPr>
          <w:sz w:val="20"/>
          <w:szCs w:val="20"/>
        </w:rPr>
        <w:t>n the income from these activities and therefore, CoreCivic included a provision for taxes in its consolidated financial statements even during periods it operated as a REIT</w:t>
      </w:r>
      <w:r>
        <w:rPr>
          <w:sz w:val="20"/>
          <w:szCs w:val="20"/>
        </w:rPr>
        <w:t>.</w:t>
      </w:r>
    </w:p>
    <w:p w14:paraId="2BC3EBA4" w14:textId="77777777" w:rsidR="00000000" w:rsidRDefault="003A1B5D">
      <w:pPr>
        <w:pStyle w:val="a3"/>
        <w:spacing w:before="240" w:beforeAutospacing="0" w:after="0" w:afterAutospacing="0"/>
        <w:ind w:left="476"/>
        <w:jc w:val="both"/>
        <w:divId w:val="1180579511"/>
        <w:rPr>
          <w:sz w:val="20"/>
          <w:szCs w:val="20"/>
        </w:rPr>
      </w:pPr>
      <w:r>
        <w:rPr>
          <w:sz w:val="20"/>
          <w:szCs w:val="20"/>
        </w:rPr>
        <w:t>On August 5, 2020, the Company announced that the BOD unanimously approved a plan</w:t>
      </w:r>
      <w:r>
        <w:rPr>
          <w:sz w:val="20"/>
          <w:szCs w:val="20"/>
        </w:rPr>
        <w:t xml:space="preserve"> to revoke its REIT election and become a taxable C Corporation, effective January 1, 2021. As a result, the Company is no longer required to operate under REIT rules, including the requirement to distribute at least</w:t>
      </w:r>
      <w:r>
        <w:rPr>
          <w:sz w:val="20"/>
          <w:szCs w:val="20"/>
        </w:rPr>
        <w:t xml:space="preserve"> </w:t>
      </w:r>
      <w:r>
        <w:rPr>
          <w:sz w:val="20"/>
          <w:szCs w:val="20"/>
        </w:rPr>
        <w:t>9</w:t>
      </w:r>
      <w:r>
        <w:rPr>
          <w:sz w:val="20"/>
          <w:szCs w:val="20"/>
        </w:rPr>
        <w:t>0</w:t>
      </w:r>
      <w:r>
        <w:rPr>
          <w:sz w:val="20"/>
          <w:szCs w:val="20"/>
        </w:rPr>
        <w:t>% of its taxable income to its stockh</w:t>
      </w:r>
      <w:r>
        <w:rPr>
          <w:sz w:val="20"/>
          <w:szCs w:val="20"/>
        </w:rPr>
        <w:t xml:space="preserve">olders, which provides the Company with greater flexibility to use its free cash flow. Effective January 1, 2021, the Company became subject to federal and state income taxes on its taxable income at applicable tax rates and is no longer entitled to a tax </w:t>
      </w:r>
      <w:r>
        <w:rPr>
          <w:sz w:val="20"/>
          <w:szCs w:val="20"/>
        </w:rPr>
        <w:t>deduction for dividends paid</w:t>
      </w:r>
      <w:r>
        <w:rPr>
          <w:sz w:val="20"/>
          <w:szCs w:val="20"/>
        </w:rPr>
        <w:t>.</w:t>
      </w:r>
      <w:r>
        <w:rPr>
          <w:sz w:val="20"/>
          <w:szCs w:val="20"/>
        </w:rPr>
        <w:t xml:space="preserve"> </w:t>
      </w:r>
    </w:p>
    <w:p w14:paraId="1633BEC8" w14:textId="77777777" w:rsidR="00000000" w:rsidRDefault="003A1B5D">
      <w:pPr>
        <w:pStyle w:val="a3"/>
        <w:spacing w:before="240" w:beforeAutospacing="0" w:after="0" w:afterAutospacing="0"/>
        <w:ind w:left="476"/>
        <w:jc w:val="both"/>
        <w:divId w:val="1180579511"/>
        <w:rPr>
          <w:sz w:val="20"/>
          <w:szCs w:val="20"/>
        </w:rPr>
      </w:pPr>
      <w:r>
        <w:rPr>
          <w:sz w:val="20"/>
          <w:szCs w:val="20"/>
        </w:rPr>
        <w:t>CoreCivic recorded an income tax expense of</w:t>
      </w:r>
      <w:r>
        <w:rPr>
          <w:sz w:val="20"/>
          <w:szCs w:val="20"/>
        </w:rPr>
        <w:t xml:space="preserve"> </w:t>
      </w:r>
      <w:r>
        <w:rPr>
          <w:sz w:val="20"/>
          <w:szCs w:val="20"/>
        </w:rPr>
        <w:t>$</w:t>
      </w:r>
      <w:r>
        <w:rPr>
          <w:sz w:val="20"/>
          <w:szCs w:val="20"/>
        </w:rPr>
        <w:t>24.</w:t>
      </w:r>
      <w:r>
        <w:rPr>
          <w:sz w:val="20"/>
          <w:szCs w:val="20"/>
        </w:rPr>
        <w:t>2</w:t>
      </w:r>
      <w:r>
        <w:rPr>
          <w:sz w:val="20"/>
          <w:szCs w:val="20"/>
        </w:rPr>
        <w:t xml:space="preserve"> millio</w:t>
      </w:r>
      <w:r>
        <w:rPr>
          <w:sz w:val="20"/>
          <w:szCs w:val="20"/>
        </w:rPr>
        <w:t>n</w:t>
      </w:r>
      <w:r>
        <w:rPr>
          <w:sz w:val="20"/>
          <w:szCs w:val="20"/>
        </w:rPr>
        <w:t xml:space="preserve"> and</w:t>
      </w:r>
      <w:r>
        <w:rPr>
          <w:sz w:val="20"/>
          <w:szCs w:val="20"/>
        </w:rPr>
        <w:t xml:space="preserve"> </w:t>
      </w:r>
      <w:r>
        <w:rPr>
          <w:sz w:val="20"/>
          <w:szCs w:val="20"/>
        </w:rPr>
        <w:t>$</w:t>
      </w:r>
      <w:r>
        <w:rPr>
          <w:sz w:val="20"/>
          <w:szCs w:val="20"/>
        </w:rPr>
        <w:t>8.</w:t>
      </w:r>
      <w:r>
        <w:rPr>
          <w:sz w:val="20"/>
          <w:szCs w:val="20"/>
        </w:rPr>
        <w:t>6</w:t>
      </w:r>
      <w:r>
        <w:rPr>
          <w:sz w:val="20"/>
          <w:szCs w:val="20"/>
        </w:rPr>
        <w:t xml:space="preserve"> millio</w:t>
      </w:r>
      <w:r>
        <w:rPr>
          <w:sz w:val="20"/>
          <w:szCs w:val="20"/>
        </w:rPr>
        <w:t>n</w:t>
      </w:r>
      <w:r>
        <w:rPr>
          <w:sz w:val="20"/>
          <w:szCs w:val="20"/>
        </w:rPr>
        <w:t xml:space="preserve"> for the three months ended September 30, 2022 and 2021, respectively, which increased largely as a result of tax expense associated with the gain on s</w:t>
      </w:r>
      <w:r>
        <w:rPr>
          <w:sz w:val="20"/>
          <w:szCs w:val="20"/>
        </w:rPr>
        <w:t>ale of real estate assets in the third quarter of 2022. CoreCivic recorded an income tax expense of</w:t>
      </w:r>
      <w:r>
        <w:rPr>
          <w:sz w:val="20"/>
          <w:szCs w:val="20"/>
        </w:rPr>
        <w:t xml:space="preserve"> </w:t>
      </w:r>
      <w:r>
        <w:rPr>
          <w:sz w:val="20"/>
          <w:szCs w:val="20"/>
        </w:rPr>
        <w:t>$</w:t>
      </w:r>
      <w:r>
        <w:rPr>
          <w:sz w:val="20"/>
          <w:szCs w:val="20"/>
        </w:rPr>
        <w:t>34.</w:t>
      </w:r>
      <w:r>
        <w:rPr>
          <w:sz w:val="20"/>
          <w:szCs w:val="20"/>
        </w:rPr>
        <w:t>9</w:t>
      </w:r>
      <w:r>
        <w:rPr>
          <w:sz w:val="20"/>
          <w:szCs w:val="20"/>
        </w:rPr>
        <w:t xml:space="preserve"> millio</w:t>
      </w:r>
      <w:r>
        <w:rPr>
          <w:sz w:val="20"/>
          <w:szCs w:val="20"/>
        </w:rPr>
        <w:t>n</w:t>
      </w:r>
      <w:r>
        <w:rPr>
          <w:sz w:val="20"/>
          <w:szCs w:val="20"/>
        </w:rPr>
        <w:t xml:space="preserve"> and</w:t>
      </w:r>
      <w:r>
        <w:rPr>
          <w:sz w:val="20"/>
          <w:szCs w:val="20"/>
        </w:rPr>
        <w:t xml:space="preserve"> </w:t>
      </w:r>
      <w:r>
        <w:rPr>
          <w:sz w:val="20"/>
          <w:szCs w:val="20"/>
        </w:rPr>
        <w:t>$</w:t>
      </w:r>
      <w:r>
        <w:rPr>
          <w:sz w:val="20"/>
          <w:szCs w:val="20"/>
        </w:rPr>
        <w:t>128.</w:t>
      </w:r>
      <w:r>
        <w:rPr>
          <w:sz w:val="20"/>
          <w:szCs w:val="20"/>
        </w:rPr>
        <w:t>7</w:t>
      </w:r>
      <w:r>
        <w:rPr>
          <w:sz w:val="20"/>
          <w:szCs w:val="20"/>
        </w:rPr>
        <w:t xml:space="preserve"> millio</w:t>
      </w:r>
      <w:r>
        <w:rPr>
          <w:sz w:val="20"/>
          <w:szCs w:val="20"/>
        </w:rPr>
        <w:t>n</w:t>
      </w:r>
      <w:r>
        <w:rPr>
          <w:sz w:val="20"/>
          <w:szCs w:val="20"/>
        </w:rPr>
        <w:t xml:space="preserve"> for the nine months ended September 30, 2022 and 202</w:t>
      </w:r>
      <w:r>
        <w:rPr>
          <w:sz w:val="20"/>
          <w:szCs w:val="20"/>
        </w:rPr>
        <w:t>1</w:t>
      </w:r>
      <w:r>
        <w:rPr>
          <w:sz w:val="20"/>
          <w:szCs w:val="20"/>
        </w:rPr>
        <w:t>, respectively. Income tax expense for the nine months ended September</w:t>
      </w:r>
      <w:r>
        <w:rPr>
          <w:sz w:val="20"/>
          <w:szCs w:val="20"/>
        </w:rPr>
        <w:t xml:space="preserve"> 30, 2021 included </w:t>
      </w:r>
      <w:r>
        <w:rPr>
          <w:sz w:val="20"/>
          <w:szCs w:val="20"/>
        </w:rPr>
        <w:t>$</w:t>
      </w:r>
      <w:r>
        <w:rPr>
          <w:sz w:val="20"/>
          <w:szCs w:val="20"/>
        </w:rPr>
        <w:t>114.</w:t>
      </w:r>
      <w:r>
        <w:rPr>
          <w:sz w:val="20"/>
          <w:szCs w:val="20"/>
        </w:rPr>
        <w:t>2</w:t>
      </w:r>
      <w:r>
        <w:rPr>
          <w:sz w:val="20"/>
          <w:szCs w:val="20"/>
        </w:rPr>
        <w:t xml:space="preserve"> million primarily resulting from the revaluation of the Company's net deferred tax liabilities due to the completion of all significant actions necessary to revoke its REIT election.</w:t>
      </w:r>
      <w:r>
        <w:rPr>
          <w:sz w:val="20"/>
          <w:szCs w:val="20"/>
        </w:rPr>
        <w:t xml:space="preserve"> </w:t>
      </w:r>
      <w:r>
        <w:rPr>
          <w:sz w:val="20"/>
          <w:szCs w:val="20"/>
        </w:rPr>
        <w:t>N</w:t>
      </w:r>
      <w:r>
        <w:rPr>
          <w:sz w:val="20"/>
          <w:szCs w:val="20"/>
        </w:rPr>
        <w:t>o</w:t>
      </w:r>
      <w:r>
        <w:rPr>
          <w:sz w:val="20"/>
          <w:szCs w:val="20"/>
        </w:rPr>
        <w:t xml:space="preserve"> catch-up tax payments or penalties resulted </w:t>
      </w:r>
      <w:r>
        <w:rPr>
          <w:sz w:val="20"/>
          <w:szCs w:val="20"/>
        </w:rPr>
        <w:t>from the revocation of the Company's REIT election</w:t>
      </w:r>
      <w:r>
        <w:rPr>
          <w:sz w:val="20"/>
          <w:szCs w:val="20"/>
        </w:rPr>
        <w:t>.</w:t>
      </w:r>
      <w:r>
        <w:rPr>
          <w:sz w:val="20"/>
          <w:szCs w:val="20"/>
        </w:rPr>
        <w:t xml:space="preserve"> </w:t>
      </w:r>
    </w:p>
    <w:p w14:paraId="5A2ACE14" w14:textId="77777777" w:rsidR="00000000" w:rsidRDefault="003A1B5D">
      <w:pPr>
        <w:pStyle w:val="a3"/>
        <w:spacing w:before="240" w:beforeAutospacing="0" w:after="0" w:afterAutospacing="0"/>
        <w:ind w:left="476"/>
        <w:jc w:val="both"/>
        <w:divId w:val="1180579511"/>
        <w:rPr>
          <w:sz w:val="20"/>
          <w:szCs w:val="20"/>
        </w:rPr>
      </w:pPr>
      <w:r>
        <w:rPr>
          <w:sz w:val="20"/>
          <w:szCs w:val="20"/>
        </w:rPr>
        <w:t>On March 27, 2020, President Trump signed into law the Coronavirus Aid, Relief and Economic Security Act (the “CARES Act”). The CARES Act, among other things, includes provisions relating to refundable p</w:t>
      </w:r>
      <w:r>
        <w:rPr>
          <w:sz w:val="20"/>
          <w:szCs w:val="20"/>
        </w:rPr>
        <w:t>ayroll tax credits, deferral of employer side social security payments, net operating loss carryback periods, alternative minimum tax credit refunds, modifications to the net interest deduction limitations and technical corrections to tax depreciation meth</w:t>
      </w:r>
      <w:r>
        <w:rPr>
          <w:sz w:val="20"/>
          <w:szCs w:val="20"/>
        </w:rPr>
        <w:t>ods for qualified improvement property. The accelerated depreciation methods for qualified improvement property significantly reduced the Company's taxable income and, therefore, its distribution requirement as a REIT for 2020. During 2020, the Company def</w:t>
      </w:r>
      <w:r>
        <w:rPr>
          <w:sz w:val="20"/>
          <w:szCs w:val="20"/>
        </w:rPr>
        <w:t xml:space="preserve">erred payment of </w:t>
      </w:r>
      <w:r>
        <w:rPr>
          <w:sz w:val="20"/>
          <w:szCs w:val="20"/>
        </w:rPr>
        <w:t>$</w:t>
      </w:r>
      <w:r>
        <w:rPr>
          <w:sz w:val="20"/>
          <w:szCs w:val="20"/>
        </w:rPr>
        <w:t>29.</w:t>
      </w:r>
      <w:r>
        <w:rPr>
          <w:sz w:val="20"/>
          <w:szCs w:val="20"/>
        </w:rPr>
        <w:t>6</w:t>
      </w:r>
      <w:r>
        <w:rPr>
          <w:sz w:val="20"/>
          <w:szCs w:val="20"/>
        </w:rPr>
        <w:t xml:space="preserve"> million of employer-side social security payments. Half of this deferred amount was paid in December 2021 while the remaining deferred amount was paid in September 2022</w:t>
      </w:r>
      <w:r>
        <w:rPr>
          <w:sz w:val="20"/>
          <w:szCs w:val="20"/>
        </w:rPr>
        <w:t>.</w:t>
      </w:r>
      <w:r>
        <w:rPr>
          <w:sz w:val="20"/>
          <w:szCs w:val="20"/>
        </w:rPr>
        <w:t xml:space="preserve"> </w:t>
      </w:r>
    </w:p>
    <w:p w14:paraId="3730C3C9" w14:textId="77777777" w:rsidR="00000000" w:rsidRDefault="003A1B5D">
      <w:pPr>
        <w:pStyle w:val="a3"/>
        <w:spacing w:before="240" w:beforeAutospacing="0" w:after="0" w:afterAutospacing="0"/>
        <w:jc w:val="center"/>
        <w:divId w:val="1180579511"/>
        <w:rPr>
          <w:sz w:val="20"/>
          <w:szCs w:val="20"/>
        </w:rPr>
      </w:pPr>
      <w:r>
        <w:rPr>
          <w:sz w:val="20"/>
          <w:szCs w:val="20"/>
        </w:rPr>
        <w:t>1</w:t>
      </w:r>
      <w:r>
        <w:rPr>
          <w:sz w:val="20"/>
          <w:szCs w:val="20"/>
        </w:rPr>
        <w:t>7</w:t>
      </w:r>
    </w:p>
    <w:p w14:paraId="64D3CCC9" w14:textId="77777777" w:rsidR="00000000" w:rsidRDefault="003A1B5D">
      <w:pPr>
        <w:divId w:val="1180579511"/>
        <w:rPr>
          <w:rFonts w:eastAsia="Times New Roman"/>
        </w:rPr>
      </w:pPr>
      <w:r>
        <w:rPr>
          <w:rFonts w:eastAsia="Times New Roman"/>
        </w:rPr>
        <w:pict w14:anchorId="03C28F11">
          <v:rect id="_x0000_i1043" style="width:0;height:1.5pt" o:hralign="center" o:hrstd="t" o:hr="t" fillcolor="#a0a0a0" stroked="f"/>
        </w:pict>
      </w:r>
    </w:p>
    <w:p w14:paraId="2C6421E6" w14:textId="77777777" w:rsidR="00000000" w:rsidRDefault="003A1B5D">
      <w:pPr>
        <w:pStyle w:val="a3"/>
        <w:spacing w:before="0" w:beforeAutospacing="0" w:after="0" w:afterAutospacing="0"/>
        <w:divId w:val="1180579511"/>
        <w:rPr>
          <w:sz w:val="20"/>
          <w:szCs w:val="20"/>
        </w:rPr>
      </w:pPr>
      <w:r>
        <w:rPr>
          <w:sz w:val="20"/>
          <w:szCs w:val="20"/>
        </w:rPr>
        <w:t> </w:t>
      </w:r>
    </w:p>
    <w:p w14:paraId="18753718" w14:textId="77777777" w:rsidR="00000000" w:rsidRDefault="003A1B5D">
      <w:pPr>
        <w:pStyle w:val="a3"/>
        <w:spacing w:before="240" w:beforeAutospacing="0" w:after="0" w:afterAutospacing="0"/>
        <w:ind w:left="476"/>
        <w:jc w:val="both"/>
        <w:divId w:val="1180579511"/>
        <w:rPr>
          <w:sz w:val="20"/>
          <w:szCs w:val="20"/>
        </w:rPr>
      </w:pPr>
      <w:r>
        <w:rPr>
          <w:sz w:val="20"/>
          <w:szCs w:val="20"/>
        </w:rPr>
        <w:t>The Inflation Reduction Act of 2022 (the “Inflation Reduction Act”) was signed into law on August 16, 2022. Among other provisions, such act creates an excise tax of</w:t>
      </w:r>
      <w:r>
        <w:rPr>
          <w:sz w:val="20"/>
          <w:szCs w:val="20"/>
        </w:rPr>
        <w:t xml:space="preserve"> </w:t>
      </w:r>
      <w:r>
        <w:rPr>
          <w:sz w:val="20"/>
          <w:szCs w:val="20"/>
        </w:rPr>
        <w:t>1</w:t>
      </w:r>
      <w:r>
        <w:rPr>
          <w:sz w:val="20"/>
          <w:szCs w:val="20"/>
        </w:rPr>
        <w:t>% on the fair value of net stock repurchases in exc</w:t>
      </w:r>
      <w:r>
        <w:rPr>
          <w:sz w:val="20"/>
          <w:szCs w:val="20"/>
        </w:rPr>
        <w:t>ess of share issuances made by publicly traded U.S. corporations, effective for repurchases after December 31, 2022. The impact of this excise tax on the Company’s financial position, and/or liquidity, in future periods, will vary based on the level of rep</w:t>
      </w:r>
      <w:r>
        <w:rPr>
          <w:sz w:val="20"/>
          <w:szCs w:val="20"/>
        </w:rPr>
        <w:t>urchases made by the Company in a given year. While the Company is still evaluating the potential impact of this excise tax on its results of operations, interpretive accounting guidance indicates that this tax likely can be recorded as a component of equi</w:t>
      </w:r>
      <w:r>
        <w:rPr>
          <w:sz w:val="20"/>
          <w:szCs w:val="20"/>
        </w:rPr>
        <w:t>ty, as opposed to an expense within the statement of operations, given that it is a direct cost associated with the repurchase of the Company’s common stock</w:t>
      </w:r>
      <w:r>
        <w:rPr>
          <w:sz w:val="20"/>
          <w:szCs w:val="20"/>
        </w:rPr>
        <w:t>.</w:t>
      </w:r>
    </w:p>
    <w:p w14:paraId="63CF5295" w14:textId="77777777" w:rsidR="00000000" w:rsidRDefault="003A1B5D">
      <w:pPr>
        <w:pStyle w:val="a3"/>
        <w:spacing w:before="360" w:beforeAutospacing="0" w:after="0" w:afterAutospacing="0"/>
        <w:ind w:left="476"/>
        <w:jc w:val="both"/>
        <w:divId w:val="1180579511"/>
        <w:rPr>
          <w:sz w:val="20"/>
          <w:szCs w:val="20"/>
        </w:rPr>
      </w:pPr>
      <w:r>
        <w:rPr>
          <w:b/>
          <w:bCs/>
          <w:sz w:val="20"/>
          <w:szCs w:val="20"/>
        </w:rPr>
        <w:t>Income Tax Contingencie</w:t>
      </w:r>
      <w:r>
        <w:rPr>
          <w:b/>
          <w:bCs/>
          <w:sz w:val="20"/>
          <w:szCs w:val="20"/>
        </w:rPr>
        <w:t>s</w:t>
      </w:r>
    </w:p>
    <w:p w14:paraId="23A0072E" w14:textId="77777777" w:rsidR="00000000" w:rsidRDefault="003A1B5D">
      <w:pPr>
        <w:pStyle w:val="a3"/>
        <w:spacing w:before="120" w:beforeAutospacing="0" w:after="0" w:afterAutospacing="0"/>
        <w:ind w:left="476"/>
        <w:jc w:val="both"/>
        <w:divId w:val="1180579511"/>
        <w:rPr>
          <w:sz w:val="20"/>
          <w:szCs w:val="20"/>
        </w:rPr>
      </w:pPr>
      <w:r>
        <w:rPr>
          <w:sz w:val="20"/>
          <w:szCs w:val="20"/>
        </w:rPr>
        <w:t xml:space="preserve">ASC 740 prescribes a recognition threshold and measurement attribute for </w:t>
      </w:r>
      <w:r>
        <w:rPr>
          <w:sz w:val="20"/>
          <w:szCs w:val="20"/>
        </w:rPr>
        <w:t>the financial statement recognition and measurement of a tax position taken or expected to be taken in a tax return. The guidance prescribed in ASC 740 establishes a recognition threshold of more likely than not that a tax position will be sustained upon e</w:t>
      </w:r>
      <w:r>
        <w:rPr>
          <w:sz w:val="20"/>
          <w:szCs w:val="20"/>
        </w:rPr>
        <w:t>xamination. The measurement attribute requires that a tax position be measured at the largest amount of benefit that is greater than 50% likely of being realized upon ultimate settlement</w:t>
      </w:r>
      <w:r>
        <w:rPr>
          <w:sz w:val="20"/>
          <w:szCs w:val="20"/>
        </w:rPr>
        <w:t>.</w:t>
      </w:r>
    </w:p>
    <w:p w14:paraId="4D403C83" w14:textId="77777777" w:rsidR="00000000" w:rsidRDefault="003A1B5D">
      <w:pPr>
        <w:pStyle w:val="a3"/>
        <w:spacing w:before="240" w:beforeAutospacing="0" w:after="0" w:afterAutospacing="0"/>
        <w:ind w:left="476"/>
        <w:jc w:val="both"/>
        <w:divId w:val="1180579511"/>
        <w:rPr>
          <w:sz w:val="20"/>
          <w:szCs w:val="20"/>
        </w:rPr>
      </w:pPr>
      <w:r>
        <w:rPr>
          <w:sz w:val="20"/>
          <w:szCs w:val="20"/>
        </w:rPr>
        <w:t>CoreCivic had</w:t>
      </w:r>
      <w:r>
        <w:rPr>
          <w:sz w:val="20"/>
          <w:szCs w:val="20"/>
        </w:rPr>
        <w:t xml:space="preserve"> </w:t>
      </w:r>
      <w:r>
        <w:rPr>
          <w:sz w:val="20"/>
          <w:szCs w:val="20"/>
        </w:rPr>
        <w:t>n</w:t>
      </w:r>
      <w:r>
        <w:rPr>
          <w:sz w:val="20"/>
          <w:szCs w:val="20"/>
        </w:rPr>
        <w:t>o</w:t>
      </w:r>
      <w:r>
        <w:rPr>
          <w:sz w:val="20"/>
          <w:szCs w:val="20"/>
        </w:rPr>
        <w:t xml:space="preserve"> liabilities recorded for uncertain tax positions as</w:t>
      </w:r>
      <w:r>
        <w:rPr>
          <w:sz w:val="20"/>
          <w:szCs w:val="20"/>
        </w:rPr>
        <w:t xml:space="preserve"> of</w:t>
      </w:r>
      <w:r>
        <w:rPr>
          <w:sz w:val="20"/>
          <w:szCs w:val="20"/>
        </w:rPr>
        <w:t xml:space="preserve"> </w:t>
      </w:r>
      <w:r>
        <w:rPr>
          <w:sz w:val="20"/>
          <w:szCs w:val="20"/>
        </w:rPr>
        <w:t>September 30, 202</w:t>
      </w:r>
      <w:r>
        <w:rPr>
          <w:sz w:val="20"/>
          <w:szCs w:val="20"/>
        </w:rPr>
        <w:t>2</w:t>
      </w:r>
      <w:r>
        <w:rPr>
          <w:sz w:val="20"/>
          <w:szCs w:val="20"/>
        </w:rPr>
        <w:t xml:space="preserve"> and December 31, 2021. CoreCivic recognizes interest and penalties related to unrecognized tax positions in income tax expense. CoreCivic does not currently anticipate that the total amount of unrecognized tax positions will signific</w:t>
      </w:r>
      <w:r>
        <w:rPr>
          <w:sz w:val="20"/>
          <w:szCs w:val="20"/>
        </w:rPr>
        <w:t>antly change in the next twelve months</w:t>
      </w:r>
      <w:r>
        <w:rPr>
          <w:sz w:val="20"/>
          <w:szCs w:val="20"/>
        </w:rPr>
        <w:t>.</w:t>
      </w:r>
      <w:r>
        <w:rPr>
          <w:sz w:val="20"/>
          <w:szCs w:val="20"/>
        </w:rPr>
        <w:t xml:space="preserve"> </w:t>
      </w:r>
    </w:p>
    <w:p w14:paraId="345E4E66" w14:textId="77777777" w:rsidR="00000000" w:rsidRDefault="003A1B5D">
      <w:pPr>
        <w:jc w:val="both"/>
        <w:divId w:val="609892691"/>
        <w:rPr>
          <w:rFonts w:eastAsia="Times New Roman"/>
        </w:rPr>
      </w:pPr>
      <w:r>
        <w:rPr>
          <w:rFonts w:eastAsia="Times New Roman"/>
          <w:b/>
          <w:bCs/>
          <w:sz w:val="20"/>
          <w:szCs w:val="20"/>
        </w:rPr>
        <w:t>10</w:t>
      </w:r>
      <w:r>
        <w:rPr>
          <w:rFonts w:eastAsia="Times New Roman"/>
          <w:b/>
          <w:bCs/>
          <w:sz w:val="20"/>
          <w:szCs w:val="20"/>
        </w:rPr>
        <w:t>.</w:t>
      </w:r>
    </w:p>
    <w:p w14:paraId="20F26C9C" w14:textId="77777777" w:rsidR="00000000" w:rsidRDefault="003A1B5D">
      <w:pPr>
        <w:jc w:val="both"/>
        <w:divId w:val="622419689"/>
        <w:rPr>
          <w:rFonts w:eastAsia="Times New Roman"/>
        </w:rPr>
      </w:pPr>
      <w:r>
        <w:rPr>
          <w:rFonts w:eastAsia="Times New Roman"/>
          <w:b/>
          <w:bCs/>
          <w:sz w:val="20"/>
          <w:szCs w:val="20"/>
        </w:rPr>
        <w:t>SEGMENT REPORTIN</w:t>
      </w:r>
      <w:r>
        <w:rPr>
          <w:rFonts w:eastAsia="Times New Roman"/>
          <w:b/>
          <w:bCs/>
          <w:sz w:val="20"/>
          <w:szCs w:val="20"/>
        </w:rPr>
        <w:t>G</w:t>
      </w:r>
    </w:p>
    <w:p w14:paraId="0F3D5013" w14:textId="77777777" w:rsidR="00000000" w:rsidRDefault="003A1B5D">
      <w:pPr>
        <w:pStyle w:val="a3"/>
        <w:spacing w:before="120" w:beforeAutospacing="0" w:after="0" w:afterAutospacing="0"/>
        <w:ind w:left="476"/>
        <w:jc w:val="both"/>
        <w:divId w:val="2080865034"/>
        <w:rPr>
          <w:sz w:val="20"/>
          <w:szCs w:val="20"/>
        </w:rPr>
      </w:pPr>
      <w:r>
        <w:rPr>
          <w:sz w:val="20"/>
          <w:szCs w:val="20"/>
        </w:rPr>
        <w:t>As of September 30, 2022, CoreCivic operated</w:t>
      </w:r>
      <w:r>
        <w:rPr>
          <w:sz w:val="20"/>
          <w:szCs w:val="20"/>
        </w:rPr>
        <w:t xml:space="preserve"> </w:t>
      </w:r>
      <w:r>
        <w:rPr>
          <w:sz w:val="20"/>
          <w:szCs w:val="20"/>
        </w:rPr>
        <w:t>4</w:t>
      </w:r>
      <w:r>
        <w:rPr>
          <w:sz w:val="20"/>
          <w:szCs w:val="20"/>
        </w:rPr>
        <w:t>5</w:t>
      </w:r>
      <w:r>
        <w:rPr>
          <w:sz w:val="20"/>
          <w:szCs w:val="20"/>
        </w:rPr>
        <w:t xml:space="preserve"> correctional and detention facilities,</w:t>
      </w:r>
      <w:r>
        <w:rPr>
          <w:sz w:val="20"/>
          <w:szCs w:val="20"/>
        </w:rPr>
        <w:t xml:space="preserve"> </w:t>
      </w:r>
      <w:r>
        <w:rPr>
          <w:sz w:val="20"/>
          <w:szCs w:val="20"/>
        </w:rPr>
        <w:t>4</w:t>
      </w:r>
      <w:r>
        <w:rPr>
          <w:sz w:val="20"/>
          <w:szCs w:val="20"/>
        </w:rPr>
        <w:t>0</w:t>
      </w:r>
      <w:r>
        <w:rPr>
          <w:sz w:val="20"/>
          <w:szCs w:val="20"/>
        </w:rPr>
        <w:t xml:space="preserve"> of which the Company owned. In addition, CoreCivic owned and operated</w:t>
      </w:r>
      <w:r>
        <w:rPr>
          <w:sz w:val="20"/>
          <w:szCs w:val="20"/>
        </w:rPr>
        <w:t xml:space="preserve"> </w:t>
      </w:r>
      <w:r>
        <w:rPr>
          <w:sz w:val="20"/>
          <w:szCs w:val="20"/>
        </w:rPr>
        <w:t>2</w:t>
      </w:r>
      <w:r>
        <w:rPr>
          <w:sz w:val="20"/>
          <w:szCs w:val="20"/>
        </w:rPr>
        <w:t>4</w:t>
      </w:r>
      <w:r>
        <w:rPr>
          <w:sz w:val="20"/>
          <w:szCs w:val="20"/>
        </w:rPr>
        <w:t xml:space="preserve"> residential reentry centers an</w:t>
      </w:r>
      <w:r>
        <w:rPr>
          <w:sz w:val="20"/>
          <w:szCs w:val="20"/>
        </w:rPr>
        <w:t>d owned</w:t>
      </w:r>
      <w:r>
        <w:rPr>
          <w:sz w:val="20"/>
          <w:szCs w:val="20"/>
        </w:rPr>
        <w:t xml:space="preserve"> </w:t>
      </w:r>
      <w:r>
        <w:rPr>
          <w:sz w:val="20"/>
          <w:szCs w:val="20"/>
        </w:rPr>
        <w:t>8</w:t>
      </w:r>
      <w:r>
        <w:rPr>
          <w:sz w:val="20"/>
          <w:szCs w:val="20"/>
        </w:rPr>
        <w:t xml:space="preserve"> properties for lease to third parties. Management views CoreCivic's operating results in</w:t>
      </w:r>
      <w:r>
        <w:rPr>
          <w:sz w:val="20"/>
          <w:szCs w:val="20"/>
        </w:rPr>
        <w:t xml:space="preserve"> </w:t>
      </w:r>
      <w:r>
        <w:rPr>
          <w:sz w:val="20"/>
          <w:szCs w:val="20"/>
        </w:rPr>
        <w:t>thre</w:t>
      </w:r>
      <w:r>
        <w:rPr>
          <w:sz w:val="20"/>
          <w:szCs w:val="20"/>
        </w:rPr>
        <w:t>e</w:t>
      </w:r>
      <w:r>
        <w:rPr>
          <w:sz w:val="20"/>
          <w:szCs w:val="20"/>
        </w:rPr>
        <w:t xml:space="preserve"> operating segments, CoreCivic Safety, CoreCivic Community, and CoreCivic Properties. CoreCivic Safety includes the operating results of those correctio</w:t>
      </w:r>
      <w:r>
        <w:rPr>
          <w:sz w:val="20"/>
          <w:szCs w:val="20"/>
        </w:rPr>
        <w:t>nal and detention facilities placed into service that were owned, or controlled via a long-term lease, and managed by CoreCivic, as well as those correctional and detention facilities owned by a third party and managed by CoreCivic. CoreCivic Safety also i</w:t>
      </w:r>
      <w:r>
        <w:rPr>
          <w:sz w:val="20"/>
          <w:szCs w:val="20"/>
        </w:rPr>
        <w:t xml:space="preserve">ncludes the operating results of TransCor America, LLC, a subsidiary of the Company that provides transportation services to governmental agencies. CoreCivic Community includes the operating results of those residential reentry centers placed into service </w:t>
      </w:r>
      <w:r>
        <w:rPr>
          <w:sz w:val="20"/>
          <w:szCs w:val="20"/>
        </w:rPr>
        <w:t>that were owned, or controlled via a long-term lease, and managed by CoreCivic. CoreCivic Community also includes the operating results of the Company's electronic monitoring and case management services. CoreCivic Properties includes the operating results</w:t>
      </w:r>
      <w:r>
        <w:rPr>
          <w:sz w:val="20"/>
          <w:szCs w:val="20"/>
        </w:rPr>
        <w:t xml:space="preserve"> of those properties leased to third parties. The operating performance of the three segments can be measured based on their net operating income. CoreCivic defines facility net operating income as a facility's revenues less operating expenses</w:t>
      </w:r>
      <w:r>
        <w:rPr>
          <w:sz w:val="20"/>
          <w:szCs w:val="20"/>
        </w:rPr>
        <w:t>.</w:t>
      </w:r>
      <w:r>
        <w:rPr>
          <w:sz w:val="20"/>
          <w:szCs w:val="20"/>
        </w:rPr>
        <w:t xml:space="preserve"> </w:t>
      </w:r>
    </w:p>
    <w:p w14:paraId="3E35B39B" w14:textId="77777777" w:rsidR="00000000" w:rsidRDefault="003A1B5D">
      <w:pPr>
        <w:pStyle w:val="a3"/>
        <w:spacing w:before="240" w:beforeAutospacing="0" w:after="0" w:afterAutospacing="0"/>
        <w:jc w:val="center"/>
        <w:divId w:val="2080865034"/>
        <w:rPr>
          <w:sz w:val="20"/>
          <w:szCs w:val="20"/>
        </w:rPr>
      </w:pPr>
      <w:r>
        <w:rPr>
          <w:sz w:val="20"/>
          <w:szCs w:val="20"/>
        </w:rPr>
        <w:t>1</w:t>
      </w:r>
      <w:r>
        <w:rPr>
          <w:sz w:val="20"/>
          <w:szCs w:val="20"/>
        </w:rPr>
        <w:t>8</w:t>
      </w:r>
    </w:p>
    <w:p w14:paraId="2D381ED2" w14:textId="77777777" w:rsidR="00000000" w:rsidRDefault="003A1B5D">
      <w:pPr>
        <w:divId w:val="2080865034"/>
        <w:rPr>
          <w:rFonts w:eastAsia="Times New Roman"/>
        </w:rPr>
      </w:pPr>
      <w:r>
        <w:rPr>
          <w:rFonts w:eastAsia="Times New Roman"/>
        </w:rPr>
        <w:pict w14:anchorId="59F73858">
          <v:rect id="_x0000_i1044" style="width:0;height:1.5pt" o:hralign="center" o:hrstd="t" o:hr="t" fillcolor="#a0a0a0" stroked="f"/>
        </w:pict>
      </w:r>
    </w:p>
    <w:p w14:paraId="5D032C23" w14:textId="77777777" w:rsidR="00000000" w:rsidRDefault="003A1B5D">
      <w:pPr>
        <w:pStyle w:val="a3"/>
        <w:spacing w:before="0" w:beforeAutospacing="0" w:after="0" w:afterAutospacing="0"/>
        <w:divId w:val="2080865034"/>
        <w:rPr>
          <w:sz w:val="20"/>
          <w:szCs w:val="20"/>
        </w:rPr>
      </w:pPr>
      <w:r>
        <w:rPr>
          <w:sz w:val="20"/>
          <w:szCs w:val="20"/>
        </w:rPr>
        <w:t> </w:t>
      </w:r>
    </w:p>
    <w:p w14:paraId="5DC1305A" w14:textId="77777777" w:rsidR="00000000" w:rsidRDefault="003A1B5D">
      <w:pPr>
        <w:pStyle w:val="a3"/>
        <w:spacing w:before="240" w:beforeAutospacing="0" w:after="0" w:afterAutospacing="0"/>
        <w:ind w:left="476"/>
        <w:jc w:val="both"/>
        <w:divId w:val="1833179165"/>
        <w:rPr>
          <w:sz w:val="20"/>
          <w:szCs w:val="20"/>
        </w:rPr>
      </w:pPr>
      <w:r>
        <w:rPr>
          <w:sz w:val="20"/>
          <w:szCs w:val="20"/>
        </w:rPr>
        <w:t>The revenue and facility net operating income for each of the three segments and a reconciliation to CoreCivic's income before income taxes is as follows for the</w:t>
      </w:r>
      <w:r>
        <w:rPr>
          <w:sz w:val="20"/>
          <w:szCs w:val="20"/>
        </w:rPr>
        <w:t xml:space="preserve"> </w:t>
      </w:r>
      <w:r>
        <w:rPr>
          <w:sz w:val="20"/>
          <w:szCs w:val="20"/>
        </w:rPr>
        <w:t>three and nine months ended September 30, 2022 and 2021 (in th</w:t>
      </w:r>
      <w:r>
        <w:rPr>
          <w:sz w:val="20"/>
          <w:szCs w:val="20"/>
        </w:rPr>
        <w:t>ousands)</w:t>
      </w:r>
      <w:r>
        <w:rPr>
          <w:sz w:val="20"/>
          <w:szCs w:val="20"/>
        </w:rPr>
        <w:t>:</w:t>
      </w:r>
    </w:p>
    <w:p w14:paraId="5768CD47" w14:textId="77777777" w:rsidR="00000000" w:rsidRDefault="003A1B5D">
      <w:pPr>
        <w:pStyle w:val="a3"/>
        <w:spacing w:before="0" w:beforeAutospacing="0" w:after="0" w:afterAutospacing="0"/>
        <w:jc w:val="both"/>
        <w:divId w:val="1833179165"/>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732"/>
        <w:gridCol w:w="110"/>
        <w:gridCol w:w="160"/>
        <w:gridCol w:w="710"/>
        <w:gridCol w:w="127"/>
        <w:gridCol w:w="110"/>
        <w:gridCol w:w="160"/>
        <w:gridCol w:w="710"/>
        <w:gridCol w:w="127"/>
        <w:gridCol w:w="110"/>
        <w:gridCol w:w="160"/>
        <w:gridCol w:w="860"/>
        <w:gridCol w:w="127"/>
        <w:gridCol w:w="110"/>
        <w:gridCol w:w="160"/>
        <w:gridCol w:w="860"/>
        <w:gridCol w:w="142"/>
      </w:tblGrid>
      <w:tr w:rsidR="00000000" w14:paraId="2EDA1DA6" w14:textId="77777777">
        <w:trPr>
          <w:divId w:val="1833179165"/>
          <w:tblCellSpacing w:w="15" w:type="dxa"/>
        </w:trPr>
        <w:tc>
          <w:tcPr>
            <w:tcW w:w="2518" w:type="pct"/>
            <w:vAlign w:val="center"/>
            <w:hideMark/>
          </w:tcPr>
          <w:p w14:paraId="6A97FBCD" w14:textId="77777777" w:rsidR="00000000" w:rsidRDefault="003A1B5D">
            <w:pPr>
              <w:rPr>
                <w:sz w:val="20"/>
                <w:szCs w:val="20"/>
              </w:rPr>
            </w:pPr>
          </w:p>
        </w:tc>
        <w:tc>
          <w:tcPr>
            <w:tcW w:w="60" w:type="pct"/>
            <w:vAlign w:val="center"/>
            <w:hideMark/>
          </w:tcPr>
          <w:p w14:paraId="63A3CD99" w14:textId="77777777" w:rsidR="00000000" w:rsidRDefault="003A1B5D">
            <w:pPr>
              <w:rPr>
                <w:rFonts w:eastAsia="Times New Roman"/>
                <w:sz w:val="20"/>
                <w:szCs w:val="20"/>
              </w:rPr>
            </w:pPr>
          </w:p>
        </w:tc>
        <w:tc>
          <w:tcPr>
            <w:tcW w:w="50" w:type="pct"/>
            <w:vAlign w:val="center"/>
            <w:hideMark/>
          </w:tcPr>
          <w:p w14:paraId="1E135687" w14:textId="77777777" w:rsidR="00000000" w:rsidRDefault="003A1B5D">
            <w:pPr>
              <w:rPr>
                <w:rFonts w:eastAsia="Times New Roman"/>
                <w:sz w:val="20"/>
                <w:szCs w:val="20"/>
              </w:rPr>
            </w:pPr>
          </w:p>
        </w:tc>
        <w:tc>
          <w:tcPr>
            <w:tcW w:w="454" w:type="pct"/>
            <w:vAlign w:val="center"/>
            <w:hideMark/>
          </w:tcPr>
          <w:p w14:paraId="66EB3AC1" w14:textId="77777777" w:rsidR="00000000" w:rsidRDefault="003A1B5D">
            <w:pPr>
              <w:rPr>
                <w:rFonts w:eastAsia="Times New Roman"/>
                <w:sz w:val="20"/>
                <w:szCs w:val="20"/>
              </w:rPr>
            </w:pPr>
          </w:p>
        </w:tc>
        <w:tc>
          <w:tcPr>
            <w:tcW w:w="50" w:type="pct"/>
            <w:vAlign w:val="center"/>
            <w:hideMark/>
          </w:tcPr>
          <w:p w14:paraId="6939E36A" w14:textId="77777777" w:rsidR="00000000" w:rsidRDefault="003A1B5D">
            <w:pPr>
              <w:rPr>
                <w:rFonts w:eastAsia="Times New Roman"/>
                <w:sz w:val="20"/>
                <w:szCs w:val="20"/>
              </w:rPr>
            </w:pPr>
          </w:p>
        </w:tc>
        <w:tc>
          <w:tcPr>
            <w:tcW w:w="60" w:type="pct"/>
            <w:vAlign w:val="center"/>
            <w:hideMark/>
          </w:tcPr>
          <w:p w14:paraId="6CD64986" w14:textId="77777777" w:rsidR="00000000" w:rsidRDefault="003A1B5D">
            <w:pPr>
              <w:rPr>
                <w:rFonts w:eastAsia="Times New Roman"/>
                <w:sz w:val="20"/>
                <w:szCs w:val="20"/>
              </w:rPr>
            </w:pPr>
          </w:p>
        </w:tc>
        <w:tc>
          <w:tcPr>
            <w:tcW w:w="50" w:type="pct"/>
            <w:vAlign w:val="center"/>
            <w:hideMark/>
          </w:tcPr>
          <w:p w14:paraId="73CF88B8" w14:textId="77777777" w:rsidR="00000000" w:rsidRDefault="003A1B5D">
            <w:pPr>
              <w:rPr>
                <w:rFonts w:eastAsia="Times New Roman"/>
                <w:sz w:val="20"/>
                <w:szCs w:val="20"/>
              </w:rPr>
            </w:pPr>
          </w:p>
        </w:tc>
        <w:tc>
          <w:tcPr>
            <w:tcW w:w="464" w:type="pct"/>
            <w:vAlign w:val="center"/>
            <w:hideMark/>
          </w:tcPr>
          <w:p w14:paraId="7BBD0289" w14:textId="77777777" w:rsidR="00000000" w:rsidRDefault="003A1B5D">
            <w:pPr>
              <w:rPr>
                <w:rFonts w:eastAsia="Times New Roman"/>
                <w:sz w:val="20"/>
                <w:szCs w:val="20"/>
              </w:rPr>
            </w:pPr>
          </w:p>
        </w:tc>
        <w:tc>
          <w:tcPr>
            <w:tcW w:w="50" w:type="pct"/>
            <w:vAlign w:val="center"/>
            <w:hideMark/>
          </w:tcPr>
          <w:p w14:paraId="1D17402D" w14:textId="77777777" w:rsidR="00000000" w:rsidRDefault="003A1B5D">
            <w:pPr>
              <w:rPr>
                <w:rFonts w:eastAsia="Times New Roman"/>
                <w:sz w:val="20"/>
                <w:szCs w:val="20"/>
              </w:rPr>
            </w:pPr>
          </w:p>
        </w:tc>
        <w:tc>
          <w:tcPr>
            <w:tcW w:w="60" w:type="pct"/>
            <w:vAlign w:val="center"/>
            <w:hideMark/>
          </w:tcPr>
          <w:p w14:paraId="2005C24F" w14:textId="77777777" w:rsidR="00000000" w:rsidRDefault="003A1B5D">
            <w:pPr>
              <w:rPr>
                <w:rFonts w:eastAsia="Times New Roman"/>
                <w:sz w:val="20"/>
                <w:szCs w:val="20"/>
              </w:rPr>
            </w:pPr>
          </w:p>
        </w:tc>
        <w:tc>
          <w:tcPr>
            <w:tcW w:w="50" w:type="pct"/>
            <w:vAlign w:val="center"/>
            <w:hideMark/>
          </w:tcPr>
          <w:p w14:paraId="17FC20E0" w14:textId="77777777" w:rsidR="00000000" w:rsidRDefault="003A1B5D">
            <w:pPr>
              <w:rPr>
                <w:rFonts w:eastAsia="Times New Roman"/>
                <w:sz w:val="20"/>
                <w:szCs w:val="20"/>
              </w:rPr>
            </w:pPr>
          </w:p>
        </w:tc>
        <w:tc>
          <w:tcPr>
            <w:tcW w:w="454" w:type="pct"/>
            <w:vAlign w:val="center"/>
            <w:hideMark/>
          </w:tcPr>
          <w:p w14:paraId="3E85F27D" w14:textId="77777777" w:rsidR="00000000" w:rsidRDefault="003A1B5D">
            <w:pPr>
              <w:rPr>
                <w:rFonts w:eastAsia="Times New Roman"/>
                <w:sz w:val="20"/>
                <w:szCs w:val="20"/>
              </w:rPr>
            </w:pPr>
          </w:p>
        </w:tc>
        <w:tc>
          <w:tcPr>
            <w:tcW w:w="50" w:type="pct"/>
            <w:vAlign w:val="center"/>
            <w:hideMark/>
          </w:tcPr>
          <w:p w14:paraId="33B47955" w14:textId="77777777" w:rsidR="00000000" w:rsidRDefault="003A1B5D">
            <w:pPr>
              <w:rPr>
                <w:rFonts w:eastAsia="Times New Roman"/>
                <w:sz w:val="20"/>
                <w:szCs w:val="20"/>
              </w:rPr>
            </w:pPr>
          </w:p>
        </w:tc>
        <w:tc>
          <w:tcPr>
            <w:tcW w:w="60" w:type="pct"/>
            <w:vAlign w:val="center"/>
            <w:hideMark/>
          </w:tcPr>
          <w:p w14:paraId="2D9F7624" w14:textId="77777777" w:rsidR="00000000" w:rsidRDefault="003A1B5D">
            <w:pPr>
              <w:rPr>
                <w:rFonts w:eastAsia="Times New Roman"/>
                <w:sz w:val="20"/>
                <w:szCs w:val="20"/>
              </w:rPr>
            </w:pPr>
          </w:p>
        </w:tc>
        <w:tc>
          <w:tcPr>
            <w:tcW w:w="50" w:type="pct"/>
            <w:vAlign w:val="center"/>
            <w:hideMark/>
          </w:tcPr>
          <w:p w14:paraId="598408C3" w14:textId="77777777" w:rsidR="00000000" w:rsidRDefault="003A1B5D">
            <w:pPr>
              <w:rPr>
                <w:rFonts w:eastAsia="Times New Roman"/>
                <w:sz w:val="20"/>
                <w:szCs w:val="20"/>
              </w:rPr>
            </w:pPr>
          </w:p>
        </w:tc>
        <w:tc>
          <w:tcPr>
            <w:tcW w:w="464" w:type="pct"/>
            <w:vAlign w:val="center"/>
            <w:hideMark/>
          </w:tcPr>
          <w:p w14:paraId="3950F7D5" w14:textId="77777777" w:rsidR="00000000" w:rsidRDefault="003A1B5D">
            <w:pPr>
              <w:rPr>
                <w:rFonts w:eastAsia="Times New Roman"/>
                <w:sz w:val="20"/>
                <w:szCs w:val="20"/>
              </w:rPr>
            </w:pPr>
          </w:p>
        </w:tc>
        <w:tc>
          <w:tcPr>
            <w:tcW w:w="50" w:type="pct"/>
            <w:vAlign w:val="center"/>
            <w:hideMark/>
          </w:tcPr>
          <w:p w14:paraId="72407BCB" w14:textId="77777777" w:rsidR="00000000" w:rsidRDefault="003A1B5D">
            <w:pPr>
              <w:rPr>
                <w:rFonts w:eastAsia="Times New Roman"/>
                <w:sz w:val="20"/>
                <w:szCs w:val="20"/>
              </w:rPr>
            </w:pPr>
          </w:p>
        </w:tc>
      </w:tr>
      <w:tr w:rsidR="00000000" w14:paraId="747AB1BF" w14:textId="77777777">
        <w:trPr>
          <w:divId w:val="1833179165"/>
          <w:trHeight w:val="160"/>
          <w:tblCellSpacing w:w="15" w:type="dxa"/>
        </w:trPr>
        <w:tc>
          <w:tcPr>
            <w:tcW w:w="0" w:type="auto"/>
            <w:vAlign w:val="bottom"/>
            <w:hideMark/>
          </w:tcPr>
          <w:p w14:paraId="00B0295F"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012FE09B"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24C84B8A" w14:textId="77777777" w:rsidR="00000000" w:rsidRDefault="003A1B5D">
            <w:pPr>
              <w:pStyle w:val="a3"/>
              <w:spacing w:before="0" w:beforeAutospacing="0" w:after="0" w:afterAutospacing="0"/>
              <w:jc w:val="center"/>
              <w:rPr>
                <w:sz w:val="16"/>
                <w:szCs w:val="16"/>
              </w:rPr>
            </w:pPr>
            <w:r>
              <w:rPr>
                <w:b/>
                <w:bCs/>
                <w:sz w:val="16"/>
                <w:szCs w:val="16"/>
              </w:rPr>
              <w:t xml:space="preserve">For the Three Months Ended </w:t>
            </w:r>
            <w:r>
              <w:rPr>
                <w:b/>
                <w:bCs/>
                <w:sz w:val="16"/>
                <w:szCs w:val="16"/>
              </w:rPr>
              <w:br/>
              <w:t>September 30</w:t>
            </w:r>
            <w:r>
              <w:rPr>
                <w:b/>
                <w:bCs/>
                <w:sz w:val="16"/>
                <w:szCs w:val="16"/>
              </w:rPr>
              <w:t>,</w:t>
            </w:r>
          </w:p>
        </w:tc>
        <w:tc>
          <w:tcPr>
            <w:tcW w:w="0" w:type="auto"/>
            <w:vAlign w:val="bottom"/>
            <w:hideMark/>
          </w:tcPr>
          <w:p w14:paraId="3306B912"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23F6C11E"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4C5B685D" w14:textId="77777777" w:rsidR="00000000" w:rsidRDefault="003A1B5D">
            <w:pPr>
              <w:pStyle w:val="a3"/>
              <w:spacing w:before="0" w:beforeAutospacing="0" w:after="0" w:afterAutospacing="0"/>
              <w:jc w:val="center"/>
              <w:rPr>
                <w:sz w:val="16"/>
                <w:szCs w:val="16"/>
              </w:rPr>
            </w:pPr>
            <w:r>
              <w:rPr>
                <w:b/>
                <w:bCs/>
                <w:sz w:val="16"/>
                <w:szCs w:val="16"/>
              </w:rPr>
              <w:t xml:space="preserve">For the Nine Months Ended </w:t>
            </w:r>
            <w:r>
              <w:rPr>
                <w:b/>
                <w:bCs/>
                <w:sz w:val="16"/>
                <w:szCs w:val="16"/>
              </w:rPr>
              <w:br/>
              <w:t>September 30</w:t>
            </w:r>
            <w:r>
              <w:rPr>
                <w:b/>
                <w:bCs/>
                <w:sz w:val="16"/>
                <w:szCs w:val="16"/>
              </w:rPr>
              <w:t>,</w:t>
            </w:r>
          </w:p>
        </w:tc>
        <w:tc>
          <w:tcPr>
            <w:tcW w:w="0" w:type="auto"/>
            <w:vAlign w:val="bottom"/>
            <w:hideMark/>
          </w:tcPr>
          <w:p w14:paraId="69BF8C6A"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7B3304BF" w14:textId="77777777">
        <w:trPr>
          <w:divId w:val="1833179165"/>
          <w:trHeight w:val="160"/>
          <w:tblCellSpacing w:w="15" w:type="dxa"/>
        </w:trPr>
        <w:tc>
          <w:tcPr>
            <w:tcW w:w="0" w:type="auto"/>
            <w:vAlign w:val="bottom"/>
            <w:hideMark/>
          </w:tcPr>
          <w:p w14:paraId="2201D42A"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3B3518C3"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F03D1F2"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509A1A56"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42F144F6"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CEF648A"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46F0CD70"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1F060A38"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5C2D997"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5F224820"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4135DE66"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AA1C2AD"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3AB63599"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1FE7BE27" w14:textId="77777777">
        <w:trPr>
          <w:divId w:val="1833179165"/>
          <w:trHeight w:val="200"/>
          <w:tblCellSpacing w:w="15" w:type="dxa"/>
        </w:trPr>
        <w:tc>
          <w:tcPr>
            <w:tcW w:w="0" w:type="auto"/>
            <w:hideMark/>
          </w:tcPr>
          <w:p w14:paraId="6F4A0F3E" w14:textId="77777777" w:rsidR="00000000" w:rsidRDefault="003A1B5D">
            <w:pPr>
              <w:pStyle w:val="a3"/>
              <w:spacing w:before="0" w:beforeAutospacing="0" w:after="0" w:afterAutospacing="0"/>
              <w:rPr>
                <w:sz w:val="20"/>
                <w:szCs w:val="20"/>
              </w:rPr>
            </w:pPr>
            <w:r>
              <w:rPr>
                <w:sz w:val="20"/>
                <w:szCs w:val="20"/>
              </w:rPr>
              <w:t>Revenue</w:t>
            </w:r>
            <w:r>
              <w:rPr>
                <w:sz w:val="20"/>
                <w:szCs w:val="20"/>
              </w:rPr>
              <w:t>:</w:t>
            </w:r>
          </w:p>
        </w:tc>
        <w:tc>
          <w:tcPr>
            <w:tcW w:w="0" w:type="auto"/>
            <w:vAlign w:val="bottom"/>
            <w:hideMark/>
          </w:tcPr>
          <w:p w14:paraId="0737A11B"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7C2C4BB7"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4A61B38D"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131FCAB" w14:textId="77777777" w:rsidR="00000000" w:rsidRDefault="003A1B5D">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5B6FACC"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7C0334F"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137D3751"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45BFDB31"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6C48CC8D"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3FDC30B0" w14:textId="77777777" w:rsidR="00000000" w:rsidRDefault="003A1B5D">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7D44A654"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4DADCEEA" w14:textId="77777777" w:rsidR="00000000" w:rsidRDefault="003A1B5D">
            <w:pPr>
              <w:pStyle w:val="a3"/>
              <w:spacing w:before="0" w:beforeAutospacing="0" w:after="0" w:afterAutospacing="0"/>
              <w:jc w:val="right"/>
              <w:rPr>
                <w:sz w:val="20"/>
                <w:szCs w:val="20"/>
              </w:rPr>
            </w:pPr>
            <w:r>
              <w:rPr>
                <w:sz w:val="20"/>
                <w:szCs w:val="20"/>
              </w:rPr>
              <w:t> </w:t>
            </w:r>
          </w:p>
        </w:tc>
      </w:tr>
      <w:tr w:rsidR="00000000" w14:paraId="4AB3AD45" w14:textId="77777777">
        <w:trPr>
          <w:divId w:val="1833179165"/>
          <w:trHeight w:val="200"/>
          <w:tblCellSpacing w:w="15" w:type="dxa"/>
        </w:trPr>
        <w:tc>
          <w:tcPr>
            <w:tcW w:w="0" w:type="auto"/>
            <w:hideMark/>
          </w:tcPr>
          <w:p w14:paraId="18769B2A" w14:textId="77777777" w:rsidR="00000000" w:rsidRDefault="003A1B5D">
            <w:pPr>
              <w:pStyle w:val="a3"/>
              <w:spacing w:before="0" w:beforeAutospacing="0" w:after="0" w:afterAutospacing="0"/>
              <w:ind w:left="200"/>
              <w:rPr>
                <w:sz w:val="20"/>
                <w:szCs w:val="20"/>
              </w:rPr>
            </w:pPr>
            <w:r>
              <w:rPr>
                <w:sz w:val="20"/>
                <w:szCs w:val="20"/>
              </w:rPr>
              <w:t>Safet</w:t>
            </w:r>
            <w:r>
              <w:rPr>
                <w:sz w:val="20"/>
                <w:szCs w:val="20"/>
              </w:rPr>
              <w:t>y</w:t>
            </w:r>
          </w:p>
        </w:tc>
        <w:tc>
          <w:tcPr>
            <w:tcW w:w="0" w:type="auto"/>
            <w:vAlign w:val="bottom"/>
            <w:hideMark/>
          </w:tcPr>
          <w:p w14:paraId="192B483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C7D408A"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5C21C593" w14:textId="77777777" w:rsidR="00000000" w:rsidRDefault="003A1B5D">
            <w:pPr>
              <w:pStyle w:val="a3"/>
              <w:spacing w:before="0" w:beforeAutospacing="0" w:after="0" w:afterAutospacing="0"/>
              <w:jc w:val="right"/>
              <w:rPr>
                <w:sz w:val="20"/>
                <w:szCs w:val="20"/>
              </w:rPr>
            </w:pPr>
            <w:r>
              <w:rPr>
                <w:b/>
                <w:bCs/>
                <w:sz w:val="20"/>
                <w:szCs w:val="20"/>
              </w:rPr>
              <w:t>423,18</w:t>
            </w:r>
            <w:r>
              <w:rPr>
                <w:b/>
                <w:bCs/>
                <w:sz w:val="20"/>
                <w:szCs w:val="20"/>
              </w:rPr>
              <w:t>6</w:t>
            </w:r>
          </w:p>
        </w:tc>
        <w:tc>
          <w:tcPr>
            <w:tcW w:w="0" w:type="auto"/>
            <w:noWrap/>
            <w:vAlign w:val="bottom"/>
            <w:hideMark/>
          </w:tcPr>
          <w:p w14:paraId="16A5714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3F727E0"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1BC1A4FA"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6EE2D42C" w14:textId="77777777" w:rsidR="00000000" w:rsidRDefault="003A1B5D">
            <w:pPr>
              <w:pStyle w:val="a3"/>
              <w:spacing w:before="0" w:beforeAutospacing="0" w:after="0" w:afterAutospacing="0"/>
              <w:jc w:val="right"/>
              <w:rPr>
                <w:sz w:val="20"/>
                <w:szCs w:val="20"/>
              </w:rPr>
            </w:pPr>
            <w:r>
              <w:rPr>
                <w:sz w:val="20"/>
                <w:szCs w:val="20"/>
              </w:rPr>
              <w:t>431,53</w:t>
            </w:r>
            <w:r>
              <w:rPr>
                <w:sz w:val="20"/>
                <w:szCs w:val="20"/>
              </w:rPr>
              <w:t>4</w:t>
            </w:r>
          </w:p>
        </w:tc>
        <w:tc>
          <w:tcPr>
            <w:tcW w:w="0" w:type="auto"/>
            <w:noWrap/>
            <w:vAlign w:val="bottom"/>
            <w:hideMark/>
          </w:tcPr>
          <w:p w14:paraId="0EF2958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B5EDAC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0FB8E08"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5D84BA45" w14:textId="77777777" w:rsidR="00000000" w:rsidRDefault="003A1B5D">
            <w:pPr>
              <w:pStyle w:val="a3"/>
              <w:spacing w:before="0" w:beforeAutospacing="0" w:after="0" w:afterAutospacing="0"/>
              <w:jc w:val="right"/>
              <w:rPr>
                <w:sz w:val="20"/>
                <w:szCs w:val="20"/>
              </w:rPr>
            </w:pPr>
            <w:r>
              <w:rPr>
                <w:b/>
                <w:bCs/>
                <w:sz w:val="20"/>
                <w:szCs w:val="20"/>
              </w:rPr>
              <w:t>1,253,78</w:t>
            </w:r>
            <w:r>
              <w:rPr>
                <w:b/>
                <w:bCs/>
                <w:sz w:val="20"/>
                <w:szCs w:val="20"/>
              </w:rPr>
              <w:t>8</w:t>
            </w:r>
          </w:p>
        </w:tc>
        <w:tc>
          <w:tcPr>
            <w:tcW w:w="0" w:type="auto"/>
            <w:noWrap/>
            <w:vAlign w:val="bottom"/>
            <w:hideMark/>
          </w:tcPr>
          <w:p w14:paraId="47EAE27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8FE3982"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6BF100FF"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17C02F80" w14:textId="77777777" w:rsidR="00000000" w:rsidRDefault="003A1B5D">
            <w:pPr>
              <w:pStyle w:val="a3"/>
              <w:spacing w:before="0" w:beforeAutospacing="0" w:after="0" w:afterAutospacing="0"/>
              <w:jc w:val="right"/>
              <w:rPr>
                <w:sz w:val="20"/>
                <w:szCs w:val="20"/>
              </w:rPr>
            </w:pPr>
            <w:r>
              <w:rPr>
                <w:sz w:val="20"/>
                <w:szCs w:val="20"/>
              </w:rPr>
              <w:t>1,261,18</w:t>
            </w:r>
            <w:r>
              <w:rPr>
                <w:sz w:val="20"/>
                <w:szCs w:val="20"/>
              </w:rPr>
              <w:t>3</w:t>
            </w:r>
          </w:p>
        </w:tc>
        <w:tc>
          <w:tcPr>
            <w:tcW w:w="0" w:type="auto"/>
            <w:noWrap/>
            <w:vAlign w:val="bottom"/>
            <w:hideMark/>
          </w:tcPr>
          <w:p w14:paraId="42EAF487" w14:textId="77777777" w:rsidR="00000000" w:rsidRDefault="003A1B5D">
            <w:pPr>
              <w:pStyle w:val="a3"/>
              <w:spacing w:before="0" w:beforeAutospacing="0" w:after="0" w:afterAutospacing="0"/>
              <w:rPr>
                <w:sz w:val="20"/>
                <w:szCs w:val="20"/>
              </w:rPr>
            </w:pPr>
            <w:r>
              <w:rPr>
                <w:sz w:val="20"/>
                <w:szCs w:val="20"/>
              </w:rPr>
              <w:t> </w:t>
            </w:r>
          </w:p>
        </w:tc>
      </w:tr>
      <w:tr w:rsidR="00000000" w14:paraId="5C81737B" w14:textId="77777777">
        <w:trPr>
          <w:divId w:val="1833179165"/>
          <w:trHeight w:val="200"/>
          <w:tblCellSpacing w:w="15" w:type="dxa"/>
        </w:trPr>
        <w:tc>
          <w:tcPr>
            <w:tcW w:w="0" w:type="auto"/>
            <w:hideMark/>
          </w:tcPr>
          <w:p w14:paraId="6A0AFBD1" w14:textId="77777777" w:rsidR="00000000" w:rsidRDefault="003A1B5D">
            <w:pPr>
              <w:pStyle w:val="a3"/>
              <w:spacing w:before="0" w:beforeAutospacing="0" w:after="0" w:afterAutospacing="0"/>
              <w:ind w:left="200"/>
              <w:rPr>
                <w:sz w:val="20"/>
                <w:szCs w:val="20"/>
              </w:rPr>
            </w:pPr>
            <w:r>
              <w:rPr>
                <w:sz w:val="20"/>
                <w:szCs w:val="20"/>
              </w:rPr>
              <w:t>Communit</w:t>
            </w:r>
            <w:r>
              <w:rPr>
                <w:sz w:val="20"/>
                <w:szCs w:val="20"/>
              </w:rPr>
              <w:t>y</w:t>
            </w:r>
          </w:p>
        </w:tc>
        <w:tc>
          <w:tcPr>
            <w:tcW w:w="0" w:type="auto"/>
            <w:vAlign w:val="bottom"/>
            <w:hideMark/>
          </w:tcPr>
          <w:p w14:paraId="426B734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F31D89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64EC703" w14:textId="77777777" w:rsidR="00000000" w:rsidRDefault="003A1B5D">
            <w:pPr>
              <w:pStyle w:val="a3"/>
              <w:spacing w:before="0" w:beforeAutospacing="0" w:after="0" w:afterAutospacing="0"/>
              <w:jc w:val="right"/>
              <w:rPr>
                <w:sz w:val="20"/>
                <w:szCs w:val="20"/>
              </w:rPr>
            </w:pPr>
            <w:r>
              <w:rPr>
                <w:b/>
                <w:bCs/>
                <w:sz w:val="20"/>
                <w:szCs w:val="20"/>
              </w:rPr>
              <w:t>26,37</w:t>
            </w:r>
            <w:r>
              <w:rPr>
                <w:b/>
                <w:bCs/>
                <w:sz w:val="20"/>
                <w:szCs w:val="20"/>
              </w:rPr>
              <w:t>9</w:t>
            </w:r>
          </w:p>
        </w:tc>
        <w:tc>
          <w:tcPr>
            <w:tcW w:w="0" w:type="auto"/>
            <w:noWrap/>
            <w:vAlign w:val="bottom"/>
            <w:hideMark/>
          </w:tcPr>
          <w:p w14:paraId="373593B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D715E61"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213E62D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16397E4" w14:textId="77777777" w:rsidR="00000000" w:rsidRDefault="003A1B5D">
            <w:pPr>
              <w:pStyle w:val="a3"/>
              <w:spacing w:before="0" w:beforeAutospacing="0" w:after="0" w:afterAutospacing="0"/>
              <w:jc w:val="right"/>
              <w:rPr>
                <w:sz w:val="20"/>
                <w:szCs w:val="20"/>
              </w:rPr>
            </w:pPr>
            <w:r>
              <w:rPr>
                <w:sz w:val="20"/>
                <w:szCs w:val="20"/>
              </w:rPr>
              <w:t>25,53</w:t>
            </w:r>
            <w:r>
              <w:rPr>
                <w:sz w:val="20"/>
                <w:szCs w:val="20"/>
              </w:rPr>
              <w:t>5</w:t>
            </w:r>
          </w:p>
        </w:tc>
        <w:tc>
          <w:tcPr>
            <w:tcW w:w="0" w:type="auto"/>
            <w:noWrap/>
            <w:vAlign w:val="bottom"/>
            <w:hideMark/>
          </w:tcPr>
          <w:p w14:paraId="14C6FD5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0F1C1A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59F15B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310AC21" w14:textId="77777777" w:rsidR="00000000" w:rsidRDefault="003A1B5D">
            <w:pPr>
              <w:pStyle w:val="a3"/>
              <w:spacing w:before="0" w:beforeAutospacing="0" w:after="0" w:afterAutospacing="0"/>
              <w:jc w:val="right"/>
              <w:rPr>
                <w:sz w:val="20"/>
                <w:szCs w:val="20"/>
              </w:rPr>
            </w:pPr>
            <w:r>
              <w:rPr>
                <w:b/>
                <w:bCs/>
                <w:sz w:val="20"/>
                <w:szCs w:val="20"/>
              </w:rPr>
              <w:t>76,26</w:t>
            </w:r>
            <w:r>
              <w:rPr>
                <w:b/>
                <w:bCs/>
                <w:sz w:val="20"/>
                <w:szCs w:val="20"/>
              </w:rPr>
              <w:t>9</w:t>
            </w:r>
          </w:p>
        </w:tc>
        <w:tc>
          <w:tcPr>
            <w:tcW w:w="0" w:type="auto"/>
            <w:noWrap/>
            <w:vAlign w:val="bottom"/>
            <w:hideMark/>
          </w:tcPr>
          <w:p w14:paraId="31A82CA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BC4F0A3"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6D50670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08D016F" w14:textId="77777777" w:rsidR="00000000" w:rsidRDefault="003A1B5D">
            <w:pPr>
              <w:pStyle w:val="a3"/>
              <w:spacing w:before="0" w:beforeAutospacing="0" w:after="0" w:afterAutospacing="0"/>
              <w:jc w:val="right"/>
              <w:rPr>
                <w:sz w:val="20"/>
                <w:szCs w:val="20"/>
              </w:rPr>
            </w:pPr>
            <w:r>
              <w:rPr>
                <w:sz w:val="20"/>
                <w:szCs w:val="20"/>
              </w:rPr>
              <w:t>74,12</w:t>
            </w:r>
            <w:r>
              <w:rPr>
                <w:sz w:val="20"/>
                <w:szCs w:val="20"/>
              </w:rPr>
              <w:t>2</w:t>
            </w:r>
          </w:p>
        </w:tc>
        <w:tc>
          <w:tcPr>
            <w:tcW w:w="0" w:type="auto"/>
            <w:noWrap/>
            <w:vAlign w:val="bottom"/>
            <w:hideMark/>
          </w:tcPr>
          <w:p w14:paraId="7C7CD843" w14:textId="77777777" w:rsidR="00000000" w:rsidRDefault="003A1B5D">
            <w:pPr>
              <w:pStyle w:val="a3"/>
              <w:spacing w:before="0" w:beforeAutospacing="0" w:after="0" w:afterAutospacing="0"/>
              <w:rPr>
                <w:sz w:val="20"/>
                <w:szCs w:val="20"/>
              </w:rPr>
            </w:pPr>
            <w:r>
              <w:rPr>
                <w:sz w:val="20"/>
                <w:szCs w:val="20"/>
              </w:rPr>
              <w:t> </w:t>
            </w:r>
          </w:p>
        </w:tc>
      </w:tr>
      <w:tr w:rsidR="00000000" w14:paraId="7B318C9F" w14:textId="77777777">
        <w:trPr>
          <w:divId w:val="1833179165"/>
          <w:trHeight w:val="200"/>
          <w:tblCellSpacing w:w="15" w:type="dxa"/>
        </w:trPr>
        <w:tc>
          <w:tcPr>
            <w:tcW w:w="0" w:type="auto"/>
            <w:hideMark/>
          </w:tcPr>
          <w:p w14:paraId="6D381A4F" w14:textId="77777777" w:rsidR="00000000" w:rsidRDefault="003A1B5D">
            <w:pPr>
              <w:pStyle w:val="a3"/>
              <w:spacing w:before="0" w:beforeAutospacing="0" w:after="0" w:afterAutospacing="0"/>
              <w:ind w:left="200"/>
              <w:rPr>
                <w:sz w:val="20"/>
                <w:szCs w:val="20"/>
              </w:rPr>
            </w:pPr>
            <w:r>
              <w:rPr>
                <w:sz w:val="20"/>
                <w:szCs w:val="20"/>
              </w:rPr>
              <w:t>Propertie</w:t>
            </w:r>
            <w:r>
              <w:rPr>
                <w:sz w:val="20"/>
                <w:szCs w:val="20"/>
              </w:rPr>
              <w:t>s</w:t>
            </w:r>
          </w:p>
        </w:tc>
        <w:tc>
          <w:tcPr>
            <w:tcW w:w="0" w:type="auto"/>
            <w:vAlign w:val="bottom"/>
            <w:hideMark/>
          </w:tcPr>
          <w:p w14:paraId="1C5646B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4E43B7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2CB1628" w14:textId="77777777" w:rsidR="00000000" w:rsidRDefault="003A1B5D">
            <w:pPr>
              <w:pStyle w:val="a3"/>
              <w:spacing w:before="0" w:beforeAutospacing="0" w:after="0" w:afterAutospacing="0"/>
              <w:jc w:val="right"/>
              <w:rPr>
                <w:sz w:val="20"/>
                <w:szCs w:val="20"/>
              </w:rPr>
            </w:pPr>
            <w:r>
              <w:rPr>
                <w:b/>
                <w:bCs/>
                <w:sz w:val="20"/>
                <w:szCs w:val="20"/>
              </w:rPr>
              <w:t>14,58</w:t>
            </w:r>
            <w:r>
              <w:rPr>
                <w:b/>
                <w:bCs/>
                <w:sz w:val="20"/>
                <w:szCs w:val="20"/>
              </w:rPr>
              <w:t>7</w:t>
            </w:r>
          </w:p>
        </w:tc>
        <w:tc>
          <w:tcPr>
            <w:tcW w:w="0" w:type="auto"/>
            <w:noWrap/>
            <w:vAlign w:val="bottom"/>
            <w:hideMark/>
          </w:tcPr>
          <w:p w14:paraId="341DDE0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8DAFEFD"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0475315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EF19837" w14:textId="77777777" w:rsidR="00000000" w:rsidRDefault="003A1B5D">
            <w:pPr>
              <w:pStyle w:val="a3"/>
              <w:spacing w:before="0" w:beforeAutospacing="0" w:after="0" w:afterAutospacing="0"/>
              <w:jc w:val="right"/>
              <w:rPr>
                <w:sz w:val="20"/>
                <w:szCs w:val="20"/>
              </w:rPr>
            </w:pPr>
            <w:r>
              <w:rPr>
                <w:sz w:val="20"/>
                <w:szCs w:val="20"/>
              </w:rPr>
              <w:t>13,94</w:t>
            </w:r>
            <w:r>
              <w:rPr>
                <w:sz w:val="20"/>
                <w:szCs w:val="20"/>
              </w:rPr>
              <w:t>0</w:t>
            </w:r>
          </w:p>
        </w:tc>
        <w:tc>
          <w:tcPr>
            <w:tcW w:w="0" w:type="auto"/>
            <w:noWrap/>
            <w:vAlign w:val="bottom"/>
            <w:hideMark/>
          </w:tcPr>
          <w:p w14:paraId="35693AC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100414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1D6077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AE9D1BA" w14:textId="77777777" w:rsidR="00000000" w:rsidRDefault="003A1B5D">
            <w:pPr>
              <w:pStyle w:val="a3"/>
              <w:spacing w:before="0" w:beforeAutospacing="0" w:after="0" w:afterAutospacing="0"/>
              <w:jc w:val="right"/>
              <w:rPr>
                <w:sz w:val="20"/>
                <w:szCs w:val="20"/>
              </w:rPr>
            </w:pPr>
            <w:r>
              <w:rPr>
                <w:b/>
                <w:bCs/>
                <w:sz w:val="20"/>
                <w:szCs w:val="20"/>
              </w:rPr>
              <w:t>43,70</w:t>
            </w:r>
            <w:r>
              <w:rPr>
                <w:b/>
                <w:bCs/>
                <w:sz w:val="20"/>
                <w:szCs w:val="20"/>
              </w:rPr>
              <w:t>4</w:t>
            </w:r>
          </w:p>
        </w:tc>
        <w:tc>
          <w:tcPr>
            <w:tcW w:w="0" w:type="auto"/>
            <w:noWrap/>
            <w:vAlign w:val="bottom"/>
            <w:hideMark/>
          </w:tcPr>
          <w:p w14:paraId="671F907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0F5A1B6"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2A49885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200B83D" w14:textId="77777777" w:rsidR="00000000" w:rsidRDefault="003A1B5D">
            <w:pPr>
              <w:pStyle w:val="a3"/>
              <w:spacing w:before="0" w:beforeAutospacing="0" w:after="0" w:afterAutospacing="0"/>
              <w:jc w:val="right"/>
              <w:rPr>
                <w:sz w:val="20"/>
                <w:szCs w:val="20"/>
              </w:rPr>
            </w:pPr>
            <w:r>
              <w:rPr>
                <w:sz w:val="20"/>
                <w:szCs w:val="20"/>
              </w:rPr>
              <w:t>54,92</w:t>
            </w:r>
            <w:r>
              <w:rPr>
                <w:sz w:val="20"/>
                <w:szCs w:val="20"/>
              </w:rPr>
              <w:t>7</w:t>
            </w:r>
          </w:p>
        </w:tc>
        <w:tc>
          <w:tcPr>
            <w:tcW w:w="0" w:type="auto"/>
            <w:noWrap/>
            <w:vAlign w:val="bottom"/>
            <w:hideMark/>
          </w:tcPr>
          <w:p w14:paraId="50A8EA4E" w14:textId="77777777" w:rsidR="00000000" w:rsidRDefault="003A1B5D">
            <w:pPr>
              <w:pStyle w:val="a3"/>
              <w:spacing w:before="0" w:beforeAutospacing="0" w:after="0" w:afterAutospacing="0"/>
              <w:rPr>
                <w:sz w:val="20"/>
                <w:szCs w:val="20"/>
              </w:rPr>
            </w:pPr>
            <w:r>
              <w:rPr>
                <w:sz w:val="20"/>
                <w:szCs w:val="20"/>
              </w:rPr>
              <w:t> </w:t>
            </w:r>
          </w:p>
        </w:tc>
      </w:tr>
      <w:tr w:rsidR="00000000" w14:paraId="18CBCA87" w14:textId="77777777">
        <w:trPr>
          <w:divId w:val="1833179165"/>
          <w:trHeight w:val="200"/>
          <w:tblCellSpacing w:w="15" w:type="dxa"/>
        </w:trPr>
        <w:tc>
          <w:tcPr>
            <w:tcW w:w="0" w:type="auto"/>
            <w:hideMark/>
          </w:tcPr>
          <w:p w14:paraId="36ECAB3F" w14:textId="77777777" w:rsidR="00000000" w:rsidRDefault="003A1B5D">
            <w:pPr>
              <w:pStyle w:val="a3"/>
              <w:spacing w:before="0" w:beforeAutospacing="0" w:after="0" w:afterAutospacing="0"/>
              <w:rPr>
                <w:sz w:val="20"/>
                <w:szCs w:val="20"/>
              </w:rPr>
            </w:pPr>
            <w:r>
              <w:rPr>
                <w:sz w:val="20"/>
                <w:szCs w:val="20"/>
              </w:rPr>
              <w:t>Total segment revenu</w:t>
            </w:r>
            <w:r>
              <w:rPr>
                <w:sz w:val="20"/>
                <w:szCs w:val="20"/>
              </w:rPr>
              <w:t>e</w:t>
            </w:r>
          </w:p>
        </w:tc>
        <w:tc>
          <w:tcPr>
            <w:tcW w:w="0" w:type="auto"/>
            <w:vAlign w:val="bottom"/>
            <w:hideMark/>
          </w:tcPr>
          <w:p w14:paraId="3072508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C8901B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F12E6A7" w14:textId="77777777" w:rsidR="00000000" w:rsidRDefault="003A1B5D">
            <w:pPr>
              <w:pStyle w:val="a3"/>
              <w:spacing w:before="0" w:beforeAutospacing="0" w:after="0" w:afterAutospacing="0"/>
              <w:jc w:val="right"/>
              <w:rPr>
                <w:sz w:val="20"/>
                <w:szCs w:val="20"/>
              </w:rPr>
            </w:pPr>
            <w:r>
              <w:rPr>
                <w:b/>
                <w:bCs/>
                <w:sz w:val="20"/>
                <w:szCs w:val="20"/>
              </w:rPr>
              <w:t>464,15</w:t>
            </w:r>
            <w:r>
              <w:rPr>
                <w:b/>
                <w:bCs/>
                <w:sz w:val="20"/>
                <w:szCs w:val="20"/>
              </w:rPr>
              <w:t>2</w:t>
            </w:r>
          </w:p>
        </w:tc>
        <w:tc>
          <w:tcPr>
            <w:tcW w:w="0" w:type="auto"/>
            <w:noWrap/>
            <w:vAlign w:val="bottom"/>
            <w:hideMark/>
          </w:tcPr>
          <w:p w14:paraId="3327581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76BC992"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4D209DA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74C4782" w14:textId="77777777" w:rsidR="00000000" w:rsidRDefault="003A1B5D">
            <w:pPr>
              <w:pStyle w:val="a3"/>
              <w:spacing w:before="0" w:beforeAutospacing="0" w:after="0" w:afterAutospacing="0"/>
              <w:jc w:val="right"/>
              <w:rPr>
                <w:sz w:val="20"/>
                <w:szCs w:val="20"/>
              </w:rPr>
            </w:pPr>
            <w:r>
              <w:rPr>
                <w:sz w:val="20"/>
                <w:szCs w:val="20"/>
              </w:rPr>
              <w:t>471,00</w:t>
            </w:r>
            <w:r>
              <w:rPr>
                <w:sz w:val="20"/>
                <w:szCs w:val="20"/>
              </w:rPr>
              <w:t>9</w:t>
            </w:r>
          </w:p>
        </w:tc>
        <w:tc>
          <w:tcPr>
            <w:tcW w:w="0" w:type="auto"/>
            <w:noWrap/>
            <w:vAlign w:val="bottom"/>
            <w:hideMark/>
          </w:tcPr>
          <w:p w14:paraId="4460498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CF0965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4C404C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EF76410" w14:textId="77777777" w:rsidR="00000000" w:rsidRDefault="003A1B5D">
            <w:pPr>
              <w:pStyle w:val="a3"/>
              <w:spacing w:before="0" w:beforeAutospacing="0" w:after="0" w:afterAutospacing="0"/>
              <w:jc w:val="right"/>
              <w:rPr>
                <w:sz w:val="20"/>
                <w:szCs w:val="20"/>
              </w:rPr>
            </w:pPr>
            <w:r>
              <w:rPr>
                <w:b/>
                <w:bCs/>
                <w:sz w:val="20"/>
                <w:szCs w:val="20"/>
              </w:rPr>
              <w:t>1,373,76</w:t>
            </w:r>
            <w:r>
              <w:rPr>
                <w:b/>
                <w:bCs/>
                <w:sz w:val="20"/>
                <w:szCs w:val="20"/>
              </w:rPr>
              <w:t>1</w:t>
            </w:r>
          </w:p>
        </w:tc>
        <w:tc>
          <w:tcPr>
            <w:tcW w:w="0" w:type="auto"/>
            <w:noWrap/>
            <w:vAlign w:val="bottom"/>
            <w:hideMark/>
          </w:tcPr>
          <w:p w14:paraId="13C68EB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35D87E0"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7632793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960E87C" w14:textId="77777777" w:rsidR="00000000" w:rsidRDefault="003A1B5D">
            <w:pPr>
              <w:pStyle w:val="a3"/>
              <w:spacing w:before="0" w:beforeAutospacing="0" w:after="0" w:afterAutospacing="0"/>
              <w:jc w:val="right"/>
              <w:rPr>
                <w:sz w:val="20"/>
                <w:szCs w:val="20"/>
              </w:rPr>
            </w:pPr>
            <w:r>
              <w:rPr>
                <w:sz w:val="20"/>
                <w:szCs w:val="20"/>
              </w:rPr>
              <w:t>1,390,23</w:t>
            </w:r>
            <w:r>
              <w:rPr>
                <w:sz w:val="20"/>
                <w:szCs w:val="20"/>
              </w:rPr>
              <w:t>2</w:t>
            </w:r>
          </w:p>
        </w:tc>
        <w:tc>
          <w:tcPr>
            <w:tcW w:w="0" w:type="auto"/>
            <w:noWrap/>
            <w:vAlign w:val="bottom"/>
            <w:hideMark/>
          </w:tcPr>
          <w:p w14:paraId="65C384D5" w14:textId="77777777" w:rsidR="00000000" w:rsidRDefault="003A1B5D">
            <w:pPr>
              <w:pStyle w:val="a3"/>
              <w:spacing w:before="0" w:beforeAutospacing="0" w:after="0" w:afterAutospacing="0"/>
              <w:rPr>
                <w:sz w:val="20"/>
                <w:szCs w:val="20"/>
              </w:rPr>
            </w:pPr>
            <w:r>
              <w:rPr>
                <w:sz w:val="20"/>
                <w:szCs w:val="20"/>
              </w:rPr>
              <w:t> </w:t>
            </w:r>
          </w:p>
        </w:tc>
      </w:tr>
      <w:tr w:rsidR="00000000" w14:paraId="7050BA06" w14:textId="77777777">
        <w:trPr>
          <w:divId w:val="1833179165"/>
          <w:trHeight w:val="200"/>
          <w:tblCellSpacing w:w="15" w:type="dxa"/>
        </w:trPr>
        <w:tc>
          <w:tcPr>
            <w:tcW w:w="0" w:type="auto"/>
            <w:hideMark/>
          </w:tcPr>
          <w:p w14:paraId="5D256D24" w14:textId="77777777" w:rsidR="00000000" w:rsidRDefault="003A1B5D">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14:paraId="7FD8DE95"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3DDFF889"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44E63BB"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E54CD1B" w14:textId="77777777" w:rsidR="00000000" w:rsidRDefault="003A1B5D">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764D6C48"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13400071"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195DB350"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3AB4C9BF"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44AC7B61"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8060DA9" w14:textId="77777777" w:rsidR="00000000" w:rsidRDefault="003A1B5D">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0B46C292"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34A31B07" w14:textId="77777777" w:rsidR="00000000" w:rsidRDefault="003A1B5D">
            <w:pPr>
              <w:pStyle w:val="a3"/>
              <w:spacing w:before="0" w:beforeAutospacing="0" w:after="0" w:afterAutospacing="0"/>
              <w:jc w:val="right"/>
              <w:rPr>
                <w:sz w:val="20"/>
                <w:szCs w:val="20"/>
              </w:rPr>
            </w:pPr>
            <w:r>
              <w:rPr>
                <w:sz w:val="20"/>
                <w:szCs w:val="20"/>
              </w:rPr>
              <w:t> </w:t>
            </w:r>
          </w:p>
        </w:tc>
      </w:tr>
      <w:tr w:rsidR="00000000" w14:paraId="64487363" w14:textId="77777777">
        <w:trPr>
          <w:divId w:val="1833179165"/>
          <w:trHeight w:val="200"/>
          <w:tblCellSpacing w:w="15" w:type="dxa"/>
        </w:trPr>
        <w:tc>
          <w:tcPr>
            <w:tcW w:w="0" w:type="auto"/>
            <w:hideMark/>
          </w:tcPr>
          <w:p w14:paraId="63FD7A41" w14:textId="77777777" w:rsidR="00000000" w:rsidRDefault="003A1B5D">
            <w:pPr>
              <w:pStyle w:val="a3"/>
              <w:spacing w:before="0" w:beforeAutospacing="0" w:after="0" w:afterAutospacing="0"/>
              <w:ind w:left="200"/>
              <w:rPr>
                <w:sz w:val="20"/>
                <w:szCs w:val="20"/>
              </w:rPr>
            </w:pPr>
            <w:r>
              <w:rPr>
                <w:sz w:val="20"/>
                <w:szCs w:val="20"/>
              </w:rPr>
              <w:t>Safet</w:t>
            </w:r>
            <w:r>
              <w:rPr>
                <w:sz w:val="20"/>
                <w:szCs w:val="20"/>
              </w:rPr>
              <w:t>y</w:t>
            </w:r>
          </w:p>
        </w:tc>
        <w:tc>
          <w:tcPr>
            <w:tcW w:w="0" w:type="auto"/>
            <w:vAlign w:val="bottom"/>
            <w:hideMark/>
          </w:tcPr>
          <w:p w14:paraId="0E47F60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9B6C31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366FA95" w14:textId="77777777" w:rsidR="00000000" w:rsidRDefault="003A1B5D">
            <w:pPr>
              <w:pStyle w:val="a3"/>
              <w:spacing w:before="0" w:beforeAutospacing="0" w:after="0" w:afterAutospacing="0"/>
              <w:jc w:val="right"/>
              <w:rPr>
                <w:sz w:val="20"/>
                <w:szCs w:val="20"/>
              </w:rPr>
            </w:pPr>
            <w:r>
              <w:rPr>
                <w:b/>
                <w:bCs/>
                <w:sz w:val="20"/>
                <w:szCs w:val="20"/>
              </w:rPr>
              <w:t>342,19</w:t>
            </w:r>
            <w:r>
              <w:rPr>
                <w:b/>
                <w:bCs/>
                <w:sz w:val="20"/>
                <w:szCs w:val="20"/>
              </w:rPr>
              <w:t>0</w:t>
            </w:r>
          </w:p>
        </w:tc>
        <w:tc>
          <w:tcPr>
            <w:tcW w:w="0" w:type="auto"/>
            <w:noWrap/>
            <w:vAlign w:val="bottom"/>
            <w:hideMark/>
          </w:tcPr>
          <w:p w14:paraId="50A80D0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A07C856"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779D777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EFBE89D" w14:textId="77777777" w:rsidR="00000000" w:rsidRDefault="003A1B5D">
            <w:pPr>
              <w:pStyle w:val="a3"/>
              <w:spacing w:before="0" w:beforeAutospacing="0" w:after="0" w:afterAutospacing="0"/>
              <w:jc w:val="right"/>
              <w:rPr>
                <w:sz w:val="20"/>
                <w:szCs w:val="20"/>
              </w:rPr>
            </w:pPr>
            <w:r>
              <w:rPr>
                <w:sz w:val="20"/>
                <w:szCs w:val="20"/>
              </w:rPr>
              <w:t>314,28</w:t>
            </w:r>
            <w:r>
              <w:rPr>
                <w:sz w:val="20"/>
                <w:szCs w:val="20"/>
              </w:rPr>
              <w:t>3</w:t>
            </w:r>
          </w:p>
        </w:tc>
        <w:tc>
          <w:tcPr>
            <w:tcW w:w="0" w:type="auto"/>
            <w:noWrap/>
            <w:vAlign w:val="bottom"/>
            <w:hideMark/>
          </w:tcPr>
          <w:p w14:paraId="5117C2A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7933EA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6D6AF0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504B79D" w14:textId="77777777" w:rsidR="00000000" w:rsidRDefault="003A1B5D">
            <w:pPr>
              <w:pStyle w:val="a3"/>
              <w:spacing w:before="0" w:beforeAutospacing="0" w:after="0" w:afterAutospacing="0"/>
              <w:jc w:val="right"/>
              <w:rPr>
                <w:sz w:val="20"/>
                <w:szCs w:val="20"/>
              </w:rPr>
            </w:pPr>
            <w:r>
              <w:rPr>
                <w:b/>
                <w:bCs/>
                <w:sz w:val="20"/>
                <w:szCs w:val="20"/>
              </w:rPr>
              <w:t>987,47</w:t>
            </w:r>
            <w:r>
              <w:rPr>
                <w:b/>
                <w:bCs/>
                <w:sz w:val="20"/>
                <w:szCs w:val="20"/>
              </w:rPr>
              <w:t>2</w:t>
            </w:r>
          </w:p>
        </w:tc>
        <w:tc>
          <w:tcPr>
            <w:tcW w:w="0" w:type="auto"/>
            <w:noWrap/>
            <w:vAlign w:val="bottom"/>
            <w:hideMark/>
          </w:tcPr>
          <w:p w14:paraId="510504B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8928B90"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3900FE2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623457B" w14:textId="77777777" w:rsidR="00000000" w:rsidRDefault="003A1B5D">
            <w:pPr>
              <w:pStyle w:val="a3"/>
              <w:spacing w:before="0" w:beforeAutospacing="0" w:after="0" w:afterAutospacing="0"/>
              <w:jc w:val="right"/>
              <w:rPr>
                <w:sz w:val="20"/>
                <w:szCs w:val="20"/>
              </w:rPr>
            </w:pPr>
            <w:r>
              <w:rPr>
                <w:sz w:val="20"/>
                <w:szCs w:val="20"/>
              </w:rPr>
              <w:t>926,99</w:t>
            </w:r>
            <w:r>
              <w:rPr>
                <w:sz w:val="20"/>
                <w:szCs w:val="20"/>
              </w:rPr>
              <w:t>0</w:t>
            </w:r>
          </w:p>
        </w:tc>
        <w:tc>
          <w:tcPr>
            <w:tcW w:w="0" w:type="auto"/>
            <w:noWrap/>
            <w:vAlign w:val="bottom"/>
            <w:hideMark/>
          </w:tcPr>
          <w:p w14:paraId="422D70AD" w14:textId="77777777" w:rsidR="00000000" w:rsidRDefault="003A1B5D">
            <w:pPr>
              <w:pStyle w:val="a3"/>
              <w:spacing w:before="0" w:beforeAutospacing="0" w:after="0" w:afterAutospacing="0"/>
              <w:rPr>
                <w:sz w:val="20"/>
                <w:szCs w:val="20"/>
              </w:rPr>
            </w:pPr>
            <w:r>
              <w:rPr>
                <w:sz w:val="20"/>
                <w:szCs w:val="20"/>
              </w:rPr>
              <w:t> </w:t>
            </w:r>
          </w:p>
        </w:tc>
      </w:tr>
      <w:tr w:rsidR="00000000" w14:paraId="66828AAB" w14:textId="77777777">
        <w:trPr>
          <w:divId w:val="1833179165"/>
          <w:trHeight w:val="200"/>
          <w:tblCellSpacing w:w="15" w:type="dxa"/>
        </w:trPr>
        <w:tc>
          <w:tcPr>
            <w:tcW w:w="0" w:type="auto"/>
            <w:hideMark/>
          </w:tcPr>
          <w:p w14:paraId="4A7F954D" w14:textId="77777777" w:rsidR="00000000" w:rsidRDefault="003A1B5D">
            <w:pPr>
              <w:pStyle w:val="a3"/>
              <w:spacing w:before="0" w:beforeAutospacing="0" w:after="0" w:afterAutospacing="0"/>
              <w:ind w:left="200"/>
              <w:rPr>
                <w:sz w:val="20"/>
                <w:szCs w:val="20"/>
              </w:rPr>
            </w:pPr>
            <w:r>
              <w:rPr>
                <w:sz w:val="20"/>
                <w:szCs w:val="20"/>
              </w:rPr>
              <w:t>Communit</w:t>
            </w:r>
            <w:r>
              <w:rPr>
                <w:sz w:val="20"/>
                <w:szCs w:val="20"/>
              </w:rPr>
              <w:t>y</w:t>
            </w:r>
          </w:p>
        </w:tc>
        <w:tc>
          <w:tcPr>
            <w:tcW w:w="0" w:type="auto"/>
            <w:vAlign w:val="bottom"/>
            <w:hideMark/>
          </w:tcPr>
          <w:p w14:paraId="1B8F79E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A43441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1990027" w14:textId="77777777" w:rsidR="00000000" w:rsidRDefault="003A1B5D">
            <w:pPr>
              <w:pStyle w:val="a3"/>
              <w:spacing w:before="0" w:beforeAutospacing="0" w:after="0" w:afterAutospacing="0"/>
              <w:jc w:val="right"/>
              <w:rPr>
                <w:sz w:val="20"/>
                <w:szCs w:val="20"/>
              </w:rPr>
            </w:pPr>
            <w:r>
              <w:rPr>
                <w:b/>
                <w:bCs/>
                <w:sz w:val="20"/>
                <w:szCs w:val="20"/>
              </w:rPr>
              <w:t>22,02</w:t>
            </w:r>
            <w:r>
              <w:rPr>
                <w:b/>
                <w:bCs/>
                <w:sz w:val="20"/>
                <w:szCs w:val="20"/>
              </w:rPr>
              <w:t>2</w:t>
            </w:r>
          </w:p>
        </w:tc>
        <w:tc>
          <w:tcPr>
            <w:tcW w:w="0" w:type="auto"/>
            <w:noWrap/>
            <w:vAlign w:val="bottom"/>
            <w:hideMark/>
          </w:tcPr>
          <w:p w14:paraId="55A7960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93498A4"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11D0813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6FA6A03" w14:textId="77777777" w:rsidR="00000000" w:rsidRDefault="003A1B5D">
            <w:pPr>
              <w:pStyle w:val="a3"/>
              <w:spacing w:before="0" w:beforeAutospacing="0" w:after="0" w:afterAutospacing="0"/>
              <w:jc w:val="right"/>
              <w:rPr>
                <w:sz w:val="20"/>
                <w:szCs w:val="20"/>
              </w:rPr>
            </w:pPr>
            <w:r>
              <w:rPr>
                <w:sz w:val="20"/>
                <w:szCs w:val="20"/>
              </w:rPr>
              <w:t>20,42</w:t>
            </w:r>
            <w:r>
              <w:rPr>
                <w:sz w:val="20"/>
                <w:szCs w:val="20"/>
              </w:rPr>
              <w:t>7</w:t>
            </w:r>
          </w:p>
        </w:tc>
        <w:tc>
          <w:tcPr>
            <w:tcW w:w="0" w:type="auto"/>
            <w:noWrap/>
            <w:vAlign w:val="bottom"/>
            <w:hideMark/>
          </w:tcPr>
          <w:p w14:paraId="4FC1A3B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2B1BCC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7A310D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5C97141" w14:textId="77777777" w:rsidR="00000000" w:rsidRDefault="003A1B5D">
            <w:pPr>
              <w:pStyle w:val="a3"/>
              <w:spacing w:before="0" w:beforeAutospacing="0" w:after="0" w:afterAutospacing="0"/>
              <w:jc w:val="right"/>
              <w:rPr>
                <w:sz w:val="20"/>
                <w:szCs w:val="20"/>
              </w:rPr>
            </w:pPr>
            <w:r>
              <w:rPr>
                <w:b/>
                <w:bCs/>
                <w:sz w:val="20"/>
                <w:szCs w:val="20"/>
              </w:rPr>
              <w:t>63,53</w:t>
            </w:r>
            <w:r>
              <w:rPr>
                <w:b/>
                <w:bCs/>
                <w:sz w:val="20"/>
                <w:szCs w:val="20"/>
              </w:rPr>
              <w:t>1</w:t>
            </w:r>
          </w:p>
        </w:tc>
        <w:tc>
          <w:tcPr>
            <w:tcW w:w="0" w:type="auto"/>
            <w:noWrap/>
            <w:vAlign w:val="bottom"/>
            <w:hideMark/>
          </w:tcPr>
          <w:p w14:paraId="6C0A951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D068252"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2DC2847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A5FB83F" w14:textId="77777777" w:rsidR="00000000" w:rsidRDefault="003A1B5D">
            <w:pPr>
              <w:pStyle w:val="a3"/>
              <w:spacing w:before="0" w:beforeAutospacing="0" w:after="0" w:afterAutospacing="0"/>
              <w:jc w:val="right"/>
              <w:rPr>
                <w:sz w:val="20"/>
                <w:szCs w:val="20"/>
              </w:rPr>
            </w:pPr>
            <w:r>
              <w:rPr>
                <w:sz w:val="20"/>
                <w:szCs w:val="20"/>
              </w:rPr>
              <w:t>61,55</w:t>
            </w:r>
            <w:r>
              <w:rPr>
                <w:sz w:val="20"/>
                <w:szCs w:val="20"/>
              </w:rPr>
              <w:t>1</w:t>
            </w:r>
          </w:p>
        </w:tc>
        <w:tc>
          <w:tcPr>
            <w:tcW w:w="0" w:type="auto"/>
            <w:noWrap/>
            <w:vAlign w:val="bottom"/>
            <w:hideMark/>
          </w:tcPr>
          <w:p w14:paraId="652C1084" w14:textId="77777777" w:rsidR="00000000" w:rsidRDefault="003A1B5D">
            <w:pPr>
              <w:pStyle w:val="a3"/>
              <w:spacing w:before="0" w:beforeAutospacing="0" w:after="0" w:afterAutospacing="0"/>
              <w:rPr>
                <w:sz w:val="20"/>
                <w:szCs w:val="20"/>
              </w:rPr>
            </w:pPr>
            <w:r>
              <w:rPr>
                <w:sz w:val="20"/>
                <w:szCs w:val="20"/>
              </w:rPr>
              <w:t> </w:t>
            </w:r>
          </w:p>
        </w:tc>
      </w:tr>
      <w:tr w:rsidR="00000000" w14:paraId="4D448F43" w14:textId="77777777">
        <w:trPr>
          <w:divId w:val="1833179165"/>
          <w:trHeight w:val="200"/>
          <w:tblCellSpacing w:w="15" w:type="dxa"/>
        </w:trPr>
        <w:tc>
          <w:tcPr>
            <w:tcW w:w="0" w:type="auto"/>
            <w:hideMark/>
          </w:tcPr>
          <w:p w14:paraId="390E9F7C" w14:textId="77777777" w:rsidR="00000000" w:rsidRDefault="003A1B5D">
            <w:pPr>
              <w:pStyle w:val="a3"/>
              <w:spacing w:before="0" w:beforeAutospacing="0" w:after="0" w:afterAutospacing="0"/>
              <w:ind w:left="200"/>
              <w:rPr>
                <w:sz w:val="20"/>
                <w:szCs w:val="20"/>
              </w:rPr>
            </w:pPr>
            <w:r>
              <w:rPr>
                <w:sz w:val="20"/>
                <w:szCs w:val="20"/>
              </w:rPr>
              <w:t>Propertie</w:t>
            </w:r>
            <w:r>
              <w:rPr>
                <w:sz w:val="20"/>
                <w:szCs w:val="20"/>
              </w:rPr>
              <w:t>s</w:t>
            </w:r>
          </w:p>
        </w:tc>
        <w:tc>
          <w:tcPr>
            <w:tcW w:w="0" w:type="auto"/>
            <w:vAlign w:val="bottom"/>
            <w:hideMark/>
          </w:tcPr>
          <w:p w14:paraId="010917F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4E90FE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C1330F1" w14:textId="77777777" w:rsidR="00000000" w:rsidRDefault="003A1B5D">
            <w:pPr>
              <w:pStyle w:val="a3"/>
              <w:spacing w:before="0" w:beforeAutospacing="0" w:after="0" w:afterAutospacing="0"/>
              <w:jc w:val="right"/>
              <w:rPr>
                <w:sz w:val="20"/>
                <w:szCs w:val="20"/>
              </w:rPr>
            </w:pPr>
            <w:r>
              <w:rPr>
                <w:b/>
                <w:bCs/>
                <w:sz w:val="20"/>
                <w:szCs w:val="20"/>
              </w:rPr>
              <w:t>3,90</w:t>
            </w:r>
            <w:r>
              <w:rPr>
                <w:b/>
                <w:bCs/>
                <w:sz w:val="20"/>
                <w:szCs w:val="20"/>
              </w:rPr>
              <w:t>2</w:t>
            </w:r>
          </w:p>
        </w:tc>
        <w:tc>
          <w:tcPr>
            <w:tcW w:w="0" w:type="auto"/>
            <w:noWrap/>
            <w:vAlign w:val="bottom"/>
            <w:hideMark/>
          </w:tcPr>
          <w:p w14:paraId="5749325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E1D1490"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2CAAB3C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BC090FF" w14:textId="77777777" w:rsidR="00000000" w:rsidRDefault="003A1B5D">
            <w:pPr>
              <w:pStyle w:val="a3"/>
              <w:spacing w:before="0" w:beforeAutospacing="0" w:after="0" w:afterAutospacing="0"/>
              <w:jc w:val="right"/>
              <w:rPr>
                <w:sz w:val="20"/>
                <w:szCs w:val="20"/>
              </w:rPr>
            </w:pPr>
            <w:r>
              <w:rPr>
                <w:sz w:val="20"/>
                <w:szCs w:val="20"/>
              </w:rPr>
              <w:t>3,38</w:t>
            </w:r>
            <w:r>
              <w:rPr>
                <w:sz w:val="20"/>
                <w:szCs w:val="20"/>
              </w:rPr>
              <w:t>1</w:t>
            </w:r>
          </w:p>
        </w:tc>
        <w:tc>
          <w:tcPr>
            <w:tcW w:w="0" w:type="auto"/>
            <w:noWrap/>
            <w:vAlign w:val="bottom"/>
            <w:hideMark/>
          </w:tcPr>
          <w:p w14:paraId="1587521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36512D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78FF3A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883470D" w14:textId="77777777" w:rsidR="00000000" w:rsidRDefault="003A1B5D">
            <w:pPr>
              <w:pStyle w:val="a3"/>
              <w:spacing w:before="0" w:beforeAutospacing="0" w:after="0" w:afterAutospacing="0"/>
              <w:jc w:val="right"/>
              <w:rPr>
                <w:sz w:val="20"/>
                <w:szCs w:val="20"/>
              </w:rPr>
            </w:pPr>
            <w:r>
              <w:rPr>
                <w:b/>
                <w:bCs/>
                <w:sz w:val="20"/>
                <w:szCs w:val="20"/>
              </w:rPr>
              <w:t>10,56</w:t>
            </w:r>
            <w:r>
              <w:rPr>
                <w:b/>
                <w:bCs/>
                <w:sz w:val="20"/>
                <w:szCs w:val="20"/>
              </w:rPr>
              <w:t>1</w:t>
            </w:r>
          </w:p>
        </w:tc>
        <w:tc>
          <w:tcPr>
            <w:tcW w:w="0" w:type="auto"/>
            <w:noWrap/>
            <w:vAlign w:val="bottom"/>
            <w:hideMark/>
          </w:tcPr>
          <w:p w14:paraId="6F49A17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6C3AFE9"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4C4076A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014CBFE" w14:textId="77777777" w:rsidR="00000000" w:rsidRDefault="003A1B5D">
            <w:pPr>
              <w:pStyle w:val="a3"/>
              <w:spacing w:before="0" w:beforeAutospacing="0" w:after="0" w:afterAutospacing="0"/>
              <w:jc w:val="right"/>
              <w:rPr>
                <w:sz w:val="20"/>
                <w:szCs w:val="20"/>
              </w:rPr>
            </w:pPr>
            <w:r>
              <w:rPr>
                <w:sz w:val="20"/>
                <w:szCs w:val="20"/>
              </w:rPr>
              <w:t>15,32</w:t>
            </w:r>
            <w:r>
              <w:rPr>
                <w:sz w:val="20"/>
                <w:szCs w:val="20"/>
              </w:rPr>
              <w:t>3</w:t>
            </w:r>
          </w:p>
        </w:tc>
        <w:tc>
          <w:tcPr>
            <w:tcW w:w="0" w:type="auto"/>
            <w:noWrap/>
            <w:vAlign w:val="bottom"/>
            <w:hideMark/>
          </w:tcPr>
          <w:p w14:paraId="18E2BB9F" w14:textId="77777777" w:rsidR="00000000" w:rsidRDefault="003A1B5D">
            <w:pPr>
              <w:pStyle w:val="a3"/>
              <w:spacing w:before="0" w:beforeAutospacing="0" w:after="0" w:afterAutospacing="0"/>
              <w:rPr>
                <w:sz w:val="20"/>
                <w:szCs w:val="20"/>
              </w:rPr>
            </w:pPr>
            <w:r>
              <w:rPr>
                <w:sz w:val="20"/>
                <w:szCs w:val="20"/>
              </w:rPr>
              <w:t> </w:t>
            </w:r>
          </w:p>
        </w:tc>
      </w:tr>
      <w:tr w:rsidR="00000000" w14:paraId="0B589160" w14:textId="77777777">
        <w:trPr>
          <w:divId w:val="1833179165"/>
          <w:trHeight w:val="200"/>
          <w:tblCellSpacing w:w="15" w:type="dxa"/>
        </w:trPr>
        <w:tc>
          <w:tcPr>
            <w:tcW w:w="0" w:type="auto"/>
            <w:hideMark/>
          </w:tcPr>
          <w:p w14:paraId="5A38E8A3" w14:textId="77777777" w:rsidR="00000000" w:rsidRDefault="003A1B5D">
            <w:pPr>
              <w:pStyle w:val="a3"/>
              <w:spacing w:before="0" w:beforeAutospacing="0" w:after="0" w:afterAutospacing="0"/>
              <w:rPr>
                <w:sz w:val="20"/>
                <w:szCs w:val="20"/>
              </w:rPr>
            </w:pPr>
            <w:r>
              <w:rPr>
                <w:sz w:val="20"/>
                <w:szCs w:val="20"/>
              </w:rPr>
              <w:t>Total segment operating expense</w:t>
            </w:r>
            <w:r>
              <w:rPr>
                <w:sz w:val="20"/>
                <w:szCs w:val="20"/>
              </w:rPr>
              <w:t>s</w:t>
            </w:r>
          </w:p>
        </w:tc>
        <w:tc>
          <w:tcPr>
            <w:tcW w:w="0" w:type="auto"/>
            <w:vAlign w:val="bottom"/>
            <w:hideMark/>
          </w:tcPr>
          <w:p w14:paraId="5441934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2BAD68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4C45EBF" w14:textId="77777777" w:rsidR="00000000" w:rsidRDefault="003A1B5D">
            <w:pPr>
              <w:pStyle w:val="a3"/>
              <w:spacing w:before="0" w:beforeAutospacing="0" w:after="0" w:afterAutospacing="0"/>
              <w:jc w:val="right"/>
              <w:rPr>
                <w:sz w:val="20"/>
                <w:szCs w:val="20"/>
              </w:rPr>
            </w:pPr>
            <w:r>
              <w:rPr>
                <w:b/>
                <w:bCs/>
                <w:sz w:val="20"/>
                <w:szCs w:val="20"/>
              </w:rPr>
              <w:t>368,11</w:t>
            </w:r>
            <w:r>
              <w:rPr>
                <w:b/>
                <w:bCs/>
                <w:sz w:val="20"/>
                <w:szCs w:val="20"/>
              </w:rPr>
              <w:t>4</w:t>
            </w:r>
          </w:p>
        </w:tc>
        <w:tc>
          <w:tcPr>
            <w:tcW w:w="0" w:type="auto"/>
            <w:noWrap/>
            <w:vAlign w:val="bottom"/>
            <w:hideMark/>
          </w:tcPr>
          <w:p w14:paraId="7C73824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65AB7A9"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1144B99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491B98B" w14:textId="77777777" w:rsidR="00000000" w:rsidRDefault="003A1B5D">
            <w:pPr>
              <w:pStyle w:val="a3"/>
              <w:spacing w:before="0" w:beforeAutospacing="0" w:after="0" w:afterAutospacing="0"/>
              <w:jc w:val="right"/>
              <w:rPr>
                <w:sz w:val="20"/>
                <w:szCs w:val="20"/>
              </w:rPr>
            </w:pPr>
            <w:r>
              <w:rPr>
                <w:sz w:val="20"/>
                <w:szCs w:val="20"/>
              </w:rPr>
              <w:t>338,09</w:t>
            </w:r>
            <w:r>
              <w:rPr>
                <w:sz w:val="20"/>
                <w:szCs w:val="20"/>
              </w:rPr>
              <w:t>1</w:t>
            </w:r>
          </w:p>
        </w:tc>
        <w:tc>
          <w:tcPr>
            <w:tcW w:w="0" w:type="auto"/>
            <w:noWrap/>
            <w:vAlign w:val="bottom"/>
            <w:hideMark/>
          </w:tcPr>
          <w:p w14:paraId="3587C67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4D67DB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3A1497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D8D3E36" w14:textId="77777777" w:rsidR="00000000" w:rsidRDefault="003A1B5D">
            <w:pPr>
              <w:pStyle w:val="a3"/>
              <w:spacing w:before="0" w:beforeAutospacing="0" w:after="0" w:afterAutospacing="0"/>
              <w:jc w:val="right"/>
              <w:rPr>
                <w:sz w:val="20"/>
                <w:szCs w:val="20"/>
              </w:rPr>
            </w:pPr>
            <w:r>
              <w:rPr>
                <w:b/>
                <w:bCs/>
                <w:sz w:val="20"/>
                <w:szCs w:val="20"/>
              </w:rPr>
              <w:t>1,061,56</w:t>
            </w:r>
            <w:r>
              <w:rPr>
                <w:b/>
                <w:bCs/>
                <w:sz w:val="20"/>
                <w:szCs w:val="20"/>
              </w:rPr>
              <w:t>4</w:t>
            </w:r>
          </w:p>
        </w:tc>
        <w:tc>
          <w:tcPr>
            <w:tcW w:w="0" w:type="auto"/>
            <w:noWrap/>
            <w:vAlign w:val="bottom"/>
            <w:hideMark/>
          </w:tcPr>
          <w:p w14:paraId="2E989CD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FC5F4CB"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584CDFE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83721DA" w14:textId="77777777" w:rsidR="00000000" w:rsidRDefault="003A1B5D">
            <w:pPr>
              <w:pStyle w:val="a3"/>
              <w:spacing w:before="0" w:beforeAutospacing="0" w:after="0" w:afterAutospacing="0"/>
              <w:jc w:val="right"/>
              <w:rPr>
                <w:sz w:val="20"/>
                <w:szCs w:val="20"/>
              </w:rPr>
            </w:pPr>
            <w:r>
              <w:rPr>
                <w:sz w:val="20"/>
                <w:szCs w:val="20"/>
              </w:rPr>
              <w:t>1,003,86</w:t>
            </w:r>
            <w:r>
              <w:rPr>
                <w:sz w:val="20"/>
                <w:szCs w:val="20"/>
              </w:rPr>
              <w:t>4</w:t>
            </w:r>
          </w:p>
        </w:tc>
        <w:tc>
          <w:tcPr>
            <w:tcW w:w="0" w:type="auto"/>
            <w:noWrap/>
            <w:vAlign w:val="bottom"/>
            <w:hideMark/>
          </w:tcPr>
          <w:p w14:paraId="161A55C1" w14:textId="77777777" w:rsidR="00000000" w:rsidRDefault="003A1B5D">
            <w:pPr>
              <w:pStyle w:val="a3"/>
              <w:spacing w:before="0" w:beforeAutospacing="0" w:after="0" w:afterAutospacing="0"/>
              <w:rPr>
                <w:sz w:val="20"/>
                <w:szCs w:val="20"/>
              </w:rPr>
            </w:pPr>
            <w:r>
              <w:rPr>
                <w:sz w:val="20"/>
                <w:szCs w:val="20"/>
              </w:rPr>
              <w:t> </w:t>
            </w:r>
          </w:p>
        </w:tc>
      </w:tr>
      <w:tr w:rsidR="00000000" w14:paraId="2FD4C502" w14:textId="77777777">
        <w:trPr>
          <w:divId w:val="1833179165"/>
          <w:trHeight w:val="200"/>
          <w:tblCellSpacing w:w="15" w:type="dxa"/>
        </w:trPr>
        <w:tc>
          <w:tcPr>
            <w:tcW w:w="0" w:type="auto"/>
            <w:hideMark/>
          </w:tcPr>
          <w:p w14:paraId="5FCDD58F" w14:textId="77777777" w:rsidR="00000000" w:rsidRDefault="003A1B5D">
            <w:pPr>
              <w:pStyle w:val="a3"/>
              <w:spacing w:before="0" w:beforeAutospacing="0" w:after="0" w:afterAutospacing="0"/>
              <w:rPr>
                <w:sz w:val="20"/>
                <w:szCs w:val="20"/>
              </w:rPr>
            </w:pPr>
            <w:r>
              <w:rPr>
                <w:sz w:val="20"/>
                <w:szCs w:val="20"/>
              </w:rPr>
              <w:t>Facility net operating income</w:t>
            </w:r>
            <w:r>
              <w:rPr>
                <w:sz w:val="20"/>
                <w:szCs w:val="20"/>
              </w:rPr>
              <w:t>:</w:t>
            </w:r>
          </w:p>
        </w:tc>
        <w:tc>
          <w:tcPr>
            <w:tcW w:w="0" w:type="auto"/>
            <w:vAlign w:val="bottom"/>
            <w:hideMark/>
          </w:tcPr>
          <w:p w14:paraId="7686A5F0"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2698E3F9"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26E7DA1"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73D66FD6" w14:textId="77777777" w:rsidR="00000000" w:rsidRDefault="003A1B5D">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048D6998"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4018A1A5"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0BFDFDFA"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2A051ACA"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0E18F5A"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08452C9E" w14:textId="77777777" w:rsidR="00000000" w:rsidRDefault="003A1B5D">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0CD505C"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3F90C4A5" w14:textId="77777777" w:rsidR="00000000" w:rsidRDefault="003A1B5D">
            <w:pPr>
              <w:pStyle w:val="a3"/>
              <w:spacing w:before="0" w:beforeAutospacing="0" w:after="0" w:afterAutospacing="0"/>
              <w:jc w:val="right"/>
              <w:rPr>
                <w:sz w:val="20"/>
                <w:szCs w:val="20"/>
              </w:rPr>
            </w:pPr>
            <w:r>
              <w:rPr>
                <w:sz w:val="20"/>
                <w:szCs w:val="20"/>
              </w:rPr>
              <w:t> </w:t>
            </w:r>
          </w:p>
        </w:tc>
      </w:tr>
      <w:tr w:rsidR="00000000" w14:paraId="006F8118" w14:textId="77777777">
        <w:trPr>
          <w:divId w:val="1833179165"/>
          <w:trHeight w:val="200"/>
          <w:tblCellSpacing w:w="15" w:type="dxa"/>
        </w:trPr>
        <w:tc>
          <w:tcPr>
            <w:tcW w:w="0" w:type="auto"/>
            <w:hideMark/>
          </w:tcPr>
          <w:p w14:paraId="1096BA1E" w14:textId="77777777" w:rsidR="00000000" w:rsidRDefault="003A1B5D">
            <w:pPr>
              <w:pStyle w:val="a3"/>
              <w:spacing w:before="0" w:beforeAutospacing="0" w:after="0" w:afterAutospacing="0"/>
              <w:ind w:left="200"/>
              <w:rPr>
                <w:sz w:val="20"/>
                <w:szCs w:val="20"/>
              </w:rPr>
            </w:pPr>
            <w:r>
              <w:rPr>
                <w:sz w:val="20"/>
                <w:szCs w:val="20"/>
              </w:rPr>
              <w:t>Safet</w:t>
            </w:r>
            <w:r>
              <w:rPr>
                <w:sz w:val="20"/>
                <w:szCs w:val="20"/>
              </w:rPr>
              <w:t>y</w:t>
            </w:r>
          </w:p>
        </w:tc>
        <w:tc>
          <w:tcPr>
            <w:tcW w:w="0" w:type="auto"/>
            <w:vAlign w:val="bottom"/>
            <w:hideMark/>
          </w:tcPr>
          <w:p w14:paraId="016EC2F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139CB0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12DC053" w14:textId="77777777" w:rsidR="00000000" w:rsidRDefault="003A1B5D">
            <w:pPr>
              <w:pStyle w:val="a3"/>
              <w:spacing w:before="0" w:beforeAutospacing="0" w:after="0" w:afterAutospacing="0"/>
              <w:jc w:val="right"/>
              <w:rPr>
                <w:sz w:val="20"/>
                <w:szCs w:val="20"/>
              </w:rPr>
            </w:pPr>
            <w:r>
              <w:rPr>
                <w:b/>
                <w:bCs/>
                <w:sz w:val="20"/>
                <w:szCs w:val="20"/>
              </w:rPr>
              <w:t>80,99</w:t>
            </w:r>
            <w:r>
              <w:rPr>
                <w:b/>
                <w:bCs/>
                <w:sz w:val="20"/>
                <w:szCs w:val="20"/>
              </w:rPr>
              <w:t>6</w:t>
            </w:r>
          </w:p>
        </w:tc>
        <w:tc>
          <w:tcPr>
            <w:tcW w:w="0" w:type="auto"/>
            <w:noWrap/>
            <w:vAlign w:val="bottom"/>
            <w:hideMark/>
          </w:tcPr>
          <w:p w14:paraId="0338292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C8E8153"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220418A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233BFA7" w14:textId="77777777" w:rsidR="00000000" w:rsidRDefault="003A1B5D">
            <w:pPr>
              <w:pStyle w:val="a3"/>
              <w:spacing w:before="0" w:beforeAutospacing="0" w:after="0" w:afterAutospacing="0"/>
              <w:jc w:val="right"/>
              <w:rPr>
                <w:sz w:val="20"/>
                <w:szCs w:val="20"/>
              </w:rPr>
            </w:pPr>
            <w:r>
              <w:rPr>
                <w:sz w:val="20"/>
                <w:szCs w:val="20"/>
              </w:rPr>
              <w:t>117,25</w:t>
            </w:r>
            <w:r>
              <w:rPr>
                <w:sz w:val="20"/>
                <w:szCs w:val="20"/>
              </w:rPr>
              <w:t>1</w:t>
            </w:r>
          </w:p>
        </w:tc>
        <w:tc>
          <w:tcPr>
            <w:tcW w:w="0" w:type="auto"/>
            <w:noWrap/>
            <w:vAlign w:val="bottom"/>
            <w:hideMark/>
          </w:tcPr>
          <w:p w14:paraId="664C277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293944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2ABD4D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510F14E" w14:textId="77777777" w:rsidR="00000000" w:rsidRDefault="003A1B5D">
            <w:pPr>
              <w:pStyle w:val="a3"/>
              <w:spacing w:before="0" w:beforeAutospacing="0" w:after="0" w:afterAutospacing="0"/>
              <w:jc w:val="right"/>
              <w:rPr>
                <w:sz w:val="20"/>
                <w:szCs w:val="20"/>
              </w:rPr>
            </w:pPr>
            <w:r>
              <w:rPr>
                <w:b/>
                <w:bCs/>
                <w:sz w:val="20"/>
                <w:szCs w:val="20"/>
              </w:rPr>
              <w:t>266,31</w:t>
            </w:r>
            <w:r>
              <w:rPr>
                <w:b/>
                <w:bCs/>
                <w:sz w:val="20"/>
                <w:szCs w:val="20"/>
              </w:rPr>
              <w:t>6</w:t>
            </w:r>
          </w:p>
        </w:tc>
        <w:tc>
          <w:tcPr>
            <w:tcW w:w="0" w:type="auto"/>
            <w:noWrap/>
            <w:vAlign w:val="bottom"/>
            <w:hideMark/>
          </w:tcPr>
          <w:p w14:paraId="060615D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2802D59"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7A58862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12033D5" w14:textId="77777777" w:rsidR="00000000" w:rsidRDefault="003A1B5D">
            <w:pPr>
              <w:pStyle w:val="a3"/>
              <w:spacing w:before="0" w:beforeAutospacing="0" w:after="0" w:afterAutospacing="0"/>
              <w:jc w:val="right"/>
              <w:rPr>
                <w:sz w:val="20"/>
                <w:szCs w:val="20"/>
              </w:rPr>
            </w:pPr>
            <w:r>
              <w:rPr>
                <w:sz w:val="20"/>
                <w:szCs w:val="20"/>
              </w:rPr>
              <w:t>334,19</w:t>
            </w:r>
            <w:r>
              <w:rPr>
                <w:sz w:val="20"/>
                <w:szCs w:val="20"/>
              </w:rPr>
              <w:t>3</w:t>
            </w:r>
          </w:p>
        </w:tc>
        <w:tc>
          <w:tcPr>
            <w:tcW w:w="0" w:type="auto"/>
            <w:noWrap/>
            <w:vAlign w:val="bottom"/>
            <w:hideMark/>
          </w:tcPr>
          <w:p w14:paraId="3B7130F2" w14:textId="77777777" w:rsidR="00000000" w:rsidRDefault="003A1B5D">
            <w:pPr>
              <w:pStyle w:val="a3"/>
              <w:spacing w:before="0" w:beforeAutospacing="0" w:after="0" w:afterAutospacing="0"/>
              <w:rPr>
                <w:sz w:val="20"/>
                <w:szCs w:val="20"/>
              </w:rPr>
            </w:pPr>
            <w:r>
              <w:rPr>
                <w:sz w:val="20"/>
                <w:szCs w:val="20"/>
              </w:rPr>
              <w:t> </w:t>
            </w:r>
          </w:p>
        </w:tc>
      </w:tr>
      <w:tr w:rsidR="00000000" w14:paraId="56A569B4" w14:textId="77777777">
        <w:trPr>
          <w:divId w:val="1833179165"/>
          <w:trHeight w:val="200"/>
          <w:tblCellSpacing w:w="15" w:type="dxa"/>
        </w:trPr>
        <w:tc>
          <w:tcPr>
            <w:tcW w:w="0" w:type="auto"/>
            <w:hideMark/>
          </w:tcPr>
          <w:p w14:paraId="50B82CA4" w14:textId="77777777" w:rsidR="00000000" w:rsidRDefault="003A1B5D">
            <w:pPr>
              <w:pStyle w:val="a3"/>
              <w:spacing w:before="0" w:beforeAutospacing="0" w:after="0" w:afterAutospacing="0"/>
              <w:ind w:left="200"/>
              <w:rPr>
                <w:sz w:val="20"/>
                <w:szCs w:val="20"/>
              </w:rPr>
            </w:pPr>
            <w:r>
              <w:rPr>
                <w:sz w:val="20"/>
                <w:szCs w:val="20"/>
              </w:rPr>
              <w:t>Communit</w:t>
            </w:r>
            <w:r>
              <w:rPr>
                <w:sz w:val="20"/>
                <w:szCs w:val="20"/>
              </w:rPr>
              <w:t>y</w:t>
            </w:r>
          </w:p>
        </w:tc>
        <w:tc>
          <w:tcPr>
            <w:tcW w:w="0" w:type="auto"/>
            <w:vAlign w:val="bottom"/>
            <w:hideMark/>
          </w:tcPr>
          <w:p w14:paraId="44956EE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3CBE19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F994F1E" w14:textId="77777777" w:rsidR="00000000" w:rsidRDefault="003A1B5D">
            <w:pPr>
              <w:pStyle w:val="a3"/>
              <w:spacing w:before="0" w:beforeAutospacing="0" w:after="0" w:afterAutospacing="0"/>
              <w:jc w:val="right"/>
              <w:rPr>
                <w:sz w:val="20"/>
                <w:szCs w:val="20"/>
              </w:rPr>
            </w:pPr>
            <w:r>
              <w:rPr>
                <w:b/>
                <w:bCs/>
                <w:sz w:val="20"/>
                <w:szCs w:val="20"/>
              </w:rPr>
              <w:t>4,35</w:t>
            </w:r>
            <w:r>
              <w:rPr>
                <w:b/>
                <w:bCs/>
                <w:sz w:val="20"/>
                <w:szCs w:val="20"/>
              </w:rPr>
              <w:t>7</w:t>
            </w:r>
          </w:p>
        </w:tc>
        <w:tc>
          <w:tcPr>
            <w:tcW w:w="0" w:type="auto"/>
            <w:noWrap/>
            <w:vAlign w:val="bottom"/>
            <w:hideMark/>
          </w:tcPr>
          <w:p w14:paraId="277D0AC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312C504"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021CECB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AB10BA9" w14:textId="77777777" w:rsidR="00000000" w:rsidRDefault="003A1B5D">
            <w:pPr>
              <w:pStyle w:val="a3"/>
              <w:spacing w:before="0" w:beforeAutospacing="0" w:after="0" w:afterAutospacing="0"/>
              <w:jc w:val="right"/>
              <w:rPr>
                <w:sz w:val="20"/>
                <w:szCs w:val="20"/>
              </w:rPr>
            </w:pPr>
            <w:r>
              <w:rPr>
                <w:sz w:val="20"/>
                <w:szCs w:val="20"/>
              </w:rPr>
              <w:t>5,10</w:t>
            </w:r>
            <w:r>
              <w:rPr>
                <w:sz w:val="20"/>
                <w:szCs w:val="20"/>
              </w:rPr>
              <w:t>8</w:t>
            </w:r>
          </w:p>
        </w:tc>
        <w:tc>
          <w:tcPr>
            <w:tcW w:w="0" w:type="auto"/>
            <w:noWrap/>
            <w:vAlign w:val="bottom"/>
            <w:hideMark/>
          </w:tcPr>
          <w:p w14:paraId="6519163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E75837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D42078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927E44A" w14:textId="77777777" w:rsidR="00000000" w:rsidRDefault="003A1B5D">
            <w:pPr>
              <w:pStyle w:val="a3"/>
              <w:spacing w:before="0" w:beforeAutospacing="0" w:after="0" w:afterAutospacing="0"/>
              <w:jc w:val="right"/>
              <w:rPr>
                <w:sz w:val="20"/>
                <w:szCs w:val="20"/>
              </w:rPr>
            </w:pPr>
            <w:r>
              <w:rPr>
                <w:b/>
                <w:bCs/>
                <w:sz w:val="20"/>
                <w:szCs w:val="20"/>
              </w:rPr>
              <w:t>12,73</w:t>
            </w:r>
            <w:r>
              <w:rPr>
                <w:b/>
                <w:bCs/>
                <w:sz w:val="20"/>
                <w:szCs w:val="20"/>
              </w:rPr>
              <w:t>8</w:t>
            </w:r>
          </w:p>
        </w:tc>
        <w:tc>
          <w:tcPr>
            <w:tcW w:w="0" w:type="auto"/>
            <w:noWrap/>
            <w:vAlign w:val="bottom"/>
            <w:hideMark/>
          </w:tcPr>
          <w:p w14:paraId="0A6DDCB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3B89592"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4B4ED40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A2845FE" w14:textId="77777777" w:rsidR="00000000" w:rsidRDefault="003A1B5D">
            <w:pPr>
              <w:pStyle w:val="a3"/>
              <w:spacing w:before="0" w:beforeAutospacing="0" w:after="0" w:afterAutospacing="0"/>
              <w:jc w:val="right"/>
              <w:rPr>
                <w:sz w:val="20"/>
                <w:szCs w:val="20"/>
              </w:rPr>
            </w:pPr>
            <w:r>
              <w:rPr>
                <w:sz w:val="20"/>
                <w:szCs w:val="20"/>
              </w:rPr>
              <w:t>12,57</w:t>
            </w:r>
            <w:r>
              <w:rPr>
                <w:sz w:val="20"/>
                <w:szCs w:val="20"/>
              </w:rPr>
              <w:t>1</w:t>
            </w:r>
          </w:p>
        </w:tc>
        <w:tc>
          <w:tcPr>
            <w:tcW w:w="0" w:type="auto"/>
            <w:noWrap/>
            <w:vAlign w:val="bottom"/>
            <w:hideMark/>
          </w:tcPr>
          <w:p w14:paraId="6611DF03" w14:textId="77777777" w:rsidR="00000000" w:rsidRDefault="003A1B5D">
            <w:pPr>
              <w:pStyle w:val="a3"/>
              <w:spacing w:before="0" w:beforeAutospacing="0" w:after="0" w:afterAutospacing="0"/>
              <w:rPr>
                <w:sz w:val="20"/>
                <w:szCs w:val="20"/>
              </w:rPr>
            </w:pPr>
            <w:r>
              <w:rPr>
                <w:sz w:val="20"/>
                <w:szCs w:val="20"/>
              </w:rPr>
              <w:t> </w:t>
            </w:r>
          </w:p>
        </w:tc>
      </w:tr>
      <w:tr w:rsidR="00000000" w14:paraId="008B3C54" w14:textId="77777777">
        <w:trPr>
          <w:divId w:val="1833179165"/>
          <w:trHeight w:val="200"/>
          <w:tblCellSpacing w:w="15" w:type="dxa"/>
        </w:trPr>
        <w:tc>
          <w:tcPr>
            <w:tcW w:w="0" w:type="auto"/>
            <w:hideMark/>
          </w:tcPr>
          <w:p w14:paraId="22D502A6" w14:textId="77777777" w:rsidR="00000000" w:rsidRDefault="003A1B5D">
            <w:pPr>
              <w:pStyle w:val="a3"/>
              <w:spacing w:before="0" w:beforeAutospacing="0" w:after="0" w:afterAutospacing="0"/>
              <w:ind w:left="200"/>
              <w:rPr>
                <w:sz w:val="20"/>
                <w:szCs w:val="20"/>
              </w:rPr>
            </w:pPr>
            <w:r>
              <w:rPr>
                <w:sz w:val="20"/>
                <w:szCs w:val="20"/>
              </w:rPr>
              <w:t>Propertie</w:t>
            </w:r>
            <w:r>
              <w:rPr>
                <w:sz w:val="20"/>
                <w:szCs w:val="20"/>
              </w:rPr>
              <w:t>s</w:t>
            </w:r>
          </w:p>
        </w:tc>
        <w:tc>
          <w:tcPr>
            <w:tcW w:w="0" w:type="auto"/>
            <w:vAlign w:val="bottom"/>
            <w:hideMark/>
          </w:tcPr>
          <w:p w14:paraId="60D34F2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58F810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D54B8F1" w14:textId="77777777" w:rsidR="00000000" w:rsidRDefault="003A1B5D">
            <w:pPr>
              <w:pStyle w:val="a3"/>
              <w:spacing w:before="0" w:beforeAutospacing="0" w:after="0" w:afterAutospacing="0"/>
              <w:jc w:val="right"/>
              <w:rPr>
                <w:sz w:val="20"/>
                <w:szCs w:val="20"/>
              </w:rPr>
            </w:pPr>
            <w:r>
              <w:rPr>
                <w:b/>
                <w:bCs/>
                <w:sz w:val="20"/>
                <w:szCs w:val="20"/>
              </w:rPr>
              <w:t>10,68</w:t>
            </w:r>
            <w:r>
              <w:rPr>
                <w:b/>
                <w:bCs/>
                <w:sz w:val="20"/>
                <w:szCs w:val="20"/>
              </w:rPr>
              <w:t>5</w:t>
            </w:r>
          </w:p>
        </w:tc>
        <w:tc>
          <w:tcPr>
            <w:tcW w:w="0" w:type="auto"/>
            <w:noWrap/>
            <w:vAlign w:val="bottom"/>
            <w:hideMark/>
          </w:tcPr>
          <w:p w14:paraId="0647A42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5716BA0"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6B3A8B7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005A38F" w14:textId="77777777" w:rsidR="00000000" w:rsidRDefault="003A1B5D">
            <w:pPr>
              <w:pStyle w:val="a3"/>
              <w:spacing w:before="0" w:beforeAutospacing="0" w:after="0" w:afterAutospacing="0"/>
              <w:jc w:val="right"/>
              <w:rPr>
                <w:sz w:val="20"/>
                <w:szCs w:val="20"/>
              </w:rPr>
            </w:pPr>
            <w:r>
              <w:rPr>
                <w:sz w:val="20"/>
                <w:szCs w:val="20"/>
              </w:rPr>
              <w:t>10,55</w:t>
            </w:r>
            <w:r>
              <w:rPr>
                <w:sz w:val="20"/>
                <w:szCs w:val="20"/>
              </w:rPr>
              <w:t>9</w:t>
            </w:r>
          </w:p>
        </w:tc>
        <w:tc>
          <w:tcPr>
            <w:tcW w:w="0" w:type="auto"/>
            <w:noWrap/>
            <w:vAlign w:val="bottom"/>
            <w:hideMark/>
          </w:tcPr>
          <w:p w14:paraId="33606F8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5A2777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4CCD9C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1CB9C2F" w14:textId="77777777" w:rsidR="00000000" w:rsidRDefault="003A1B5D">
            <w:pPr>
              <w:pStyle w:val="a3"/>
              <w:spacing w:before="0" w:beforeAutospacing="0" w:after="0" w:afterAutospacing="0"/>
              <w:jc w:val="right"/>
              <w:rPr>
                <w:sz w:val="20"/>
                <w:szCs w:val="20"/>
              </w:rPr>
            </w:pPr>
            <w:r>
              <w:rPr>
                <w:b/>
                <w:bCs/>
                <w:sz w:val="20"/>
                <w:szCs w:val="20"/>
              </w:rPr>
              <w:t>33,14</w:t>
            </w:r>
            <w:r>
              <w:rPr>
                <w:b/>
                <w:bCs/>
                <w:sz w:val="20"/>
                <w:szCs w:val="20"/>
              </w:rPr>
              <w:t>3</w:t>
            </w:r>
          </w:p>
        </w:tc>
        <w:tc>
          <w:tcPr>
            <w:tcW w:w="0" w:type="auto"/>
            <w:noWrap/>
            <w:vAlign w:val="bottom"/>
            <w:hideMark/>
          </w:tcPr>
          <w:p w14:paraId="4B33785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09C5D1A"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59AC6A7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67D1DAA" w14:textId="77777777" w:rsidR="00000000" w:rsidRDefault="003A1B5D">
            <w:pPr>
              <w:pStyle w:val="a3"/>
              <w:spacing w:before="0" w:beforeAutospacing="0" w:after="0" w:afterAutospacing="0"/>
              <w:jc w:val="right"/>
              <w:rPr>
                <w:sz w:val="20"/>
                <w:szCs w:val="20"/>
              </w:rPr>
            </w:pPr>
            <w:r>
              <w:rPr>
                <w:sz w:val="20"/>
                <w:szCs w:val="20"/>
              </w:rPr>
              <w:t>39,60</w:t>
            </w:r>
            <w:r>
              <w:rPr>
                <w:sz w:val="20"/>
                <w:szCs w:val="20"/>
              </w:rPr>
              <w:t>4</w:t>
            </w:r>
          </w:p>
        </w:tc>
        <w:tc>
          <w:tcPr>
            <w:tcW w:w="0" w:type="auto"/>
            <w:noWrap/>
            <w:vAlign w:val="bottom"/>
            <w:hideMark/>
          </w:tcPr>
          <w:p w14:paraId="48E7D2B5" w14:textId="77777777" w:rsidR="00000000" w:rsidRDefault="003A1B5D">
            <w:pPr>
              <w:pStyle w:val="a3"/>
              <w:spacing w:before="0" w:beforeAutospacing="0" w:after="0" w:afterAutospacing="0"/>
              <w:rPr>
                <w:sz w:val="20"/>
                <w:szCs w:val="20"/>
              </w:rPr>
            </w:pPr>
            <w:r>
              <w:rPr>
                <w:sz w:val="20"/>
                <w:szCs w:val="20"/>
              </w:rPr>
              <w:t> </w:t>
            </w:r>
          </w:p>
        </w:tc>
      </w:tr>
      <w:tr w:rsidR="00000000" w14:paraId="3FEEBBEA" w14:textId="77777777">
        <w:trPr>
          <w:divId w:val="1833179165"/>
          <w:trHeight w:val="200"/>
          <w:tblCellSpacing w:w="15" w:type="dxa"/>
        </w:trPr>
        <w:tc>
          <w:tcPr>
            <w:tcW w:w="0" w:type="auto"/>
            <w:hideMark/>
          </w:tcPr>
          <w:p w14:paraId="78961C6F" w14:textId="77777777" w:rsidR="00000000" w:rsidRDefault="003A1B5D">
            <w:pPr>
              <w:pStyle w:val="a3"/>
              <w:spacing w:before="0" w:beforeAutospacing="0" w:after="0" w:afterAutospacing="0"/>
              <w:rPr>
                <w:sz w:val="20"/>
                <w:szCs w:val="20"/>
              </w:rPr>
            </w:pPr>
            <w:r>
              <w:rPr>
                <w:sz w:val="20"/>
                <w:szCs w:val="20"/>
              </w:rPr>
              <w:t>Total facility net operating incom</w:t>
            </w:r>
            <w:r>
              <w:rPr>
                <w:sz w:val="20"/>
                <w:szCs w:val="20"/>
              </w:rPr>
              <w:t>e</w:t>
            </w:r>
          </w:p>
        </w:tc>
        <w:tc>
          <w:tcPr>
            <w:tcW w:w="0" w:type="auto"/>
            <w:vAlign w:val="bottom"/>
            <w:hideMark/>
          </w:tcPr>
          <w:p w14:paraId="31CDB7D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C11F57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801B716" w14:textId="77777777" w:rsidR="00000000" w:rsidRDefault="003A1B5D">
            <w:pPr>
              <w:pStyle w:val="a3"/>
              <w:spacing w:before="0" w:beforeAutospacing="0" w:after="0" w:afterAutospacing="0"/>
              <w:jc w:val="right"/>
              <w:rPr>
                <w:sz w:val="20"/>
                <w:szCs w:val="20"/>
              </w:rPr>
            </w:pPr>
            <w:r>
              <w:rPr>
                <w:b/>
                <w:bCs/>
                <w:sz w:val="20"/>
                <w:szCs w:val="20"/>
              </w:rPr>
              <w:t>96,03</w:t>
            </w:r>
            <w:r>
              <w:rPr>
                <w:b/>
                <w:bCs/>
                <w:sz w:val="20"/>
                <w:szCs w:val="20"/>
              </w:rPr>
              <w:t>8</w:t>
            </w:r>
          </w:p>
        </w:tc>
        <w:tc>
          <w:tcPr>
            <w:tcW w:w="0" w:type="auto"/>
            <w:noWrap/>
            <w:vAlign w:val="bottom"/>
            <w:hideMark/>
          </w:tcPr>
          <w:p w14:paraId="14D981F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75B9254"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0F09AA2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0D1B44D" w14:textId="77777777" w:rsidR="00000000" w:rsidRDefault="003A1B5D">
            <w:pPr>
              <w:pStyle w:val="a3"/>
              <w:spacing w:before="0" w:beforeAutospacing="0" w:after="0" w:afterAutospacing="0"/>
              <w:jc w:val="right"/>
              <w:rPr>
                <w:sz w:val="20"/>
                <w:szCs w:val="20"/>
              </w:rPr>
            </w:pPr>
            <w:r>
              <w:rPr>
                <w:sz w:val="20"/>
                <w:szCs w:val="20"/>
              </w:rPr>
              <w:t>132,91</w:t>
            </w:r>
            <w:r>
              <w:rPr>
                <w:sz w:val="20"/>
                <w:szCs w:val="20"/>
              </w:rPr>
              <w:t>8</w:t>
            </w:r>
          </w:p>
        </w:tc>
        <w:tc>
          <w:tcPr>
            <w:tcW w:w="0" w:type="auto"/>
            <w:noWrap/>
            <w:vAlign w:val="bottom"/>
            <w:hideMark/>
          </w:tcPr>
          <w:p w14:paraId="07FE937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C6B02A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050E91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B0BE109" w14:textId="77777777" w:rsidR="00000000" w:rsidRDefault="003A1B5D">
            <w:pPr>
              <w:pStyle w:val="a3"/>
              <w:spacing w:before="0" w:beforeAutospacing="0" w:after="0" w:afterAutospacing="0"/>
              <w:jc w:val="right"/>
              <w:rPr>
                <w:sz w:val="20"/>
                <w:szCs w:val="20"/>
              </w:rPr>
            </w:pPr>
            <w:r>
              <w:rPr>
                <w:b/>
                <w:bCs/>
                <w:sz w:val="20"/>
                <w:szCs w:val="20"/>
              </w:rPr>
              <w:t>312,19</w:t>
            </w:r>
            <w:r>
              <w:rPr>
                <w:b/>
                <w:bCs/>
                <w:sz w:val="20"/>
                <w:szCs w:val="20"/>
              </w:rPr>
              <w:t>7</w:t>
            </w:r>
          </w:p>
        </w:tc>
        <w:tc>
          <w:tcPr>
            <w:tcW w:w="0" w:type="auto"/>
            <w:noWrap/>
            <w:vAlign w:val="bottom"/>
            <w:hideMark/>
          </w:tcPr>
          <w:p w14:paraId="11C51ED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23DE338"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2B42BA8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9F9B491" w14:textId="77777777" w:rsidR="00000000" w:rsidRDefault="003A1B5D">
            <w:pPr>
              <w:pStyle w:val="a3"/>
              <w:spacing w:before="0" w:beforeAutospacing="0" w:after="0" w:afterAutospacing="0"/>
              <w:jc w:val="right"/>
              <w:rPr>
                <w:sz w:val="20"/>
                <w:szCs w:val="20"/>
              </w:rPr>
            </w:pPr>
            <w:r>
              <w:rPr>
                <w:sz w:val="20"/>
                <w:szCs w:val="20"/>
              </w:rPr>
              <w:t>386,36</w:t>
            </w:r>
            <w:r>
              <w:rPr>
                <w:sz w:val="20"/>
                <w:szCs w:val="20"/>
              </w:rPr>
              <w:t>8</w:t>
            </w:r>
          </w:p>
        </w:tc>
        <w:tc>
          <w:tcPr>
            <w:tcW w:w="0" w:type="auto"/>
            <w:noWrap/>
            <w:vAlign w:val="bottom"/>
            <w:hideMark/>
          </w:tcPr>
          <w:p w14:paraId="3B90E004" w14:textId="77777777" w:rsidR="00000000" w:rsidRDefault="003A1B5D">
            <w:pPr>
              <w:pStyle w:val="a3"/>
              <w:spacing w:before="0" w:beforeAutospacing="0" w:after="0" w:afterAutospacing="0"/>
              <w:rPr>
                <w:sz w:val="20"/>
                <w:szCs w:val="20"/>
              </w:rPr>
            </w:pPr>
            <w:r>
              <w:rPr>
                <w:sz w:val="20"/>
                <w:szCs w:val="20"/>
              </w:rPr>
              <w:t> </w:t>
            </w:r>
          </w:p>
        </w:tc>
      </w:tr>
      <w:tr w:rsidR="00000000" w14:paraId="38E96736" w14:textId="77777777">
        <w:trPr>
          <w:divId w:val="1833179165"/>
          <w:trHeight w:val="200"/>
          <w:tblCellSpacing w:w="15" w:type="dxa"/>
        </w:trPr>
        <w:tc>
          <w:tcPr>
            <w:tcW w:w="0" w:type="auto"/>
            <w:hideMark/>
          </w:tcPr>
          <w:p w14:paraId="44ABDE45" w14:textId="77777777" w:rsidR="00000000" w:rsidRDefault="003A1B5D">
            <w:pPr>
              <w:pStyle w:val="a3"/>
              <w:spacing w:before="0" w:beforeAutospacing="0" w:after="0" w:afterAutospacing="0"/>
              <w:rPr>
                <w:sz w:val="20"/>
                <w:szCs w:val="20"/>
              </w:rPr>
            </w:pPr>
            <w:r>
              <w:rPr>
                <w:sz w:val="20"/>
                <w:szCs w:val="20"/>
              </w:rPr>
              <w:t>Other revenue (expense)</w:t>
            </w:r>
            <w:r>
              <w:rPr>
                <w:sz w:val="20"/>
                <w:szCs w:val="20"/>
              </w:rPr>
              <w:t>:</w:t>
            </w:r>
          </w:p>
        </w:tc>
        <w:tc>
          <w:tcPr>
            <w:tcW w:w="0" w:type="auto"/>
            <w:vAlign w:val="bottom"/>
            <w:hideMark/>
          </w:tcPr>
          <w:p w14:paraId="107AC3E0"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50B934CD"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6C2B80CD"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BF91AA1" w14:textId="77777777" w:rsidR="00000000" w:rsidRDefault="003A1B5D">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7E7F6A87"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7926A74A"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AECB199"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45663431"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7CED0E12"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D41B350" w14:textId="77777777" w:rsidR="00000000" w:rsidRDefault="003A1B5D">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4C88D7C2"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38CA0332" w14:textId="77777777" w:rsidR="00000000" w:rsidRDefault="003A1B5D">
            <w:pPr>
              <w:pStyle w:val="a3"/>
              <w:spacing w:before="0" w:beforeAutospacing="0" w:after="0" w:afterAutospacing="0"/>
              <w:jc w:val="right"/>
              <w:rPr>
                <w:sz w:val="20"/>
                <w:szCs w:val="20"/>
              </w:rPr>
            </w:pPr>
            <w:r>
              <w:rPr>
                <w:sz w:val="20"/>
                <w:szCs w:val="20"/>
              </w:rPr>
              <w:t> </w:t>
            </w:r>
          </w:p>
        </w:tc>
      </w:tr>
      <w:tr w:rsidR="00000000" w14:paraId="300BD393" w14:textId="77777777">
        <w:trPr>
          <w:divId w:val="1833179165"/>
          <w:trHeight w:val="200"/>
          <w:tblCellSpacing w:w="15" w:type="dxa"/>
        </w:trPr>
        <w:tc>
          <w:tcPr>
            <w:tcW w:w="0" w:type="auto"/>
            <w:hideMark/>
          </w:tcPr>
          <w:p w14:paraId="6D29587C" w14:textId="77777777" w:rsidR="00000000" w:rsidRDefault="003A1B5D">
            <w:pPr>
              <w:pStyle w:val="a3"/>
              <w:spacing w:before="0" w:beforeAutospacing="0" w:after="0" w:afterAutospacing="0"/>
              <w:ind w:left="200"/>
              <w:rPr>
                <w:sz w:val="20"/>
                <w:szCs w:val="20"/>
              </w:rPr>
            </w:pPr>
            <w:r>
              <w:rPr>
                <w:sz w:val="20"/>
                <w:szCs w:val="20"/>
              </w:rPr>
              <w:t>Other revenu</w:t>
            </w:r>
            <w:r>
              <w:rPr>
                <w:sz w:val="20"/>
                <w:szCs w:val="20"/>
              </w:rPr>
              <w:t>e</w:t>
            </w:r>
          </w:p>
        </w:tc>
        <w:tc>
          <w:tcPr>
            <w:tcW w:w="0" w:type="auto"/>
            <w:vAlign w:val="bottom"/>
            <w:hideMark/>
          </w:tcPr>
          <w:p w14:paraId="66346D0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447999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9DCB702" w14:textId="77777777" w:rsidR="00000000" w:rsidRDefault="003A1B5D">
            <w:pPr>
              <w:pStyle w:val="a3"/>
              <w:spacing w:before="0" w:beforeAutospacing="0" w:after="0" w:afterAutospacing="0"/>
              <w:jc w:val="right"/>
              <w:rPr>
                <w:sz w:val="20"/>
                <w:szCs w:val="20"/>
              </w:rPr>
            </w:pPr>
            <w:r>
              <w:rPr>
                <w:b/>
                <w:bCs/>
                <w:sz w:val="20"/>
                <w:szCs w:val="20"/>
              </w:rPr>
              <w:t>5</w:t>
            </w:r>
            <w:r>
              <w:rPr>
                <w:b/>
                <w:bCs/>
                <w:sz w:val="20"/>
                <w:szCs w:val="20"/>
              </w:rPr>
              <w:t>9</w:t>
            </w:r>
          </w:p>
        </w:tc>
        <w:tc>
          <w:tcPr>
            <w:tcW w:w="0" w:type="auto"/>
            <w:noWrap/>
            <w:vAlign w:val="bottom"/>
            <w:hideMark/>
          </w:tcPr>
          <w:p w14:paraId="3365B08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F32EF7B"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401A2ED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78453FC" w14:textId="77777777" w:rsidR="00000000" w:rsidRDefault="003A1B5D">
            <w:pPr>
              <w:pStyle w:val="a3"/>
              <w:spacing w:before="0" w:beforeAutospacing="0" w:after="0" w:afterAutospacing="0"/>
              <w:jc w:val="right"/>
              <w:rPr>
                <w:sz w:val="20"/>
                <w:szCs w:val="20"/>
              </w:rPr>
            </w:pPr>
            <w:r>
              <w:rPr>
                <w:sz w:val="20"/>
                <w:szCs w:val="20"/>
              </w:rPr>
              <w:t>18</w:t>
            </w:r>
            <w:r>
              <w:rPr>
                <w:sz w:val="20"/>
                <w:szCs w:val="20"/>
              </w:rPr>
              <w:t>5</w:t>
            </w:r>
          </w:p>
        </w:tc>
        <w:tc>
          <w:tcPr>
            <w:tcW w:w="0" w:type="auto"/>
            <w:noWrap/>
            <w:vAlign w:val="bottom"/>
            <w:hideMark/>
          </w:tcPr>
          <w:p w14:paraId="3A96CEE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68B498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890BE4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3E145ED" w14:textId="77777777" w:rsidR="00000000" w:rsidRDefault="003A1B5D">
            <w:pPr>
              <w:pStyle w:val="a3"/>
              <w:spacing w:before="0" w:beforeAutospacing="0" w:after="0" w:afterAutospacing="0"/>
              <w:jc w:val="right"/>
              <w:rPr>
                <w:sz w:val="20"/>
                <w:szCs w:val="20"/>
              </w:rPr>
            </w:pPr>
            <w:r>
              <w:rPr>
                <w:b/>
                <w:bCs/>
                <w:sz w:val="20"/>
                <w:szCs w:val="20"/>
              </w:rPr>
              <w:t>13</w:t>
            </w:r>
            <w:r>
              <w:rPr>
                <w:b/>
                <w:bCs/>
                <w:sz w:val="20"/>
                <w:szCs w:val="20"/>
              </w:rPr>
              <w:t>5</w:t>
            </w:r>
          </w:p>
        </w:tc>
        <w:tc>
          <w:tcPr>
            <w:tcW w:w="0" w:type="auto"/>
            <w:noWrap/>
            <w:vAlign w:val="bottom"/>
            <w:hideMark/>
          </w:tcPr>
          <w:p w14:paraId="4444402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95F0F90"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1EE4BB8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7FB67C3" w14:textId="77777777" w:rsidR="00000000" w:rsidRDefault="003A1B5D">
            <w:pPr>
              <w:pStyle w:val="a3"/>
              <w:spacing w:before="0" w:beforeAutospacing="0" w:after="0" w:afterAutospacing="0"/>
              <w:jc w:val="right"/>
              <w:rPr>
                <w:sz w:val="20"/>
                <w:szCs w:val="20"/>
              </w:rPr>
            </w:pPr>
            <w:r>
              <w:rPr>
                <w:sz w:val="20"/>
                <w:szCs w:val="20"/>
              </w:rPr>
              <w:t>25</w:t>
            </w:r>
            <w:r>
              <w:rPr>
                <w:sz w:val="20"/>
                <w:szCs w:val="20"/>
              </w:rPr>
              <w:t>1</w:t>
            </w:r>
          </w:p>
        </w:tc>
        <w:tc>
          <w:tcPr>
            <w:tcW w:w="0" w:type="auto"/>
            <w:noWrap/>
            <w:vAlign w:val="bottom"/>
            <w:hideMark/>
          </w:tcPr>
          <w:p w14:paraId="12C87A63" w14:textId="77777777" w:rsidR="00000000" w:rsidRDefault="003A1B5D">
            <w:pPr>
              <w:pStyle w:val="a3"/>
              <w:spacing w:before="0" w:beforeAutospacing="0" w:after="0" w:afterAutospacing="0"/>
              <w:rPr>
                <w:sz w:val="20"/>
                <w:szCs w:val="20"/>
              </w:rPr>
            </w:pPr>
            <w:r>
              <w:rPr>
                <w:sz w:val="20"/>
                <w:szCs w:val="20"/>
              </w:rPr>
              <w:t> </w:t>
            </w:r>
          </w:p>
        </w:tc>
      </w:tr>
      <w:tr w:rsidR="00000000" w14:paraId="18697DB2" w14:textId="77777777">
        <w:trPr>
          <w:divId w:val="1833179165"/>
          <w:trHeight w:val="200"/>
          <w:tblCellSpacing w:w="15" w:type="dxa"/>
        </w:trPr>
        <w:tc>
          <w:tcPr>
            <w:tcW w:w="0" w:type="auto"/>
            <w:hideMark/>
          </w:tcPr>
          <w:p w14:paraId="50C07D4D" w14:textId="77777777" w:rsidR="00000000" w:rsidRDefault="003A1B5D">
            <w:pPr>
              <w:pStyle w:val="a3"/>
              <w:spacing w:before="0" w:beforeAutospacing="0" w:after="0" w:afterAutospacing="0"/>
              <w:ind w:left="200"/>
              <w:rPr>
                <w:sz w:val="20"/>
                <w:szCs w:val="20"/>
              </w:rPr>
            </w:pPr>
            <w:r>
              <w:rPr>
                <w:sz w:val="20"/>
                <w:szCs w:val="20"/>
              </w:rPr>
              <w:t>Other operating expens</w:t>
            </w:r>
            <w:r>
              <w:rPr>
                <w:sz w:val="20"/>
                <w:szCs w:val="20"/>
              </w:rPr>
              <w:t>e</w:t>
            </w:r>
          </w:p>
        </w:tc>
        <w:tc>
          <w:tcPr>
            <w:tcW w:w="0" w:type="auto"/>
            <w:vAlign w:val="bottom"/>
            <w:hideMark/>
          </w:tcPr>
          <w:p w14:paraId="0393D71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9AEE78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5F49736"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8</w:t>
            </w:r>
            <w:r>
              <w:rPr>
                <w:b/>
                <w:bCs/>
                <w:sz w:val="20"/>
                <w:szCs w:val="20"/>
              </w:rPr>
              <w:t>0</w:t>
            </w:r>
          </w:p>
        </w:tc>
        <w:tc>
          <w:tcPr>
            <w:tcW w:w="0" w:type="auto"/>
            <w:noWrap/>
            <w:vAlign w:val="bottom"/>
            <w:hideMark/>
          </w:tcPr>
          <w:p w14:paraId="3359A771"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11797611"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7BB31FB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1D5DDB9" w14:textId="77777777" w:rsidR="00000000" w:rsidRDefault="003A1B5D">
            <w:pPr>
              <w:pStyle w:val="a3"/>
              <w:spacing w:before="0" w:beforeAutospacing="0" w:after="0" w:afterAutospacing="0"/>
              <w:jc w:val="right"/>
              <w:rPr>
                <w:sz w:val="20"/>
                <w:szCs w:val="20"/>
              </w:rPr>
            </w:pPr>
            <w:r>
              <w:rPr>
                <w:sz w:val="20"/>
                <w:szCs w:val="20"/>
              </w:rPr>
              <w:t>(</w:t>
            </w:r>
            <w:r>
              <w:rPr>
                <w:sz w:val="20"/>
                <w:szCs w:val="20"/>
              </w:rPr>
              <w:t>10</w:t>
            </w:r>
            <w:r>
              <w:rPr>
                <w:sz w:val="20"/>
                <w:szCs w:val="20"/>
              </w:rPr>
              <w:t>1</w:t>
            </w:r>
          </w:p>
        </w:tc>
        <w:tc>
          <w:tcPr>
            <w:tcW w:w="0" w:type="auto"/>
            <w:noWrap/>
            <w:vAlign w:val="bottom"/>
            <w:hideMark/>
          </w:tcPr>
          <w:p w14:paraId="24A7B516"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50DACD4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502172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C3EFE65"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25</w:t>
            </w:r>
            <w:r>
              <w:rPr>
                <w:b/>
                <w:bCs/>
                <w:sz w:val="20"/>
                <w:szCs w:val="20"/>
              </w:rPr>
              <w:t>9</w:t>
            </w:r>
          </w:p>
        </w:tc>
        <w:tc>
          <w:tcPr>
            <w:tcW w:w="0" w:type="auto"/>
            <w:noWrap/>
            <w:vAlign w:val="bottom"/>
            <w:hideMark/>
          </w:tcPr>
          <w:p w14:paraId="47B2509E"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1ECB94D8"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0319D4F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10C1845" w14:textId="77777777" w:rsidR="00000000" w:rsidRDefault="003A1B5D">
            <w:pPr>
              <w:pStyle w:val="a3"/>
              <w:spacing w:before="0" w:beforeAutospacing="0" w:after="0" w:afterAutospacing="0"/>
              <w:jc w:val="right"/>
              <w:rPr>
                <w:sz w:val="20"/>
                <w:szCs w:val="20"/>
              </w:rPr>
            </w:pPr>
            <w:r>
              <w:rPr>
                <w:sz w:val="20"/>
                <w:szCs w:val="20"/>
              </w:rPr>
              <w:t>(</w:t>
            </w:r>
            <w:r>
              <w:rPr>
                <w:sz w:val="20"/>
                <w:szCs w:val="20"/>
              </w:rPr>
              <w:t>28</w:t>
            </w:r>
            <w:r>
              <w:rPr>
                <w:sz w:val="20"/>
                <w:szCs w:val="20"/>
              </w:rPr>
              <w:t>2</w:t>
            </w:r>
          </w:p>
        </w:tc>
        <w:tc>
          <w:tcPr>
            <w:tcW w:w="0" w:type="auto"/>
            <w:noWrap/>
            <w:vAlign w:val="bottom"/>
            <w:hideMark/>
          </w:tcPr>
          <w:p w14:paraId="180BD14F" w14:textId="77777777" w:rsidR="00000000" w:rsidRDefault="003A1B5D">
            <w:pPr>
              <w:pStyle w:val="a3"/>
              <w:spacing w:before="0" w:beforeAutospacing="0" w:after="0" w:afterAutospacing="0"/>
              <w:rPr>
                <w:sz w:val="20"/>
                <w:szCs w:val="20"/>
              </w:rPr>
            </w:pPr>
            <w:r>
              <w:rPr>
                <w:sz w:val="20"/>
                <w:szCs w:val="20"/>
              </w:rPr>
              <w:t>)</w:t>
            </w:r>
          </w:p>
        </w:tc>
      </w:tr>
      <w:tr w:rsidR="00000000" w14:paraId="3E0BF90B" w14:textId="77777777">
        <w:trPr>
          <w:divId w:val="1833179165"/>
          <w:trHeight w:val="200"/>
          <w:tblCellSpacing w:w="15" w:type="dxa"/>
        </w:trPr>
        <w:tc>
          <w:tcPr>
            <w:tcW w:w="0" w:type="auto"/>
            <w:hideMark/>
          </w:tcPr>
          <w:p w14:paraId="2207DFC5" w14:textId="77777777" w:rsidR="00000000" w:rsidRDefault="003A1B5D">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14:paraId="232054B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A5DF91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22AE689"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30,19</w:t>
            </w:r>
            <w:r>
              <w:rPr>
                <w:b/>
                <w:bCs/>
                <w:sz w:val="20"/>
                <w:szCs w:val="20"/>
              </w:rPr>
              <w:t>4</w:t>
            </w:r>
          </w:p>
        </w:tc>
        <w:tc>
          <w:tcPr>
            <w:tcW w:w="0" w:type="auto"/>
            <w:noWrap/>
            <w:vAlign w:val="bottom"/>
            <w:hideMark/>
          </w:tcPr>
          <w:p w14:paraId="72DB1286"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59628927"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34347B5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C6D11E5" w14:textId="77777777" w:rsidR="00000000" w:rsidRDefault="003A1B5D">
            <w:pPr>
              <w:pStyle w:val="a3"/>
              <w:spacing w:before="0" w:beforeAutospacing="0" w:after="0" w:afterAutospacing="0"/>
              <w:jc w:val="right"/>
              <w:rPr>
                <w:sz w:val="20"/>
                <w:szCs w:val="20"/>
              </w:rPr>
            </w:pPr>
            <w:r>
              <w:rPr>
                <w:sz w:val="20"/>
                <w:szCs w:val="20"/>
              </w:rPr>
              <w:t>(</w:t>
            </w:r>
            <w:r>
              <w:rPr>
                <w:sz w:val="20"/>
                <w:szCs w:val="20"/>
              </w:rPr>
              <w:t>34,60</w:t>
            </w:r>
            <w:r>
              <w:rPr>
                <w:sz w:val="20"/>
                <w:szCs w:val="20"/>
              </w:rPr>
              <w:t>0</w:t>
            </w:r>
          </w:p>
        </w:tc>
        <w:tc>
          <w:tcPr>
            <w:tcW w:w="0" w:type="auto"/>
            <w:noWrap/>
            <w:vAlign w:val="bottom"/>
            <w:hideMark/>
          </w:tcPr>
          <w:p w14:paraId="5F54751A"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461D4A6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CBC10B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5DAC26F"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92,80</w:t>
            </w:r>
            <w:r>
              <w:rPr>
                <w:b/>
                <w:bCs/>
                <w:sz w:val="20"/>
                <w:szCs w:val="20"/>
              </w:rPr>
              <w:t>8</w:t>
            </w:r>
          </w:p>
        </w:tc>
        <w:tc>
          <w:tcPr>
            <w:tcW w:w="0" w:type="auto"/>
            <w:noWrap/>
            <w:vAlign w:val="bottom"/>
            <w:hideMark/>
          </w:tcPr>
          <w:p w14:paraId="3461D067"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2784BC1D"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2A315CF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2C7F43A" w14:textId="77777777" w:rsidR="00000000" w:rsidRDefault="003A1B5D">
            <w:pPr>
              <w:pStyle w:val="a3"/>
              <w:spacing w:before="0" w:beforeAutospacing="0" w:after="0" w:afterAutospacing="0"/>
              <w:jc w:val="right"/>
              <w:rPr>
                <w:sz w:val="20"/>
                <w:szCs w:val="20"/>
              </w:rPr>
            </w:pPr>
            <w:r>
              <w:rPr>
                <w:sz w:val="20"/>
                <w:szCs w:val="20"/>
              </w:rPr>
              <w:t>(</w:t>
            </w:r>
            <w:r>
              <w:rPr>
                <w:sz w:val="20"/>
                <w:szCs w:val="20"/>
              </w:rPr>
              <w:t>97,35</w:t>
            </w:r>
            <w:r>
              <w:rPr>
                <w:sz w:val="20"/>
                <w:szCs w:val="20"/>
              </w:rPr>
              <w:t>8</w:t>
            </w:r>
          </w:p>
        </w:tc>
        <w:tc>
          <w:tcPr>
            <w:tcW w:w="0" w:type="auto"/>
            <w:noWrap/>
            <w:vAlign w:val="bottom"/>
            <w:hideMark/>
          </w:tcPr>
          <w:p w14:paraId="0BF12B04" w14:textId="77777777" w:rsidR="00000000" w:rsidRDefault="003A1B5D">
            <w:pPr>
              <w:pStyle w:val="a3"/>
              <w:spacing w:before="0" w:beforeAutospacing="0" w:after="0" w:afterAutospacing="0"/>
              <w:rPr>
                <w:sz w:val="20"/>
                <w:szCs w:val="20"/>
              </w:rPr>
            </w:pPr>
            <w:r>
              <w:rPr>
                <w:sz w:val="20"/>
                <w:szCs w:val="20"/>
              </w:rPr>
              <w:t>)</w:t>
            </w:r>
          </w:p>
        </w:tc>
      </w:tr>
      <w:tr w:rsidR="00000000" w14:paraId="3D38618E" w14:textId="77777777">
        <w:trPr>
          <w:divId w:val="1833179165"/>
          <w:trHeight w:val="200"/>
          <w:tblCellSpacing w:w="15" w:type="dxa"/>
        </w:trPr>
        <w:tc>
          <w:tcPr>
            <w:tcW w:w="0" w:type="auto"/>
            <w:hideMark/>
          </w:tcPr>
          <w:p w14:paraId="6C5DE480" w14:textId="77777777" w:rsidR="00000000" w:rsidRDefault="003A1B5D">
            <w:pPr>
              <w:pStyle w:val="a3"/>
              <w:spacing w:before="0" w:beforeAutospacing="0" w:after="0" w:afterAutospacing="0"/>
              <w:ind w:left="200"/>
              <w:rPr>
                <w:sz w:val="20"/>
                <w:szCs w:val="20"/>
              </w:rPr>
            </w:pPr>
            <w:r>
              <w:rPr>
                <w:sz w:val="20"/>
                <w:szCs w:val="20"/>
              </w:rPr>
              <w:t>Depreciation and amortizatio</w:t>
            </w:r>
            <w:r>
              <w:rPr>
                <w:sz w:val="20"/>
                <w:szCs w:val="20"/>
              </w:rPr>
              <w:t>n</w:t>
            </w:r>
          </w:p>
        </w:tc>
        <w:tc>
          <w:tcPr>
            <w:tcW w:w="0" w:type="auto"/>
            <w:vAlign w:val="bottom"/>
            <w:hideMark/>
          </w:tcPr>
          <w:p w14:paraId="6913E39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B0F9AB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0AFE793"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31,93</w:t>
            </w:r>
            <w:r>
              <w:rPr>
                <w:b/>
                <w:bCs/>
                <w:sz w:val="20"/>
                <w:szCs w:val="20"/>
              </w:rPr>
              <w:t>1</w:t>
            </w:r>
          </w:p>
        </w:tc>
        <w:tc>
          <w:tcPr>
            <w:tcW w:w="0" w:type="auto"/>
            <w:noWrap/>
            <w:vAlign w:val="bottom"/>
            <w:hideMark/>
          </w:tcPr>
          <w:p w14:paraId="5753E4F7"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4883CD84"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03702F7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1DA0BBA" w14:textId="77777777" w:rsidR="00000000" w:rsidRDefault="003A1B5D">
            <w:pPr>
              <w:pStyle w:val="a3"/>
              <w:spacing w:before="0" w:beforeAutospacing="0" w:after="0" w:afterAutospacing="0"/>
              <w:jc w:val="right"/>
              <w:rPr>
                <w:sz w:val="20"/>
                <w:szCs w:val="20"/>
              </w:rPr>
            </w:pPr>
            <w:r>
              <w:rPr>
                <w:sz w:val="20"/>
                <w:szCs w:val="20"/>
              </w:rPr>
              <w:t>(</w:t>
            </w:r>
            <w:r>
              <w:rPr>
                <w:sz w:val="20"/>
                <w:szCs w:val="20"/>
              </w:rPr>
              <w:t>33,99</w:t>
            </w:r>
            <w:r>
              <w:rPr>
                <w:sz w:val="20"/>
                <w:szCs w:val="20"/>
              </w:rPr>
              <w:t>1</w:t>
            </w:r>
          </w:p>
        </w:tc>
        <w:tc>
          <w:tcPr>
            <w:tcW w:w="0" w:type="auto"/>
            <w:noWrap/>
            <w:vAlign w:val="bottom"/>
            <w:hideMark/>
          </w:tcPr>
          <w:p w14:paraId="25009F16"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23E3D18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5EA244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27E716A"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96,21</w:t>
            </w:r>
            <w:r>
              <w:rPr>
                <w:b/>
                <w:bCs/>
                <w:sz w:val="20"/>
                <w:szCs w:val="20"/>
              </w:rPr>
              <w:t>8</w:t>
            </w:r>
          </w:p>
        </w:tc>
        <w:tc>
          <w:tcPr>
            <w:tcW w:w="0" w:type="auto"/>
            <w:noWrap/>
            <w:vAlign w:val="bottom"/>
            <w:hideMark/>
          </w:tcPr>
          <w:p w14:paraId="37D1BD36"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045481F5"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390A567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CA3F17D" w14:textId="77777777" w:rsidR="00000000" w:rsidRDefault="003A1B5D">
            <w:pPr>
              <w:pStyle w:val="a3"/>
              <w:spacing w:before="0" w:beforeAutospacing="0" w:after="0" w:afterAutospacing="0"/>
              <w:jc w:val="right"/>
              <w:rPr>
                <w:sz w:val="20"/>
                <w:szCs w:val="20"/>
              </w:rPr>
            </w:pPr>
            <w:r>
              <w:rPr>
                <w:sz w:val="20"/>
                <w:szCs w:val="20"/>
              </w:rPr>
              <w:t>(</w:t>
            </w:r>
            <w:r>
              <w:rPr>
                <w:sz w:val="20"/>
                <w:szCs w:val="20"/>
              </w:rPr>
              <w:t>100,78</w:t>
            </w:r>
            <w:r>
              <w:rPr>
                <w:sz w:val="20"/>
                <w:szCs w:val="20"/>
              </w:rPr>
              <w:t>7</w:t>
            </w:r>
          </w:p>
        </w:tc>
        <w:tc>
          <w:tcPr>
            <w:tcW w:w="0" w:type="auto"/>
            <w:noWrap/>
            <w:vAlign w:val="bottom"/>
            <w:hideMark/>
          </w:tcPr>
          <w:p w14:paraId="18743595" w14:textId="77777777" w:rsidR="00000000" w:rsidRDefault="003A1B5D">
            <w:pPr>
              <w:pStyle w:val="a3"/>
              <w:spacing w:before="0" w:beforeAutospacing="0" w:after="0" w:afterAutospacing="0"/>
              <w:rPr>
                <w:sz w:val="20"/>
                <w:szCs w:val="20"/>
              </w:rPr>
            </w:pPr>
            <w:r>
              <w:rPr>
                <w:sz w:val="20"/>
                <w:szCs w:val="20"/>
              </w:rPr>
              <w:t>)</w:t>
            </w:r>
          </w:p>
        </w:tc>
      </w:tr>
      <w:tr w:rsidR="00000000" w14:paraId="040195CA" w14:textId="77777777">
        <w:trPr>
          <w:divId w:val="1833179165"/>
          <w:trHeight w:val="200"/>
          <w:tblCellSpacing w:w="15" w:type="dxa"/>
        </w:trPr>
        <w:tc>
          <w:tcPr>
            <w:tcW w:w="0" w:type="auto"/>
            <w:hideMark/>
          </w:tcPr>
          <w:p w14:paraId="370368EA" w14:textId="77777777" w:rsidR="00000000" w:rsidRDefault="003A1B5D">
            <w:pPr>
              <w:pStyle w:val="a3"/>
              <w:spacing w:before="0" w:beforeAutospacing="0" w:after="0" w:afterAutospacing="0"/>
              <w:ind w:left="200"/>
              <w:rPr>
                <w:sz w:val="20"/>
                <w:szCs w:val="20"/>
              </w:rPr>
            </w:pPr>
            <w:r>
              <w:rPr>
                <w:sz w:val="20"/>
                <w:szCs w:val="20"/>
              </w:rPr>
              <w:t>Shareholder litigation expens</w:t>
            </w:r>
            <w:r>
              <w:rPr>
                <w:sz w:val="20"/>
                <w:szCs w:val="20"/>
              </w:rPr>
              <w:t>e</w:t>
            </w:r>
          </w:p>
        </w:tc>
        <w:tc>
          <w:tcPr>
            <w:tcW w:w="0" w:type="auto"/>
            <w:vAlign w:val="bottom"/>
            <w:hideMark/>
          </w:tcPr>
          <w:p w14:paraId="18DCBB2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705122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896181E" w14:textId="77777777" w:rsidR="00000000" w:rsidRDefault="003A1B5D">
            <w:pPr>
              <w:pStyle w:val="a3"/>
              <w:spacing w:before="0" w:beforeAutospacing="0" w:after="0" w:afterAutospacing="0"/>
              <w:jc w:val="right"/>
              <w:rPr>
                <w:sz w:val="20"/>
                <w:szCs w:val="20"/>
              </w:rPr>
            </w:pPr>
            <w:r>
              <w:rPr>
                <w:b/>
                <w:bCs/>
                <w:sz w:val="20"/>
                <w:szCs w:val="20"/>
              </w:rPr>
              <w:t>—</w:t>
            </w:r>
          </w:p>
        </w:tc>
        <w:tc>
          <w:tcPr>
            <w:tcW w:w="0" w:type="auto"/>
            <w:noWrap/>
            <w:vAlign w:val="bottom"/>
            <w:hideMark/>
          </w:tcPr>
          <w:p w14:paraId="4128085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7D502D1"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01D9E68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F6D2096"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3887CAA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C77117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EE5A1B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A7934F5"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1,90</w:t>
            </w:r>
            <w:r>
              <w:rPr>
                <w:b/>
                <w:bCs/>
                <w:sz w:val="20"/>
                <w:szCs w:val="20"/>
              </w:rPr>
              <w:t>0</w:t>
            </w:r>
          </w:p>
        </w:tc>
        <w:tc>
          <w:tcPr>
            <w:tcW w:w="0" w:type="auto"/>
            <w:noWrap/>
            <w:vAlign w:val="bottom"/>
            <w:hideMark/>
          </w:tcPr>
          <w:p w14:paraId="36F1682E"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63689FF"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5558DAF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CD4518D" w14:textId="77777777" w:rsidR="00000000" w:rsidRDefault="003A1B5D">
            <w:pPr>
              <w:pStyle w:val="a3"/>
              <w:spacing w:before="0" w:beforeAutospacing="0" w:after="0" w:afterAutospacing="0"/>
              <w:jc w:val="right"/>
              <w:rPr>
                <w:sz w:val="20"/>
                <w:szCs w:val="20"/>
              </w:rPr>
            </w:pPr>
            <w:r>
              <w:rPr>
                <w:sz w:val="20"/>
                <w:szCs w:val="20"/>
              </w:rPr>
              <w:t>(</w:t>
            </w:r>
            <w:r>
              <w:rPr>
                <w:sz w:val="20"/>
                <w:szCs w:val="20"/>
              </w:rPr>
              <w:t>54,29</w:t>
            </w:r>
            <w:r>
              <w:rPr>
                <w:sz w:val="20"/>
                <w:szCs w:val="20"/>
              </w:rPr>
              <w:t>5</w:t>
            </w:r>
          </w:p>
        </w:tc>
        <w:tc>
          <w:tcPr>
            <w:tcW w:w="0" w:type="auto"/>
            <w:noWrap/>
            <w:vAlign w:val="bottom"/>
            <w:hideMark/>
          </w:tcPr>
          <w:p w14:paraId="08496DAF" w14:textId="77777777" w:rsidR="00000000" w:rsidRDefault="003A1B5D">
            <w:pPr>
              <w:pStyle w:val="a3"/>
              <w:spacing w:before="0" w:beforeAutospacing="0" w:after="0" w:afterAutospacing="0"/>
              <w:rPr>
                <w:sz w:val="20"/>
                <w:szCs w:val="20"/>
              </w:rPr>
            </w:pPr>
            <w:r>
              <w:rPr>
                <w:sz w:val="20"/>
                <w:szCs w:val="20"/>
              </w:rPr>
              <w:t>)</w:t>
            </w:r>
          </w:p>
        </w:tc>
      </w:tr>
      <w:tr w:rsidR="00000000" w14:paraId="553CEFEC" w14:textId="77777777">
        <w:trPr>
          <w:divId w:val="1833179165"/>
          <w:trHeight w:val="200"/>
          <w:tblCellSpacing w:w="15" w:type="dxa"/>
        </w:trPr>
        <w:tc>
          <w:tcPr>
            <w:tcW w:w="0" w:type="auto"/>
            <w:hideMark/>
          </w:tcPr>
          <w:p w14:paraId="4BDC173C" w14:textId="77777777" w:rsidR="00000000" w:rsidRDefault="003A1B5D">
            <w:pPr>
              <w:pStyle w:val="a3"/>
              <w:spacing w:before="0" w:beforeAutospacing="0" w:after="0" w:afterAutospacing="0"/>
              <w:ind w:left="200"/>
              <w:rPr>
                <w:sz w:val="20"/>
                <w:szCs w:val="20"/>
              </w:rPr>
            </w:pPr>
            <w:r>
              <w:rPr>
                <w:sz w:val="20"/>
                <w:szCs w:val="20"/>
              </w:rPr>
              <w:t>Asset impairment</w:t>
            </w:r>
            <w:r>
              <w:rPr>
                <w:sz w:val="20"/>
                <w:szCs w:val="20"/>
              </w:rPr>
              <w:t>s</w:t>
            </w:r>
          </w:p>
        </w:tc>
        <w:tc>
          <w:tcPr>
            <w:tcW w:w="0" w:type="auto"/>
            <w:vAlign w:val="bottom"/>
            <w:hideMark/>
          </w:tcPr>
          <w:p w14:paraId="5574431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83FCC6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292A5CC"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3,51</w:t>
            </w:r>
            <w:r>
              <w:rPr>
                <w:b/>
                <w:bCs/>
                <w:sz w:val="20"/>
                <w:szCs w:val="20"/>
              </w:rPr>
              <w:t>3</w:t>
            </w:r>
          </w:p>
        </w:tc>
        <w:tc>
          <w:tcPr>
            <w:tcW w:w="0" w:type="auto"/>
            <w:noWrap/>
            <w:vAlign w:val="bottom"/>
            <w:hideMark/>
          </w:tcPr>
          <w:p w14:paraId="7EEF7D64"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44AA4FF3"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54CA096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5D76C03" w14:textId="77777777" w:rsidR="00000000" w:rsidRDefault="003A1B5D">
            <w:pPr>
              <w:pStyle w:val="a3"/>
              <w:spacing w:before="0" w:beforeAutospacing="0" w:after="0" w:afterAutospacing="0"/>
              <w:jc w:val="right"/>
              <w:rPr>
                <w:sz w:val="20"/>
                <w:szCs w:val="20"/>
              </w:rPr>
            </w:pPr>
            <w:r>
              <w:rPr>
                <w:sz w:val="20"/>
                <w:szCs w:val="20"/>
              </w:rPr>
              <w:t>(</w:t>
            </w:r>
            <w:r>
              <w:rPr>
                <w:sz w:val="20"/>
                <w:szCs w:val="20"/>
              </w:rPr>
              <w:t>5,17</w:t>
            </w:r>
            <w:r>
              <w:rPr>
                <w:sz w:val="20"/>
                <w:szCs w:val="20"/>
              </w:rPr>
              <w:t>7</w:t>
            </w:r>
          </w:p>
        </w:tc>
        <w:tc>
          <w:tcPr>
            <w:tcW w:w="0" w:type="auto"/>
            <w:noWrap/>
            <w:vAlign w:val="bottom"/>
            <w:hideMark/>
          </w:tcPr>
          <w:p w14:paraId="1457A6C1"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01A4F0A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FB1663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3AB88F3"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3,51</w:t>
            </w:r>
            <w:r>
              <w:rPr>
                <w:b/>
                <w:bCs/>
                <w:sz w:val="20"/>
                <w:szCs w:val="20"/>
              </w:rPr>
              <w:t>3</w:t>
            </w:r>
          </w:p>
        </w:tc>
        <w:tc>
          <w:tcPr>
            <w:tcW w:w="0" w:type="auto"/>
            <w:noWrap/>
            <w:vAlign w:val="bottom"/>
            <w:hideMark/>
          </w:tcPr>
          <w:p w14:paraId="26B1BB5E"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0B6DC24B"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0CC3731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123FE65" w14:textId="77777777" w:rsidR="00000000" w:rsidRDefault="003A1B5D">
            <w:pPr>
              <w:pStyle w:val="a3"/>
              <w:spacing w:before="0" w:beforeAutospacing="0" w:after="0" w:afterAutospacing="0"/>
              <w:jc w:val="right"/>
              <w:rPr>
                <w:sz w:val="20"/>
                <w:szCs w:val="20"/>
              </w:rPr>
            </w:pPr>
            <w:r>
              <w:rPr>
                <w:sz w:val="20"/>
                <w:szCs w:val="20"/>
              </w:rPr>
              <w:t>(</w:t>
            </w:r>
            <w:r>
              <w:rPr>
                <w:sz w:val="20"/>
                <w:szCs w:val="20"/>
              </w:rPr>
              <w:t>9,35</w:t>
            </w:r>
            <w:r>
              <w:rPr>
                <w:sz w:val="20"/>
                <w:szCs w:val="20"/>
              </w:rPr>
              <w:t>1</w:t>
            </w:r>
          </w:p>
        </w:tc>
        <w:tc>
          <w:tcPr>
            <w:tcW w:w="0" w:type="auto"/>
            <w:noWrap/>
            <w:vAlign w:val="bottom"/>
            <w:hideMark/>
          </w:tcPr>
          <w:p w14:paraId="1CE340E2" w14:textId="77777777" w:rsidR="00000000" w:rsidRDefault="003A1B5D">
            <w:pPr>
              <w:pStyle w:val="a3"/>
              <w:spacing w:before="0" w:beforeAutospacing="0" w:after="0" w:afterAutospacing="0"/>
              <w:rPr>
                <w:sz w:val="20"/>
                <w:szCs w:val="20"/>
              </w:rPr>
            </w:pPr>
            <w:r>
              <w:rPr>
                <w:sz w:val="20"/>
                <w:szCs w:val="20"/>
              </w:rPr>
              <w:t>)</w:t>
            </w:r>
          </w:p>
        </w:tc>
      </w:tr>
      <w:tr w:rsidR="00000000" w14:paraId="2C0A915E" w14:textId="77777777">
        <w:trPr>
          <w:divId w:val="1833179165"/>
          <w:trHeight w:val="200"/>
          <w:tblCellSpacing w:w="15" w:type="dxa"/>
        </w:trPr>
        <w:tc>
          <w:tcPr>
            <w:tcW w:w="0" w:type="auto"/>
            <w:hideMark/>
          </w:tcPr>
          <w:p w14:paraId="1DCD1810" w14:textId="77777777" w:rsidR="00000000" w:rsidRDefault="003A1B5D">
            <w:pPr>
              <w:pStyle w:val="a3"/>
              <w:spacing w:before="0" w:beforeAutospacing="0" w:after="0" w:afterAutospacing="0"/>
              <w:ind w:left="200"/>
              <w:rPr>
                <w:sz w:val="20"/>
                <w:szCs w:val="20"/>
              </w:rPr>
            </w:pPr>
            <w:r>
              <w:rPr>
                <w:sz w:val="20"/>
                <w:szCs w:val="20"/>
              </w:rPr>
              <w:t>Interest expense, ne</w:t>
            </w:r>
            <w:r>
              <w:rPr>
                <w:sz w:val="20"/>
                <w:szCs w:val="20"/>
              </w:rPr>
              <w:t>t</w:t>
            </w:r>
          </w:p>
        </w:tc>
        <w:tc>
          <w:tcPr>
            <w:tcW w:w="0" w:type="auto"/>
            <w:vAlign w:val="bottom"/>
            <w:hideMark/>
          </w:tcPr>
          <w:p w14:paraId="6020E3C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8CFD59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842ACF9"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20,79</w:t>
            </w:r>
            <w:r>
              <w:rPr>
                <w:b/>
                <w:bCs/>
                <w:sz w:val="20"/>
                <w:szCs w:val="20"/>
              </w:rPr>
              <w:t>3</w:t>
            </w:r>
          </w:p>
        </w:tc>
        <w:tc>
          <w:tcPr>
            <w:tcW w:w="0" w:type="auto"/>
            <w:noWrap/>
            <w:vAlign w:val="bottom"/>
            <w:hideMark/>
          </w:tcPr>
          <w:p w14:paraId="00F28422"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72C3BE40"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5A669C6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D8B0A3D" w14:textId="77777777" w:rsidR="00000000" w:rsidRDefault="003A1B5D">
            <w:pPr>
              <w:pStyle w:val="a3"/>
              <w:spacing w:before="0" w:beforeAutospacing="0" w:after="0" w:afterAutospacing="0"/>
              <w:jc w:val="right"/>
              <w:rPr>
                <w:sz w:val="20"/>
                <w:szCs w:val="20"/>
              </w:rPr>
            </w:pPr>
            <w:r>
              <w:rPr>
                <w:sz w:val="20"/>
                <w:szCs w:val="20"/>
              </w:rPr>
              <w:t>(</w:t>
            </w:r>
            <w:r>
              <w:rPr>
                <w:sz w:val="20"/>
                <w:szCs w:val="20"/>
              </w:rPr>
              <w:t>20,65</w:t>
            </w:r>
            <w:r>
              <w:rPr>
                <w:sz w:val="20"/>
                <w:szCs w:val="20"/>
              </w:rPr>
              <w:t>3</w:t>
            </w:r>
          </w:p>
        </w:tc>
        <w:tc>
          <w:tcPr>
            <w:tcW w:w="0" w:type="auto"/>
            <w:noWrap/>
            <w:vAlign w:val="bottom"/>
            <w:hideMark/>
          </w:tcPr>
          <w:p w14:paraId="4A149270"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1242A91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25D4EA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09FA6E6"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65,38</w:t>
            </w:r>
            <w:r>
              <w:rPr>
                <w:b/>
                <w:bCs/>
                <w:sz w:val="20"/>
                <w:szCs w:val="20"/>
              </w:rPr>
              <w:t>1</w:t>
            </w:r>
          </w:p>
        </w:tc>
        <w:tc>
          <w:tcPr>
            <w:tcW w:w="0" w:type="auto"/>
            <w:noWrap/>
            <w:vAlign w:val="bottom"/>
            <w:hideMark/>
          </w:tcPr>
          <w:p w14:paraId="37D2A8E9"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27A6C717"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44308C0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578DE1C" w14:textId="77777777" w:rsidR="00000000" w:rsidRDefault="003A1B5D">
            <w:pPr>
              <w:pStyle w:val="a3"/>
              <w:spacing w:before="0" w:beforeAutospacing="0" w:after="0" w:afterAutospacing="0"/>
              <w:jc w:val="right"/>
              <w:rPr>
                <w:sz w:val="20"/>
                <w:szCs w:val="20"/>
              </w:rPr>
            </w:pPr>
            <w:r>
              <w:rPr>
                <w:sz w:val="20"/>
                <w:szCs w:val="20"/>
              </w:rPr>
              <w:t>(</w:t>
            </w:r>
            <w:r>
              <w:rPr>
                <w:sz w:val="20"/>
                <w:szCs w:val="20"/>
              </w:rPr>
              <w:t>62,30</w:t>
            </w:r>
            <w:r>
              <w:rPr>
                <w:sz w:val="20"/>
                <w:szCs w:val="20"/>
              </w:rPr>
              <w:t>3</w:t>
            </w:r>
          </w:p>
        </w:tc>
        <w:tc>
          <w:tcPr>
            <w:tcW w:w="0" w:type="auto"/>
            <w:noWrap/>
            <w:vAlign w:val="bottom"/>
            <w:hideMark/>
          </w:tcPr>
          <w:p w14:paraId="58ED8B6C" w14:textId="77777777" w:rsidR="00000000" w:rsidRDefault="003A1B5D">
            <w:pPr>
              <w:pStyle w:val="a3"/>
              <w:spacing w:before="0" w:beforeAutospacing="0" w:after="0" w:afterAutospacing="0"/>
              <w:rPr>
                <w:sz w:val="20"/>
                <w:szCs w:val="20"/>
              </w:rPr>
            </w:pPr>
            <w:r>
              <w:rPr>
                <w:sz w:val="20"/>
                <w:szCs w:val="20"/>
              </w:rPr>
              <w:t>)</w:t>
            </w:r>
          </w:p>
        </w:tc>
      </w:tr>
      <w:tr w:rsidR="00000000" w14:paraId="70453D11" w14:textId="77777777">
        <w:trPr>
          <w:divId w:val="1833179165"/>
          <w:trHeight w:val="200"/>
          <w:tblCellSpacing w:w="15" w:type="dxa"/>
        </w:trPr>
        <w:tc>
          <w:tcPr>
            <w:tcW w:w="0" w:type="auto"/>
            <w:hideMark/>
          </w:tcPr>
          <w:p w14:paraId="2C77828A" w14:textId="77777777" w:rsidR="00000000" w:rsidRDefault="003A1B5D">
            <w:pPr>
              <w:pStyle w:val="a3"/>
              <w:spacing w:before="0" w:beforeAutospacing="0" w:after="0" w:afterAutospacing="0"/>
              <w:ind w:left="200"/>
              <w:rPr>
                <w:sz w:val="20"/>
                <w:szCs w:val="20"/>
              </w:rPr>
            </w:pPr>
            <w:r>
              <w:rPr>
                <w:sz w:val="20"/>
                <w:szCs w:val="20"/>
              </w:rPr>
              <w:t xml:space="preserve">Expenses associated with debt repayments </w:t>
            </w:r>
            <w:r>
              <w:rPr>
                <w:sz w:val="20"/>
                <w:szCs w:val="20"/>
              </w:rPr>
              <w:br/>
              <w:t>      and refinancing transaction</w:t>
            </w:r>
            <w:r>
              <w:rPr>
                <w:sz w:val="20"/>
                <w:szCs w:val="20"/>
              </w:rPr>
              <w:t>s</w:t>
            </w:r>
          </w:p>
        </w:tc>
        <w:tc>
          <w:tcPr>
            <w:tcW w:w="0" w:type="auto"/>
            <w:vAlign w:val="bottom"/>
            <w:hideMark/>
          </w:tcPr>
          <w:p w14:paraId="7FD7B53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150951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B755CF7"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78</w:t>
            </w:r>
            <w:r>
              <w:rPr>
                <w:b/>
                <w:bCs/>
                <w:sz w:val="20"/>
                <w:szCs w:val="20"/>
              </w:rPr>
              <w:t>3</w:t>
            </w:r>
          </w:p>
        </w:tc>
        <w:tc>
          <w:tcPr>
            <w:tcW w:w="0" w:type="auto"/>
            <w:noWrap/>
            <w:vAlign w:val="bottom"/>
            <w:hideMark/>
          </w:tcPr>
          <w:p w14:paraId="407C4AFE"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7B55D540"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26E2F66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C14AF4D"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709618E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946408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726DA4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88FCD93"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7,58</w:t>
            </w:r>
            <w:r>
              <w:rPr>
                <w:b/>
                <w:bCs/>
                <w:sz w:val="20"/>
                <w:szCs w:val="20"/>
              </w:rPr>
              <w:t>8</w:t>
            </w:r>
          </w:p>
        </w:tc>
        <w:tc>
          <w:tcPr>
            <w:tcW w:w="0" w:type="auto"/>
            <w:noWrap/>
            <w:vAlign w:val="bottom"/>
            <w:hideMark/>
          </w:tcPr>
          <w:p w14:paraId="5FCE51B3"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09211CF1"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5660060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CD3B7B2" w14:textId="77777777" w:rsidR="00000000" w:rsidRDefault="003A1B5D">
            <w:pPr>
              <w:pStyle w:val="a3"/>
              <w:spacing w:before="0" w:beforeAutospacing="0" w:after="0" w:afterAutospacing="0"/>
              <w:jc w:val="right"/>
              <w:rPr>
                <w:sz w:val="20"/>
                <w:szCs w:val="20"/>
              </w:rPr>
            </w:pPr>
            <w:r>
              <w:rPr>
                <w:sz w:val="20"/>
                <w:szCs w:val="20"/>
              </w:rPr>
              <w:t>(</w:t>
            </w:r>
            <w:r>
              <w:rPr>
                <w:sz w:val="20"/>
                <w:szCs w:val="20"/>
              </w:rPr>
              <w:t>52,16</w:t>
            </w:r>
            <w:r>
              <w:rPr>
                <w:sz w:val="20"/>
                <w:szCs w:val="20"/>
              </w:rPr>
              <w:t>7</w:t>
            </w:r>
          </w:p>
        </w:tc>
        <w:tc>
          <w:tcPr>
            <w:tcW w:w="0" w:type="auto"/>
            <w:noWrap/>
            <w:vAlign w:val="bottom"/>
            <w:hideMark/>
          </w:tcPr>
          <w:p w14:paraId="213B0540" w14:textId="77777777" w:rsidR="00000000" w:rsidRDefault="003A1B5D">
            <w:pPr>
              <w:pStyle w:val="a3"/>
              <w:spacing w:before="0" w:beforeAutospacing="0" w:after="0" w:afterAutospacing="0"/>
              <w:rPr>
                <w:sz w:val="20"/>
                <w:szCs w:val="20"/>
              </w:rPr>
            </w:pPr>
            <w:r>
              <w:rPr>
                <w:sz w:val="20"/>
                <w:szCs w:val="20"/>
              </w:rPr>
              <w:t>)</w:t>
            </w:r>
          </w:p>
        </w:tc>
      </w:tr>
      <w:tr w:rsidR="00000000" w14:paraId="0BB111C2" w14:textId="77777777">
        <w:trPr>
          <w:divId w:val="1833179165"/>
          <w:trHeight w:val="200"/>
          <w:tblCellSpacing w:w="15" w:type="dxa"/>
        </w:trPr>
        <w:tc>
          <w:tcPr>
            <w:tcW w:w="0" w:type="auto"/>
            <w:hideMark/>
          </w:tcPr>
          <w:p w14:paraId="2B44A6B2" w14:textId="77777777" w:rsidR="00000000" w:rsidRDefault="003A1B5D">
            <w:pPr>
              <w:pStyle w:val="a3"/>
              <w:spacing w:before="0" w:beforeAutospacing="0" w:after="0" w:afterAutospacing="0"/>
              <w:ind w:left="200"/>
              <w:rPr>
                <w:sz w:val="20"/>
                <w:szCs w:val="20"/>
              </w:rPr>
            </w:pPr>
            <w:r>
              <w:rPr>
                <w:sz w:val="20"/>
                <w:szCs w:val="20"/>
              </w:rPr>
              <w:t>Gain on sale of real estate assets, ne</w:t>
            </w:r>
            <w:r>
              <w:rPr>
                <w:sz w:val="20"/>
                <w:szCs w:val="20"/>
              </w:rPr>
              <w:t>t</w:t>
            </w:r>
          </w:p>
        </w:tc>
        <w:tc>
          <w:tcPr>
            <w:tcW w:w="0" w:type="auto"/>
            <w:vAlign w:val="bottom"/>
            <w:hideMark/>
          </w:tcPr>
          <w:p w14:paraId="03BBB55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328605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F0490A4" w14:textId="77777777" w:rsidR="00000000" w:rsidRDefault="003A1B5D">
            <w:pPr>
              <w:pStyle w:val="a3"/>
              <w:spacing w:before="0" w:beforeAutospacing="0" w:after="0" w:afterAutospacing="0"/>
              <w:jc w:val="right"/>
              <w:rPr>
                <w:sz w:val="20"/>
                <w:szCs w:val="20"/>
              </w:rPr>
            </w:pPr>
            <w:r>
              <w:rPr>
                <w:b/>
                <w:bCs/>
                <w:sz w:val="20"/>
                <w:szCs w:val="20"/>
              </w:rPr>
              <w:t>83,82</w:t>
            </w:r>
            <w:r>
              <w:rPr>
                <w:b/>
                <w:bCs/>
                <w:sz w:val="20"/>
                <w:szCs w:val="20"/>
              </w:rPr>
              <w:t>8</w:t>
            </w:r>
          </w:p>
        </w:tc>
        <w:tc>
          <w:tcPr>
            <w:tcW w:w="0" w:type="auto"/>
            <w:noWrap/>
            <w:vAlign w:val="bottom"/>
            <w:hideMark/>
          </w:tcPr>
          <w:p w14:paraId="7D2DD5C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26EB983"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4CCFB36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7233875"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7D39D4D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EA825D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3C1414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7F1871A" w14:textId="77777777" w:rsidR="00000000" w:rsidRDefault="003A1B5D">
            <w:pPr>
              <w:pStyle w:val="a3"/>
              <w:spacing w:before="0" w:beforeAutospacing="0" w:after="0" w:afterAutospacing="0"/>
              <w:jc w:val="right"/>
              <w:rPr>
                <w:sz w:val="20"/>
                <w:szCs w:val="20"/>
              </w:rPr>
            </w:pPr>
            <w:r>
              <w:rPr>
                <w:b/>
                <w:bCs/>
                <w:sz w:val="20"/>
                <w:szCs w:val="20"/>
              </w:rPr>
              <w:t>87,14</w:t>
            </w:r>
            <w:r>
              <w:rPr>
                <w:b/>
                <w:bCs/>
                <w:sz w:val="20"/>
                <w:szCs w:val="20"/>
              </w:rPr>
              <w:t>9</w:t>
            </w:r>
          </w:p>
        </w:tc>
        <w:tc>
          <w:tcPr>
            <w:tcW w:w="0" w:type="auto"/>
            <w:noWrap/>
            <w:vAlign w:val="bottom"/>
            <w:hideMark/>
          </w:tcPr>
          <w:p w14:paraId="77D8A92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DDE9D5A"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7047718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FDABD66" w14:textId="77777777" w:rsidR="00000000" w:rsidRDefault="003A1B5D">
            <w:pPr>
              <w:pStyle w:val="a3"/>
              <w:spacing w:before="0" w:beforeAutospacing="0" w:after="0" w:afterAutospacing="0"/>
              <w:jc w:val="right"/>
              <w:rPr>
                <w:sz w:val="20"/>
                <w:szCs w:val="20"/>
              </w:rPr>
            </w:pPr>
            <w:r>
              <w:rPr>
                <w:sz w:val="20"/>
                <w:szCs w:val="20"/>
              </w:rPr>
              <w:t>38,76</w:t>
            </w:r>
            <w:r>
              <w:rPr>
                <w:sz w:val="20"/>
                <w:szCs w:val="20"/>
              </w:rPr>
              <w:t>6</w:t>
            </w:r>
          </w:p>
        </w:tc>
        <w:tc>
          <w:tcPr>
            <w:tcW w:w="0" w:type="auto"/>
            <w:noWrap/>
            <w:vAlign w:val="bottom"/>
            <w:hideMark/>
          </w:tcPr>
          <w:p w14:paraId="05A0FA5A" w14:textId="77777777" w:rsidR="00000000" w:rsidRDefault="003A1B5D">
            <w:pPr>
              <w:pStyle w:val="a3"/>
              <w:spacing w:before="0" w:beforeAutospacing="0" w:after="0" w:afterAutospacing="0"/>
              <w:rPr>
                <w:sz w:val="20"/>
                <w:szCs w:val="20"/>
              </w:rPr>
            </w:pPr>
            <w:r>
              <w:rPr>
                <w:sz w:val="20"/>
                <w:szCs w:val="20"/>
              </w:rPr>
              <w:t> </w:t>
            </w:r>
          </w:p>
        </w:tc>
      </w:tr>
      <w:tr w:rsidR="00000000" w14:paraId="43690C12" w14:textId="77777777">
        <w:trPr>
          <w:divId w:val="1833179165"/>
          <w:trHeight w:val="200"/>
          <w:tblCellSpacing w:w="15" w:type="dxa"/>
        </w:trPr>
        <w:tc>
          <w:tcPr>
            <w:tcW w:w="0" w:type="auto"/>
            <w:hideMark/>
          </w:tcPr>
          <w:p w14:paraId="230308C2" w14:textId="77777777" w:rsidR="00000000" w:rsidRDefault="003A1B5D">
            <w:pPr>
              <w:pStyle w:val="a3"/>
              <w:spacing w:before="0" w:beforeAutospacing="0" w:after="0" w:afterAutospacing="0"/>
              <w:ind w:left="200"/>
              <w:rPr>
                <w:sz w:val="20"/>
                <w:szCs w:val="20"/>
              </w:rPr>
            </w:pPr>
            <w:r>
              <w:rPr>
                <w:sz w:val="20"/>
                <w:szCs w:val="20"/>
              </w:rPr>
              <w:t>Other income (expense</w:t>
            </w:r>
            <w:r>
              <w:rPr>
                <w:sz w:val="20"/>
                <w:szCs w:val="20"/>
              </w:rPr>
              <w:t>)</w:t>
            </w:r>
          </w:p>
        </w:tc>
        <w:tc>
          <w:tcPr>
            <w:tcW w:w="0" w:type="auto"/>
            <w:vAlign w:val="bottom"/>
            <w:hideMark/>
          </w:tcPr>
          <w:p w14:paraId="4673C6A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299D0A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1E5C55F" w14:textId="77777777" w:rsidR="00000000" w:rsidRDefault="003A1B5D">
            <w:pPr>
              <w:pStyle w:val="a3"/>
              <w:spacing w:before="0" w:beforeAutospacing="0" w:after="0" w:afterAutospacing="0"/>
              <w:jc w:val="right"/>
              <w:rPr>
                <w:sz w:val="20"/>
                <w:szCs w:val="20"/>
              </w:rPr>
            </w:pPr>
            <w:r>
              <w:rPr>
                <w:b/>
                <w:bCs/>
                <w:sz w:val="20"/>
                <w:szCs w:val="20"/>
              </w:rPr>
              <w:t>(</w:t>
            </w:r>
            <w:r>
              <w:rPr>
                <w:b/>
                <w:bCs/>
                <w:sz w:val="20"/>
                <w:szCs w:val="20"/>
              </w:rPr>
              <w:t>7</w:t>
            </w:r>
            <w:r>
              <w:rPr>
                <w:b/>
                <w:bCs/>
                <w:sz w:val="20"/>
                <w:szCs w:val="20"/>
              </w:rPr>
              <w:t>1</w:t>
            </w:r>
          </w:p>
        </w:tc>
        <w:tc>
          <w:tcPr>
            <w:tcW w:w="0" w:type="auto"/>
            <w:noWrap/>
            <w:vAlign w:val="bottom"/>
            <w:hideMark/>
          </w:tcPr>
          <w:p w14:paraId="26D1A448"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53981EAB"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0DDD6F0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2F8F80C" w14:textId="77777777" w:rsidR="00000000" w:rsidRDefault="003A1B5D">
            <w:pPr>
              <w:pStyle w:val="a3"/>
              <w:spacing w:before="0" w:beforeAutospacing="0" w:after="0" w:afterAutospacing="0"/>
              <w:jc w:val="right"/>
              <w:rPr>
                <w:sz w:val="20"/>
                <w:szCs w:val="20"/>
              </w:rPr>
            </w:pPr>
            <w:r>
              <w:rPr>
                <w:sz w:val="20"/>
                <w:szCs w:val="20"/>
              </w:rPr>
              <w:t>4</w:t>
            </w:r>
            <w:r>
              <w:rPr>
                <w:sz w:val="20"/>
                <w:szCs w:val="20"/>
              </w:rPr>
              <w:t>9</w:t>
            </w:r>
          </w:p>
        </w:tc>
        <w:tc>
          <w:tcPr>
            <w:tcW w:w="0" w:type="auto"/>
            <w:noWrap/>
            <w:vAlign w:val="bottom"/>
            <w:hideMark/>
          </w:tcPr>
          <w:p w14:paraId="2450A70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525442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1B4D0B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0B7743D" w14:textId="77777777" w:rsidR="00000000" w:rsidRDefault="003A1B5D">
            <w:pPr>
              <w:pStyle w:val="a3"/>
              <w:spacing w:before="0" w:beforeAutospacing="0" w:after="0" w:afterAutospacing="0"/>
              <w:jc w:val="right"/>
              <w:rPr>
                <w:sz w:val="20"/>
                <w:szCs w:val="20"/>
              </w:rPr>
            </w:pPr>
            <w:r>
              <w:rPr>
                <w:b/>
                <w:bCs/>
                <w:sz w:val="20"/>
                <w:szCs w:val="20"/>
              </w:rPr>
              <w:t>93</w:t>
            </w:r>
            <w:r>
              <w:rPr>
                <w:b/>
                <w:bCs/>
                <w:sz w:val="20"/>
                <w:szCs w:val="20"/>
              </w:rPr>
              <w:t>4</w:t>
            </w:r>
          </w:p>
        </w:tc>
        <w:tc>
          <w:tcPr>
            <w:tcW w:w="0" w:type="auto"/>
            <w:noWrap/>
            <w:vAlign w:val="bottom"/>
            <w:hideMark/>
          </w:tcPr>
          <w:p w14:paraId="28F322C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288EA62"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299461C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C7807A1" w14:textId="77777777" w:rsidR="00000000" w:rsidRDefault="003A1B5D">
            <w:pPr>
              <w:pStyle w:val="a3"/>
              <w:spacing w:before="0" w:beforeAutospacing="0" w:after="0" w:afterAutospacing="0"/>
              <w:jc w:val="right"/>
              <w:rPr>
                <w:sz w:val="20"/>
                <w:szCs w:val="20"/>
              </w:rPr>
            </w:pPr>
            <w:r>
              <w:rPr>
                <w:sz w:val="20"/>
                <w:szCs w:val="20"/>
              </w:rPr>
              <w:t>(</w:t>
            </w:r>
            <w:r>
              <w:rPr>
                <w:sz w:val="20"/>
                <w:szCs w:val="20"/>
              </w:rPr>
              <w:t>10</w:t>
            </w:r>
            <w:r>
              <w:rPr>
                <w:sz w:val="20"/>
                <w:szCs w:val="20"/>
              </w:rPr>
              <w:t>7</w:t>
            </w:r>
          </w:p>
        </w:tc>
        <w:tc>
          <w:tcPr>
            <w:tcW w:w="0" w:type="auto"/>
            <w:noWrap/>
            <w:vAlign w:val="bottom"/>
            <w:hideMark/>
          </w:tcPr>
          <w:p w14:paraId="63C97A63" w14:textId="77777777" w:rsidR="00000000" w:rsidRDefault="003A1B5D">
            <w:pPr>
              <w:pStyle w:val="a3"/>
              <w:spacing w:before="0" w:beforeAutospacing="0" w:after="0" w:afterAutospacing="0"/>
              <w:rPr>
                <w:sz w:val="20"/>
                <w:szCs w:val="20"/>
              </w:rPr>
            </w:pPr>
            <w:r>
              <w:rPr>
                <w:sz w:val="20"/>
                <w:szCs w:val="20"/>
              </w:rPr>
              <w:t>)</w:t>
            </w:r>
          </w:p>
        </w:tc>
      </w:tr>
      <w:tr w:rsidR="00000000" w14:paraId="14F76A57" w14:textId="77777777">
        <w:trPr>
          <w:divId w:val="1833179165"/>
          <w:trHeight w:val="200"/>
          <w:tblCellSpacing w:w="15" w:type="dxa"/>
        </w:trPr>
        <w:tc>
          <w:tcPr>
            <w:tcW w:w="0" w:type="auto"/>
            <w:hideMark/>
          </w:tcPr>
          <w:p w14:paraId="3000DBCB" w14:textId="77777777" w:rsidR="00000000" w:rsidRDefault="003A1B5D">
            <w:pPr>
              <w:pStyle w:val="a3"/>
              <w:spacing w:before="0" w:beforeAutospacing="0" w:after="0" w:afterAutospacing="0"/>
              <w:rPr>
                <w:sz w:val="20"/>
                <w:szCs w:val="20"/>
              </w:rPr>
            </w:pPr>
            <w:r>
              <w:rPr>
                <w:sz w:val="20"/>
                <w:szCs w:val="20"/>
              </w:rPr>
              <w:t> Income before income taxe</w:t>
            </w:r>
            <w:r>
              <w:rPr>
                <w:sz w:val="20"/>
                <w:szCs w:val="20"/>
              </w:rPr>
              <w:t>s</w:t>
            </w:r>
          </w:p>
        </w:tc>
        <w:tc>
          <w:tcPr>
            <w:tcW w:w="0" w:type="auto"/>
            <w:vAlign w:val="bottom"/>
            <w:hideMark/>
          </w:tcPr>
          <w:p w14:paraId="2BFCB8A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9442068"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59BEB6E" w14:textId="77777777" w:rsidR="00000000" w:rsidRDefault="003A1B5D">
            <w:pPr>
              <w:pStyle w:val="a3"/>
              <w:spacing w:before="0" w:beforeAutospacing="0" w:after="0" w:afterAutospacing="0"/>
              <w:jc w:val="right"/>
              <w:rPr>
                <w:sz w:val="20"/>
                <w:szCs w:val="20"/>
              </w:rPr>
            </w:pPr>
            <w:r>
              <w:rPr>
                <w:b/>
                <w:bCs/>
                <w:sz w:val="20"/>
                <w:szCs w:val="20"/>
              </w:rPr>
              <w:t>92,56</w:t>
            </w:r>
            <w:r>
              <w:rPr>
                <w:b/>
                <w:bCs/>
                <w:sz w:val="20"/>
                <w:szCs w:val="20"/>
              </w:rPr>
              <w:t>0</w:t>
            </w:r>
          </w:p>
        </w:tc>
        <w:tc>
          <w:tcPr>
            <w:tcW w:w="0" w:type="auto"/>
            <w:noWrap/>
            <w:vAlign w:val="bottom"/>
            <w:hideMark/>
          </w:tcPr>
          <w:p w14:paraId="29A3B6E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8AC6A87"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597F6FC5"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08EFB149" w14:textId="77777777" w:rsidR="00000000" w:rsidRDefault="003A1B5D">
            <w:pPr>
              <w:pStyle w:val="a3"/>
              <w:spacing w:before="0" w:beforeAutospacing="0" w:after="0" w:afterAutospacing="0"/>
              <w:jc w:val="right"/>
              <w:rPr>
                <w:sz w:val="20"/>
                <w:szCs w:val="20"/>
              </w:rPr>
            </w:pPr>
            <w:r>
              <w:rPr>
                <w:sz w:val="20"/>
                <w:szCs w:val="20"/>
              </w:rPr>
              <w:t>38,63</w:t>
            </w:r>
            <w:r>
              <w:rPr>
                <w:sz w:val="20"/>
                <w:szCs w:val="20"/>
              </w:rPr>
              <w:t>0</w:t>
            </w:r>
          </w:p>
        </w:tc>
        <w:tc>
          <w:tcPr>
            <w:tcW w:w="0" w:type="auto"/>
            <w:noWrap/>
            <w:vAlign w:val="bottom"/>
            <w:hideMark/>
          </w:tcPr>
          <w:p w14:paraId="6E70F36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E36342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07C44BE"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3A65EEE3" w14:textId="77777777" w:rsidR="00000000" w:rsidRDefault="003A1B5D">
            <w:pPr>
              <w:pStyle w:val="a3"/>
              <w:spacing w:before="0" w:beforeAutospacing="0" w:after="0" w:afterAutospacing="0"/>
              <w:jc w:val="right"/>
              <w:rPr>
                <w:sz w:val="20"/>
                <w:szCs w:val="20"/>
              </w:rPr>
            </w:pPr>
            <w:r>
              <w:rPr>
                <w:b/>
                <w:bCs/>
                <w:sz w:val="20"/>
                <w:szCs w:val="20"/>
              </w:rPr>
              <w:t>132,74</w:t>
            </w:r>
            <w:r>
              <w:rPr>
                <w:b/>
                <w:bCs/>
                <w:sz w:val="20"/>
                <w:szCs w:val="20"/>
              </w:rPr>
              <w:t>8</w:t>
            </w:r>
          </w:p>
        </w:tc>
        <w:tc>
          <w:tcPr>
            <w:tcW w:w="0" w:type="auto"/>
            <w:noWrap/>
            <w:vAlign w:val="bottom"/>
            <w:hideMark/>
          </w:tcPr>
          <w:p w14:paraId="738A475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ADFC7D9"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16029166"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7B90A70E" w14:textId="77777777" w:rsidR="00000000" w:rsidRDefault="003A1B5D">
            <w:pPr>
              <w:pStyle w:val="a3"/>
              <w:spacing w:before="0" w:beforeAutospacing="0" w:after="0" w:afterAutospacing="0"/>
              <w:jc w:val="right"/>
              <w:rPr>
                <w:sz w:val="20"/>
                <w:szCs w:val="20"/>
              </w:rPr>
            </w:pPr>
            <w:r>
              <w:rPr>
                <w:sz w:val="20"/>
                <w:szCs w:val="20"/>
              </w:rPr>
              <w:t>48,73</w:t>
            </w:r>
            <w:r>
              <w:rPr>
                <w:sz w:val="20"/>
                <w:szCs w:val="20"/>
              </w:rPr>
              <w:t>5</w:t>
            </w:r>
          </w:p>
        </w:tc>
        <w:tc>
          <w:tcPr>
            <w:tcW w:w="0" w:type="auto"/>
            <w:noWrap/>
            <w:vAlign w:val="bottom"/>
            <w:hideMark/>
          </w:tcPr>
          <w:p w14:paraId="7765BC58" w14:textId="77777777" w:rsidR="00000000" w:rsidRDefault="003A1B5D">
            <w:pPr>
              <w:pStyle w:val="a3"/>
              <w:spacing w:before="0" w:beforeAutospacing="0" w:after="0" w:afterAutospacing="0"/>
              <w:rPr>
                <w:sz w:val="20"/>
                <w:szCs w:val="20"/>
              </w:rPr>
            </w:pPr>
            <w:r>
              <w:rPr>
                <w:sz w:val="20"/>
                <w:szCs w:val="20"/>
              </w:rPr>
              <w:t> </w:t>
            </w:r>
          </w:p>
        </w:tc>
      </w:tr>
    </w:tbl>
    <w:p w14:paraId="72B75482" w14:textId="77777777" w:rsidR="00000000" w:rsidRDefault="003A1B5D">
      <w:pPr>
        <w:pStyle w:val="a3"/>
        <w:spacing w:before="120" w:beforeAutospacing="0" w:after="0" w:afterAutospacing="0"/>
        <w:ind w:left="476"/>
        <w:jc w:val="both"/>
        <w:divId w:val="607926777"/>
        <w:rPr>
          <w:sz w:val="20"/>
          <w:szCs w:val="20"/>
        </w:rPr>
      </w:pPr>
      <w:r>
        <w:rPr>
          <w:sz w:val="20"/>
          <w:szCs w:val="20"/>
        </w:rPr>
        <w:t>The following table summarizes capital expenditures including accrued amounts for the</w:t>
      </w:r>
      <w:r>
        <w:rPr>
          <w:sz w:val="20"/>
          <w:szCs w:val="20"/>
        </w:rPr>
        <w:t xml:space="preserve"> </w:t>
      </w:r>
      <w:r>
        <w:rPr>
          <w:sz w:val="20"/>
          <w:szCs w:val="20"/>
        </w:rPr>
        <w:t>three and nine months ended September 30, 2022 and 2021 (in thousands)</w:t>
      </w:r>
      <w:r>
        <w:rPr>
          <w:sz w:val="20"/>
          <w:szCs w:val="20"/>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500"/>
        <w:gridCol w:w="110"/>
        <w:gridCol w:w="160"/>
        <w:gridCol w:w="610"/>
        <w:gridCol w:w="110"/>
        <w:gridCol w:w="110"/>
        <w:gridCol w:w="160"/>
        <w:gridCol w:w="610"/>
        <w:gridCol w:w="110"/>
        <w:gridCol w:w="110"/>
        <w:gridCol w:w="160"/>
        <w:gridCol w:w="610"/>
        <w:gridCol w:w="110"/>
        <w:gridCol w:w="110"/>
        <w:gridCol w:w="160"/>
        <w:gridCol w:w="610"/>
        <w:gridCol w:w="125"/>
      </w:tblGrid>
      <w:tr w:rsidR="00000000" w14:paraId="7D42292E" w14:textId="77777777">
        <w:trPr>
          <w:divId w:val="607926777"/>
          <w:tblCellSpacing w:w="15" w:type="dxa"/>
        </w:trPr>
        <w:tc>
          <w:tcPr>
            <w:tcW w:w="2519" w:type="pct"/>
            <w:vAlign w:val="center"/>
            <w:hideMark/>
          </w:tcPr>
          <w:p w14:paraId="7E31F54F" w14:textId="77777777" w:rsidR="00000000" w:rsidRDefault="003A1B5D">
            <w:pPr>
              <w:rPr>
                <w:sz w:val="20"/>
                <w:szCs w:val="20"/>
              </w:rPr>
            </w:pPr>
          </w:p>
        </w:tc>
        <w:tc>
          <w:tcPr>
            <w:tcW w:w="60" w:type="pct"/>
            <w:vAlign w:val="center"/>
            <w:hideMark/>
          </w:tcPr>
          <w:p w14:paraId="5D9CE217" w14:textId="77777777" w:rsidR="00000000" w:rsidRDefault="003A1B5D">
            <w:pPr>
              <w:rPr>
                <w:rFonts w:eastAsia="Times New Roman"/>
                <w:sz w:val="20"/>
                <w:szCs w:val="20"/>
              </w:rPr>
            </w:pPr>
          </w:p>
        </w:tc>
        <w:tc>
          <w:tcPr>
            <w:tcW w:w="50" w:type="pct"/>
            <w:vAlign w:val="center"/>
            <w:hideMark/>
          </w:tcPr>
          <w:p w14:paraId="669A7913" w14:textId="77777777" w:rsidR="00000000" w:rsidRDefault="003A1B5D">
            <w:pPr>
              <w:rPr>
                <w:rFonts w:eastAsia="Times New Roman"/>
                <w:sz w:val="20"/>
                <w:szCs w:val="20"/>
              </w:rPr>
            </w:pPr>
          </w:p>
        </w:tc>
        <w:tc>
          <w:tcPr>
            <w:tcW w:w="448" w:type="pct"/>
            <w:vAlign w:val="center"/>
            <w:hideMark/>
          </w:tcPr>
          <w:p w14:paraId="4F23BD3F" w14:textId="77777777" w:rsidR="00000000" w:rsidRDefault="003A1B5D">
            <w:pPr>
              <w:rPr>
                <w:rFonts w:eastAsia="Times New Roman"/>
                <w:sz w:val="20"/>
                <w:szCs w:val="20"/>
              </w:rPr>
            </w:pPr>
          </w:p>
        </w:tc>
        <w:tc>
          <w:tcPr>
            <w:tcW w:w="50" w:type="pct"/>
            <w:vAlign w:val="center"/>
            <w:hideMark/>
          </w:tcPr>
          <w:p w14:paraId="291FF095" w14:textId="77777777" w:rsidR="00000000" w:rsidRDefault="003A1B5D">
            <w:pPr>
              <w:rPr>
                <w:rFonts w:eastAsia="Times New Roman"/>
                <w:sz w:val="20"/>
                <w:szCs w:val="20"/>
              </w:rPr>
            </w:pPr>
          </w:p>
        </w:tc>
        <w:tc>
          <w:tcPr>
            <w:tcW w:w="60" w:type="pct"/>
            <w:vAlign w:val="center"/>
            <w:hideMark/>
          </w:tcPr>
          <w:p w14:paraId="495D3DAC" w14:textId="77777777" w:rsidR="00000000" w:rsidRDefault="003A1B5D">
            <w:pPr>
              <w:rPr>
                <w:rFonts w:eastAsia="Times New Roman"/>
                <w:sz w:val="20"/>
                <w:szCs w:val="20"/>
              </w:rPr>
            </w:pPr>
          </w:p>
        </w:tc>
        <w:tc>
          <w:tcPr>
            <w:tcW w:w="50" w:type="pct"/>
            <w:vAlign w:val="center"/>
            <w:hideMark/>
          </w:tcPr>
          <w:p w14:paraId="1913DC82" w14:textId="77777777" w:rsidR="00000000" w:rsidRDefault="003A1B5D">
            <w:pPr>
              <w:rPr>
                <w:rFonts w:eastAsia="Times New Roman"/>
                <w:sz w:val="20"/>
                <w:szCs w:val="20"/>
              </w:rPr>
            </w:pPr>
          </w:p>
        </w:tc>
        <w:tc>
          <w:tcPr>
            <w:tcW w:w="470" w:type="pct"/>
            <w:vAlign w:val="center"/>
            <w:hideMark/>
          </w:tcPr>
          <w:p w14:paraId="29FF25B8" w14:textId="77777777" w:rsidR="00000000" w:rsidRDefault="003A1B5D">
            <w:pPr>
              <w:rPr>
                <w:rFonts w:eastAsia="Times New Roman"/>
                <w:sz w:val="20"/>
                <w:szCs w:val="20"/>
              </w:rPr>
            </w:pPr>
          </w:p>
        </w:tc>
        <w:tc>
          <w:tcPr>
            <w:tcW w:w="50" w:type="pct"/>
            <w:vAlign w:val="center"/>
            <w:hideMark/>
          </w:tcPr>
          <w:p w14:paraId="3C56CA0D" w14:textId="77777777" w:rsidR="00000000" w:rsidRDefault="003A1B5D">
            <w:pPr>
              <w:rPr>
                <w:rFonts w:eastAsia="Times New Roman"/>
                <w:sz w:val="20"/>
                <w:szCs w:val="20"/>
              </w:rPr>
            </w:pPr>
          </w:p>
        </w:tc>
        <w:tc>
          <w:tcPr>
            <w:tcW w:w="60" w:type="pct"/>
            <w:vAlign w:val="center"/>
            <w:hideMark/>
          </w:tcPr>
          <w:p w14:paraId="68923621" w14:textId="77777777" w:rsidR="00000000" w:rsidRDefault="003A1B5D">
            <w:pPr>
              <w:rPr>
                <w:rFonts w:eastAsia="Times New Roman"/>
                <w:sz w:val="20"/>
                <w:szCs w:val="20"/>
              </w:rPr>
            </w:pPr>
          </w:p>
        </w:tc>
        <w:tc>
          <w:tcPr>
            <w:tcW w:w="50" w:type="pct"/>
            <w:vAlign w:val="center"/>
            <w:hideMark/>
          </w:tcPr>
          <w:p w14:paraId="4C336EEC" w14:textId="77777777" w:rsidR="00000000" w:rsidRDefault="003A1B5D">
            <w:pPr>
              <w:rPr>
                <w:rFonts w:eastAsia="Times New Roman"/>
                <w:sz w:val="20"/>
                <w:szCs w:val="20"/>
              </w:rPr>
            </w:pPr>
          </w:p>
        </w:tc>
        <w:tc>
          <w:tcPr>
            <w:tcW w:w="448" w:type="pct"/>
            <w:vAlign w:val="center"/>
            <w:hideMark/>
          </w:tcPr>
          <w:p w14:paraId="6C3332E4" w14:textId="77777777" w:rsidR="00000000" w:rsidRDefault="003A1B5D">
            <w:pPr>
              <w:rPr>
                <w:rFonts w:eastAsia="Times New Roman"/>
                <w:sz w:val="20"/>
                <w:szCs w:val="20"/>
              </w:rPr>
            </w:pPr>
          </w:p>
        </w:tc>
        <w:tc>
          <w:tcPr>
            <w:tcW w:w="50" w:type="pct"/>
            <w:vAlign w:val="center"/>
            <w:hideMark/>
          </w:tcPr>
          <w:p w14:paraId="033448E5" w14:textId="77777777" w:rsidR="00000000" w:rsidRDefault="003A1B5D">
            <w:pPr>
              <w:rPr>
                <w:rFonts w:eastAsia="Times New Roman"/>
                <w:sz w:val="20"/>
                <w:szCs w:val="20"/>
              </w:rPr>
            </w:pPr>
          </w:p>
        </w:tc>
        <w:tc>
          <w:tcPr>
            <w:tcW w:w="60" w:type="pct"/>
            <w:vAlign w:val="center"/>
            <w:hideMark/>
          </w:tcPr>
          <w:p w14:paraId="07DD3A9C" w14:textId="77777777" w:rsidR="00000000" w:rsidRDefault="003A1B5D">
            <w:pPr>
              <w:rPr>
                <w:rFonts w:eastAsia="Times New Roman"/>
                <w:sz w:val="20"/>
                <w:szCs w:val="20"/>
              </w:rPr>
            </w:pPr>
          </w:p>
        </w:tc>
        <w:tc>
          <w:tcPr>
            <w:tcW w:w="50" w:type="pct"/>
            <w:vAlign w:val="center"/>
            <w:hideMark/>
          </w:tcPr>
          <w:p w14:paraId="4D1E15BD" w14:textId="77777777" w:rsidR="00000000" w:rsidRDefault="003A1B5D">
            <w:pPr>
              <w:rPr>
                <w:rFonts w:eastAsia="Times New Roman"/>
                <w:sz w:val="20"/>
                <w:szCs w:val="20"/>
              </w:rPr>
            </w:pPr>
          </w:p>
        </w:tc>
        <w:tc>
          <w:tcPr>
            <w:tcW w:w="470" w:type="pct"/>
            <w:vAlign w:val="center"/>
            <w:hideMark/>
          </w:tcPr>
          <w:p w14:paraId="1634E4CC" w14:textId="77777777" w:rsidR="00000000" w:rsidRDefault="003A1B5D">
            <w:pPr>
              <w:rPr>
                <w:rFonts w:eastAsia="Times New Roman"/>
                <w:sz w:val="20"/>
                <w:szCs w:val="20"/>
              </w:rPr>
            </w:pPr>
          </w:p>
        </w:tc>
        <w:tc>
          <w:tcPr>
            <w:tcW w:w="50" w:type="pct"/>
            <w:vAlign w:val="center"/>
            <w:hideMark/>
          </w:tcPr>
          <w:p w14:paraId="063A14F2" w14:textId="77777777" w:rsidR="00000000" w:rsidRDefault="003A1B5D">
            <w:pPr>
              <w:rPr>
                <w:rFonts w:eastAsia="Times New Roman"/>
                <w:sz w:val="20"/>
                <w:szCs w:val="20"/>
              </w:rPr>
            </w:pPr>
          </w:p>
        </w:tc>
      </w:tr>
      <w:tr w:rsidR="00000000" w14:paraId="7BDF6093" w14:textId="77777777">
        <w:trPr>
          <w:divId w:val="607926777"/>
          <w:trHeight w:val="160"/>
          <w:tblCellSpacing w:w="15" w:type="dxa"/>
        </w:trPr>
        <w:tc>
          <w:tcPr>
            <w:tcW w:w="0" w:type="auto"/>
            <w:vAlign w:val="bottom"/>
            <w:hideMark/>
          </w:tcPr>
          <w:p w14:paraId="6E32BC6C"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2B737F09"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08DD433B" w14:textId="77777777" w:rsidR="00000000" w:rsidRDefault="003A1B5D">
            <w:pPr>
              <w:pStyle w:val="a3"/>
              <w:spacing w:before="0" w:beforeAutospacing="0" w:after="0" w:afterAutospacing="0"/>
              <w:jc w:val="center"/>
              <w:rPr>
                <w:sz w:val="16"/>
                <w:szCs w:val="16"/>
              </w:rPr>
            </w:pPr>
            <w:r>
              <w:rPr>
                <w:b/>
                <w:bCs/>
                <w:sz w:val="16"/>
                <w:szCs w:val="16"/>
              </w:rPr>
              <w:t xml:space="preserve">For the Three Months Ended </w:t>
            </w:r>
            <w:r>
              <w:rPr>
                <w:b/>
                <w:bCs/>
                <w:sz w:val="16"/>
                <w:szCs w:val="16"/>
              </w:rPr>
              <w:br/>
              <w:t>September 30</w:t>
            </w:r>
            <w:r>
              <w:rPr>
                <w:b/>
                <w:bCs/>
                <w:sz w:val="16"/>
                <w:szCs w:val="16"/>
              </w:rPr>
              <w:t>,</w:t>
            </w:r>
          </w:p>
        </w:tc>
        <w:tc>
          <w:tcPr>
            <w:tcW w:w="0" w:type="auto"/>
            <w:vAlign w:val="bottom"/>
            <w:hideMark/>
          </w:tcPr>
          <w:p w14:paraId="2B68E26F"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71C39869"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77BAD70C" w14:textId="77777777" w:rsidR="00000000" w:rsidRDefault="003A1B5D">
            <w:pPr>
              <w:pStyle w:val="a3"/>
              <w:spacing w:before="0" w:beforeAutospacing="0" w:after="0" w:afterAutospacing="0"/>
              <w:jc w:val="center"/>
              <w:rPr>
                <w:sz w:val="16"/>
                <w:szCs w:val="16"/>
              </w:rPr>
            </w:pPr>
            <w:r>
              <w:rPr>
                <w:b/>
                <w:bCs/>
                <w:sz w:val="16"/>
                <w:szCs w:val="16"/>
              </w:rPr>
              <w:t xml:space="preserve">For the Nine Months Ended </w:t>
            </w:r>
            <w:r>
              <w:rPr>
                <w:b/>
                <w:bCs/>
                <w:sz w:val="16"/>
                <w:szCs w:val="16"/>
              </w:rPr>
              <w:br/>
              <w:t>September 30</w:t>
            </w:r>
            <w:r>
              <w:rPr>
                <w:b/>
                <w:bCs/>
                <w:sz w:val="16"/>
                <w:szCs w:val="16"/>
              </w:rPr>
              <w:t>,</w:t>
            </w:r>
          </w:p>
        </w:tc>
        <w:tc>
          <w:tcPr>
            <w:tcW w:w="0" w:type="auto"/>
            <w:vAlign w:val="bottom"/>
            <w:hideMark/>
          </w:tcPr>
          <w:p w14:paraId="55D8DE92"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38708089" w14:textId="77777777">
        <w:trPr>
          <w:divId w:val="607926777"/>
          <w:trHeight w:val="160"/>
          <w:tblCellSpacing w:w="15" w:type="dxa"/>
        </w:trPr>
        <w:tc>
          <w:tcPr>
            <w:tcW w:w="0" w:type="auto"/>
            <w:vAlign w:val="bottom"/>
            <w:hideMark/>
          </w:tcPr>
          <w:p w14:paraId="4388E9ED"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7683131E"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D8166ED"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085663D9"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754135D3"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1BAD01E"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56CF0176"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5E7801A7"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CE45230"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1E31D235"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7859FBC4"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F1C771B"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721205AC"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6837718D" w14:textId="77777777">
        <w:trPr>
          <w:divId w:val="607926777"/>
          <w:trHeight w:val="200"/>
          <w:tblCellSpacing w:w="15" w:type="dxa"/>
        </w:trPr>
        <w:tc>
          <w:tcPr>
            <w:tcW w:w="0" w:type="auto"/>
            <w:hideMark/>
          </w:tcPr>
          <w:p w14:paraId="4EFFD4B8" w14:textId="77777777" w:rsidR="00000000" w:rsidRDefault="003A1B5D">
            <w:pPr>
              <w:pStyle w:val="a3"/>
              <w:spacing w:before="0" w:beforeAutospacing="0" w:after="0" w:afterAutospacing="0"/>
              <w:rPr>
                <w:sz w:val="20"/>
                <w:szCs w:val="20"/>
              </w:rPr>
            </w:pPr>
            <w:r>
              <w:rPr>
                <w:sz w:val="20"/>
                <w:szCs w:val="20"/>
              </w:rPr>
              <w:t>Capital expenditures</w:t>
            </w:r>
            <w:r>
              <w:rPr>
                <w:sz w:val="20"/>
                <w:szCs w:val="20"/>
              </w:rPr>
              <w:t>:</w:t>
            </w:r>
          </w:p>
        </w:tc>
        <w:tc>
          <w:tcPr>
            <w:tcW w:w="0" w:type="auto"/>
            <w:vAlign w:val="bottom"/>
            <w:hideMark/>
          </w:tcPr>
          <w:p w14:paraId="47908596"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0E61B72B"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5BCA0C5"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40708F97" w14:textId="77777777" w:rsidR="00000000" w:rsidRDefault="003A1B5D">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39416E85"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1E39B5EA"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704A46E"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7824E24E"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3A0ABC14"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48DE1AEA" w14:textId="77777777" w:rsidR="00000000" w:rsidRDefault="003A1B5D">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0BBB6013"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E615CF2" w14:textId="77777777" w:rsidR="00000000" w:rsidRDefault="003A1B5D">
            <w:pPr>
              <w:pStyle w:val="a3"/>
              <w:spacing w:before="0" w:beforeAutospacing="0" w:after="0" w:afterAutospacing="0"/>
              <w:jc w:val="right"/>
              <w:rPr>
                <w:sz w:val="20"/>
                <w:szCs w:val="20"/>
              </w:rPr>
            </w:pPr>
            <w:r>
              <w:rPr>
                <w:sz w:val="20"/>
                <w:szCs w:val="20"/>
              </w:rPr>
              <w:t> </w:t>
            </w:r>
          </w:p>
        </w:tc>
      </w:tr>
      <w:tr w:rsidR="00000000" w14:paraId="31CF1C6A" w14:textId="77777777">
        <w:trPr>
          <w:divId w:val="607926777"/>
          <w:trHeight w:val="200"/>
          <w:tblCellSpacing w:w="15" w:type="dxa"/>
        </w:trPr>
        <w:tc>
          <w:tcPr>
            <w:tcW w:w="0" w:type="auto"/>
            <w:hideMark/>
          </w:tcPr>
          <w:p w14:paraId="320C0C8F" w14:textId="77777777" w:rsidR="00000000" w:rsidRDefault="003A1B5D">
            <w:pPr>
              <w:pStyle w:val="a3"/>
              <w:spacing w:before="0" w:beforeAutospacing="0" w:after="0" w:afterAutospacing="0"/>
              <w:ind w:left="200"/>
              <w:rPr>
                <w:sz w:val="20"/>
                <w:szCs w:val="20"/>
              </w:rPr>
            </w:pPr>
            <w:r>
              <w:rPr>
                <w:sz w:val="20"/>
                <w:szCs w:val="20"/>
              </w:rPr>
              <w:t>Safet</w:t>
            </w:r>
            <w:r>
              <w:rPr>
                <w:sz w:val="20"/>
                <w:szCs w:val="20"/>
              </w:rPr>
              <w:t>y</w:t>
            </w:r>
          </w:p>
        </w:tc>
        <w:tc>
          <w:tcPr>
            <w:tcW w:w="0" w:type="auto"/>
            <w:vAlign w:val="bottom"/>
            <w:hideMark/>
          </w:tcPr>
          <w:p w14:paraId="134A97B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FAB82E1"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1C8B014" w14:textId="77777777" w:rsidR="00000000" w:rsidRDefault="003A1B5D">
            <w:pPr>
              <w:pStyle w:val="a3"/>
              <w:spacing w:before="0" w:beforeAutospacing="0" w:after="0" w:afterAutospacing="0"/>
              <w:jc w:val="right"/>
              <w:rPr>
                <w:sz w:val="20"/>
                <w:szCs w:val="20"/>
              </w:rPr>
            </w:pPr>
            <w:r>
              <w:rPr>
                <w:b/>
                <w:bCs/>
                <w:sz w:val="20"/>
                <w:szCs w:val="20"/>
              </w:rPr>
              <w:t>14,50</w:t>
            </w:r>
            <w:r>
              <w:rPr>
                <w:b/>
                <w:bCs/>
                <w:sz w:val="20"/>
                <w:szCs w:val="20"/>
              </w:rPr>
              <w:t>7</w:t>
            </w:r>
          </w:p>
        </w:tc>
        <w:tc>
          <w:tcPr>
            <w:tcW w:w="0" w:type="auto"/>
            <w:noWrap/>
            <w:vAlign w:val="bottom"/>
            <w:hideMark/>
          </w:tcPr>
          <w:p w14:paraId="6B17CDE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B42DA35"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1EB9DB3A"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5B1C0DD8" w14:textId="77777777" w:rsidR="00000000" w:rsidRDefault="003A1B5D">
            <w:pPr>
              <w:pStyle w:val="a3"/>
              <w:spacing w:before="0" w:beforeAutospacing="0" w:after="0" w:afterAutospacing="0"/>
              <w:jc w:val="right"/>
              <w:rPr>
                <w:sz w:val="20"/>
                <w:szCs w:val="20"/>
              </w:rPr>
            </w:pPr>
            <w:r>
              <w:rPr>
                <w:sz w:val="20"/>
                <w:szCs w:val="20"/>
              </w:rPr>
              <w:t>14,59</w:t>
            </w:r>
            <w:r>
              <w:rPr>
                <w:sz w:val="20"/>
                <w:szCs w:val="20"/>
              </w:rPr>
              <w:t>8</w:t>
            </w:r>
          </w:p>
        </w:tc>
        <w:tc>
          <w:tcPr>
            <w:tcW w:w="0" w:type="auto"/>
            <w:noWrap/>
            <w:vAlign w:val="bottom"/>
            <w:hideMark/>
          </w:tcPr>
          <w:p w14:paraId="5E4C062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594516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6045481"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2F2AC283" w14:textId="77777777" w:rsidR="00000000" w:rsidRDefault="003A1B5D">
            <w:pPr>
              <w:pStyle w:val="a3"/>
              <w:spacing w:before="0" w:beforeAutospacing="0" w:after="0" w:afterAutospacing="0"/>
              <w:jc w:val="right"/>
              <w:rPr>
                <w:sz w:val="20"/>
                <w:szCs w:val="20"/>
              </w:rPr>
            </w:pPr>
            <w:r>
              <w:rPr>
                <w:b/>
                <w:bCs/>
                <w:sz w:val="20"/>
                <w:szCs w:val="20"/>
              </w:rPr>
              <w:t>44,25</w:t>
            </w:r>
            <w:r>
              <w:rPr>
                <w:b/>
                <w:bCs/>
                <w:sz w:val="20"/>
                <w:szCs w:val="20"/>
              </w:rPr>
              <w:t>3</w:t>
            </w:r>
          </w:p>
        </w:tc>
        <w:tc>
          <w:tcPr>
            <w:tcW w:w="0" w:type="auto"/>
            <w:noWrap/>
            <w:vAlign w:val="bottom"/>
            <w:hideMark/>
          </w:tcPr>
          <w:p w14:paraId="1674F9C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09F0722"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0FE173E7"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57282282" w14:textId="77777777" w:rsidR="00000000" w:rsidRDefault="003A1B5D">
            <w:pPr>
              <w:pStyle w:val="a3"/>
              <w:spacing w:before="0" w:beforeAutospacing="0" w:after="0" w:afterAutospacing="0"/>
              <w:jc w:val="right"/>
              <w:rPr>
                <w:sz w:val="20"/>
                <w:szCs w:val="20"/>
              </w:rPr>
            </w:pPr>
            <w:r>
              <w:rPr>
                <w:sz w:val="20"/>
                <w:szCs w:val="20"/>
              </w:rPr>
              <w:t>33,51</w:t>
            </w:r>
            <w:r>
              <w:rPr>
                <w:sz w:val="20"/>
                <w:szCs w:val="20"/>
              </w:rPr>
              <w:t>9</w:t>
            </w:r>
          </w:p>
        </w:tc>
        <w:tc>
          <w:tcPr>
            <w:tcW w:w="0" w:type="auto"/>
            <w:noWrap/>
            <w:vAlign w:val="bottom"/>
            <w:hideMark/>
          </w:tcPr>
          <w:p w14:paraId="39C0BAE8" w14:textId="77777777" w:rsidR="00000000" w:rsidRDefault="003A1B5D">
            <w:pPr>
              <w:pStyle w:val="a3"/>
              <w:spacing w:before="0" w:beforeAutospacing="0" w:after="0" w:afterAutospacing="0"/>
              <w:rPr>
                <w:sz w:val="20"/>
                <w:szCs w:val="20"/>
              </w:rPr>
            </w:pPr>
            <w:r>
              <w:rPr>
                <w:sz w:val="20"/>
                <w:szCs w:val="20"/>
              </w:rPr>
              <w:t> </w:t>
            </w:r>
          </w:p>
        </w:tc>
      </w:tr>
      <w:tr w:rsidR="00000000" w14:paraId="339DADBF" w14:textId="77777777">
        <w:trPr>
          <w:divId w:val="607926777"/>
          <w:trHeight w:val="200"/>
          <w:tblCellSpacing w:w="15" w:type="dxa"/>
        </w:trPr>
        <w:tc>
          <w:tcPr>
            <w:tcW w:w="0" w:type="auto"/>
            <w:hideMark/>
          </w:tcPr>
          <w:p w14:paraId="7181E8F2" w14:textId="77777777" w:rsidR="00000000" w:rsidRDefault="003A1B5D">
            <w:pPr>
              <w:pStyle w:val="a3"/>
              <w:spacing w:before="0" w:beforeAutospacing="0" w:after="0" w:afterAutospacing="0"/>
              <w:ind w:left="200"/>
              <w:rPr>
                <w:sz w:val="20"/>
                <w:szCs w:val="20"/>
              </w:rPr>
            </w:pPr>
            <w:r>
              <w:rPr>
                <w:sz w:val="20"/>
                <w:szCs w:val="20"/>
              </w:rPr>
              <w:t>Communit</w:t>
            </w:r>
            <w:r>
              <w:rPr>
                <w:sz w:val="20"/>
                <w:szCs w:val="20"/>
              </w:rPr>
              <w:t>y</w:t>
            </w:r>
          </w:p>
        </w:tc>
        <w:tc>
          <w:tcPr>
            <w:tcW w:w="0" w:type="auto"/>
            <w:vAlign w:val="bottom"/>
            <w:hideMark/>
          </w:tcPr>
          <w:p w14:paraId="1FD26EF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6F7FF0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2FF8EB3" w14:textId="77777777" w:rsidR="00000000" w:rsidRDefault="003A1B5D">
            <w:pPr>
              <w:pStyle w:val="a3"/>
              <w:spacing w:before="0" w:beforeAutospacing="0" w:after="0" w:afterAutospacing="0"/>
              <w:jc w:val="right"/>
              <w:rPr>
                <w:sz w:val="20"/>
                <w:szCs w:val="20"/>
              </w:rPr>
            </w:pPr>
            <w:r>
              <w:rPr>
                <w:b/>
                <w:bCs/>
                <w:sz w:val="20"/>
                <w:szCs w:val="20"/>
              </w:rPr>
              <w:t>71</w:t>
            </w:r>
            <w:r>
              <w:rPr>
                <w:b/>
                <w:bCs/>
                <w:sz w:val="20"/>
                <w:szCs w:val="20"/>
              </w:rPr>
              <w:t>3</w:t>
            </w:r>
          </w:p>
        </w:tc>
        <w:tc>
          <w:tcPr>
            <w:tcW w:w="0" w:type="auto"/>
            <w:noWrap/>
            <w:vAlign w:val="bottom"/>
            <w:hideMark/>
          </w:tcPr>
          <w:p w14:paraId="31125D1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88A230F"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566FB8E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715A0E8" w14:textId="77777777" w:rsidR="00000000" w:rsidRDefault="003A1B5D">
            <w:pPr>
              <w:pStyle w:val="a3"/>
              <w:spacing w:before="0" w:beforeAutospacing="0" w:after="0" w:afterAutospacing="0"/>
              <w:jc w:val="right"/>
              <w:rPr>
                <w:sz w:val="20"/>
                <w:szCs w:val="20"/>
              </w:rPr>
            </w:pPr>
            <w:r>
              <w:rPr>
                <w:sz w:val="20"/>
                <w:szCs w:val="20"/>
              </w:rPr>
              <w:t>52</w:t>
            </w:r>
            <w:r>
              <w:rPr>
                <w:sz w:val="20"/>
                <w:szCs w:val="20"/>
              </w:rPr>
              <w:t>5</w:t>
            </w:r>
          </w:p>
        </w:tc>
        <w:tc>
          <w:tcPr>
            <w:tcW w:w="0" w:type="auto"/>
            <w:noWrap/>
            <w:vAlign w:val="bottom"/>
            <w:hideMark/>
          </w:tcPr>
          <w:p w14:paraId="33CAAB1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1125DC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8A4A5F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F8096B5" w14:textId="77777777" w:rsidR="00000000" w:rsidRDefault="003A1B5D">
            <w:pPr>
              <w:pStyle w:val="a3"/>
              <w:spacing w:before="0" w:beforeAutospacing="0" w:after="0" w:afterAutospacing="0"/>
              <w:jc w:val="right"/>
              <w:rPr>
                <w:sz w:val="20"/>
                <w:szCs w:val="20"/>
              </w:rPr>
            </w:pPr>
            <w:r>
              <w:rPr>
                <w:b/>
                <w:bCs/>
                <w:sz w:val="20"/>
                <w:szCs w:val="20"/>
              </w:rPr>
              <w:t>1,39</w:t>
            </w:r>
            <w:r>
              <w:rPr>
                <w:b/>
                <w:bCs/>
                <w:sz w:val="20"/>
                <w:szCs w:val="20"/>
              </w:rPr>
              <w:t>3</w:t>
            </w:r>
          </w:p>
        </w:tc>
        <w:tc>
          <w:tcPr>
            <w:tcW w:w="0" w:type="auto"/>
            <w:noWrap/>
            <w:vAlign w:val="bottom"/>
            <w:hideMark/>
          </w:tcPr>
          <w:p w14:paraId="23225AB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80025AE"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38B26B5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FCBB381" w14:textId="77777777" w:rsidR="00000000" w:rsidRDefault="003A1B5D">
            <w:pPr>
              <w:pStyle w:val="a3"/>
              <w:spacing w:before="0" w:beforeAutospacing="0" w:after="0" w:afterAutospacing="0"/>
              <w:jc w:val="right"/>
              <w:rPr>
                <w:sz w:val="20"/>
                <w:szCs w:val="20"/>
              </w:rPr>
            </w:pPr>
            <w:r>
              <w:rPr>
                <w:sz w:val="20"/>
                <w:szCs w:val="20"/>
              </w:rPr>
              <w:t>1,60</w:t>
            </w:r>
            <w:r>
              <w:rPr>
                <w:sz w:val="20"/>
                <w:szCs w:val="20"/>
              </w:rPr>
              <w:t>9</w:t>
            </w:r>
          </w:p>
        </w:tc>
        <w:tc>
          <w:tcPr>
            <w:tcW w:w="0" w:type="auto"/>
            <w:noWrap/>
            <w:vAlign w:val="bottom"/>
            <w:hideMark/>
          </w:tcPr>
          <w:p w14:paraId="34B234BB" w14:textId="77777777" w:rsidR="00000000" w:rsidRDefault="003A1B5D">
            <w:pPr>
              <w:pStyle w:val="a3"/>
              <w:spacing w:before="0" w:beforeAutospacing="0" w:after="0" w:afterAutospacing="0"/>
              <w:rPr>
                <w:sz w:val="20"/>
                <w:szCs w:val="20"/>
              </w:rPr>
            </w:pPr>
            <w:r>
              <w:rPr>
                <w:sz w:val="20"/>
                <w:szCs w:val="20"/>
              </w:rPr>
              <w:t> </w:t>
            </w:r>
          </w:p>
        </w:tc>
      </w:tr>
      <w:tr w:rsidR="00000000" w14:paraId="29DD6ACA" w14:textId="77777777">
        <w:trPr>
          <w:divId w:val="607926777"/>
          <w:trHeight w:val="200"/>
          <w:tblCellSpacing w:w="15" w:type="dxa"/>
        </w:trPr>
        <w:tc>
          <w:tcPr>
            <w:tcW w:w="0" w:type="auto"/>
            <w:hideMark/>
          </w:tcPr>
          <w:p w14:paraId="431F3AA0" w14:textId="77777777" w:rsidR="00000000" w:rsidRDefault="003A1B5D">
            <w:pPr>
              <w:pStyle w:val="a3"/>
              <w:spacing w:before="0" w:beforeAutospacing="0" w:after="0" w:afterAutospacing="0"/>
              <w:ind w:left="200"/>
              <w:rPr>
                <w:sz w:val="20"/>
                <w:szCs w:val="20"/>
              </w:rPr>
            </w:pPr>
            <w:r>
              <w:rPr>
                <w:sz w:val="20"/>
                <w:szCs w:val="20"/>
              </w:rPr>
              <w:t>Propertie</w:t>
            </w:r>
            <w:r>
              <w:rPr>
                <w:sz w:val="20"/>
                <w:szCs w:val="20"/>
              </w:rPr>
              <w:t>s</w:t>
            </w:r>
          </w:p>
        </w:tc>
        <w:tc>
          <w:tcPr>
            <w:tcW w:w="0" w:type="auto"/>
            <w:vAlign w:val="bottom"/>
            <w:hideMark/>
          </w:tcPr>
          <w:p w14:paraId="2018D57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3C2A2D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CEE76DD" w14:textId="77777777" w:rsidR="00000000" w:rsidRDefault="003A1B5D">
            <w:pPr>
              <w:pStyle w:val="a3"/>
              <w:spacing w:before="0" w:beforeAutospacing="0" w:after="0" w:afterAutospacing="0"/>
              <w:jc w:val="right"/>
              <w:rPr>
                <w:sz w:val="20"/>
                <w:szCs w:val="20"/>
              </w:rPr>
            </w:pPr>
            <w:r>
              <w:rPr>
                <w:b/>
                <w:bCs/>
                <w:sz w:val="20"/>
                <w:szCs w:val="20"/>
              </w:rPr>
              <w:t>1,10</w:t>
            </w:r>
            <w:r>
              <w:rPr>
                <w:b/>
                <w:bCs/>
                <w:sz w:val="20"/>
                <w:szCs w:val="20"/>
              </w:rPr>
              <w:t>0</w:t>
            </w:r>
          </w:p>
        </w:tc>
        <w:tc>
          <w:tcPr>
            <w:tcW w:w="0" w:type="auto"/>
            <w:noWrap/>
            <w:vAlign w:val="bottom"/>
            <w:hideMark/>
          </w:tcPr>
          <w:p w14:paraId="3352C4E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958390C"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1891292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3E45B98" w14:textId="77777777" w:rsidR="00000000" w:rsidRDefault="003A1B5D">
            <w:pPr>
              <w:pStyle w:val="a3"/>
              <w:spacing w:before="0" w:beforeAutospacing="0" w:after="0" w:afterAutospacing="0"/>
              <w:jc w:val="right"/>
              <w:rPr>
                <w:sz w:val="20"/>
                <w:szCs w:val="20"/>
              </w:rPr>
            </w:pPr>
            <w:r>
              <w:rPr>
                <w:sz w:val="20"/>
                <w:szCs w:val="20"/>
              </w:rPr>
              <w:t>3,72</w:t>
            </w:r>
            <w:r>
              <w:rPr>
                <w:sz w:val="20"/>
                <w:szCs w:val="20"/>
              </w:rPr>
              <w:t>9</w:t>
            </w:r>
          </w:p>
        </w:tc>
        <w:tc>
          <w:tcPr>
            <w:tcW w:w="0" w:type="auto"/>
            <w:noWrap/>
            <w:vAlign w:val="bottom"/>
            <w:hideMark/>
          </w:tcPr>
          <w:p w14:paraId="3A9A7FF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42B942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6DF4DD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FBA41B7" w14:textId="77777777" w:rsidR="00000000" w:rsidRDefault="003A1B5D">
            <w:pPr>
              <w:pStyle w:val="a3"/>
              <w:spacing w:before="0" w:beforeAutospacing="0" w:after="0" w:afterAutospacing="0"/>
              <w:jc w:val="right"/>
              <w:rPr>
                <w:sz w:val="20"/>
                <w:szCs w:val="20"/>
              </w:rPr>
            </w:pPr>
            <w:r>
              <w:rPr>
                <w:b/>
                <w:bCs/>
                <w:sz w:val="20"/>
                <w:szCs w:val="20"/>
              </w:rPr>
              <w:t>2,29</w:t>
            </w:r>
            <w:r>
              <w:rPr>
                <w:b/>
                <w:bCs/>
                <w:sz w:val="20"/>
                <w:szCs w:val="20"/>
              </w:rPr>
              <w:t>4</w:t>
            </w:r>
          </w:p>
        </w:tc>
        <w:tc>
          <w:tcPr>
            <w:tcW w:w="0" w:type="auto"/>
            <w:noWrap/>
            <w:vAlign w:val="bottom"/>
            <w:hideMark/>
          </w:tcPr>
          <w:p w14:paraId="0777F90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09A2CF5"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55BB868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6259702" w14:textId="77777777" w:rsidR="00000000" w:rsidRDefault="003A1B5D">
            <w:pPr>
              <w:pStyle w:val="a3"/>
              <w:spacing w:before="0" w:beforeAutospacing="0" w:after="0" w:afterAutospacing="0"/>
              <w:jc w:val="right"/>
              <w:rPr>
                <w:sz w:val="20"/>
                <w:szCs w:val="20"/>
              </w:rPr>
            </w:pPr>
            <w:r>
              <w:rPr>
                <w:sz w:val="20"/>
                <w:szCs w:val="20"/>
              </w:rPr>
              <w:t>7,03</w:t>
            </w:r>
            <w:r>
              <w:rPr>
                <w:sz w:val="20"/>
                <w:szCs w:val="20"/>
              </w:rPr>
              <w:t>4</w:t>
            </w:r>
          </w:p>
        </w:tc>
        <w:tc>
          <w:tcPr>
            <w:tcW w:w="0" w:type="auto"/>
            <w:noWrap/>
            <w:vAlign w:val="bottom"/>
            <w:hideMark/>
          </w:tcPr>
          <w:p w14:paraId="3B1EDBA7" w14:textId="77777777" w:rsidR="00000000" w:rsidRDefault="003A1B5D">
            <w:pPr>
              <w:pStyle w:val="a3"/>
              <w:spacing w:before="0" w:beforeAutospacing="0" w:after="0" w:afterAutospacing="0"/>
              <w:rPr>
                <w:sz w:val="20"/>
                <w:szCs w:val="20"/>
              </w:rPr>
            </w:pPr>
            <w:r>
              <w:rPr>
                <w:sz w:val="20"/>
                <w:szCs w:val="20"/>
              </w:rPr>
              <w:t> </w:t>
            </w:r>
          </w:p>
        </w:tc>
      </w:tr>
      <w:tr w:rsidR="00000000" w14:paraId="22318418" w14:textId="77777777">
        <w:trPr>
          <w:divId w:val="607926777"/>
          <w:trHeight w:val="200"/>
          <w:tblCellSpacing w:w="15" w:type="dxa"/>
        </w:trPr>
        <w:tc>
          <w:tcPr>
            <w:tcW w:w="0" w:type="auto"/>
            <w:hideMark/>
          </w:tcPr>
          <w:p w14:paraId="2E56880C" w14:textId="77777777" w:rsidR="00000000" w:rsidRDefault="003A1B5D">
            <w:pPr>
              <w:pStyle w:val="a3"/>
              <w:spacing w:before="0" w:beforeAutospacing="0" w:after="0" w:afterAutospacing="0"/>
              <w:ind w:left="200"/>
              <w:rPr>
                <w:sz w:val="20"/>
                <w:szCs w:val="20"/>
              </w:rPr>
            </w:pPr>
            <w:r>
              <w:rPr>
                <w:sz w:val="20"/>
                <w:szCs w:val="20"/>
              </w:rPr>
              <w:t>Corporate and othe</w:t>
            </w:r>
            <w:r>
              <w:rPr>
                <w:sz w:val="20"/>
                <w:szCs w:val="20"/>
              </w:rPr>
              <w:t>r</w:t>
            </w:r>
          </w:p>
        </w:tc>
        <w:tc>
          <w:tcPr>
            <w:tcW w:w="0" w:type="auto"/>
            <w:vAlign w:val="bottom"/>
            <w:hideMark/>
          </w:tcPr>
          <w:p w14:paraId="48AE04D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6FC3C5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5A4A596" w14:textId="77777777" w:rsidR="00000000" w:rsidRDefault="003A1B5D">
            <w:pPr>
              <w:pStyle w:val="a3"/>
              <w:spacing w:before="0" w:beforeAutospacing="0" w:after="0" w:afterAutospacing="0"/>
              <w:jc w:val="right"/>
              <w:rPr>
                <w:sz w:val="20"/>
                <w:szCs w:val="20"/>
              </w:rPr>
            </w:pPr>
            <w:r>
              <w:rPr>
                <w:b/>
                <w:bCs/>
                <w:sz w:val="20"/>
                <w:szCs w:val="20"/>
              </w:rPr>
              <w:t>1,73</w:t>
            </w:r>
            <w:r>
              <w:rPr>
                <w:b/>
                <w:bCs/>
                <w:sz w:val="20"/>
                <w:szCs w:val="20"/>
              </w:rPr>
              <w:t>5</w:t>
            </w:r>
          </w:p>
        </w:tc>
        <w:tc>
          <w:tcPr>
            <w:tcW w:w="0" w:type="auto"/>
            <w:noWrap/>
            <w:vAlign w:val="bottom"/>
            <w:hideMark/>
          </w:tcPr>
          <w:p w14:paraId="3871314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97B4235"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38A7E2E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BB907EC" w14:textId="77777777" w:rsidR="00000000" w:rsidRDefault="003A1B5D">
            <w:pPr>
              <w:pStyle w:val="a3"/>
              <w:spacing w:before="0" w:beforeAutospacing="0" w:after="0" w:afterAutospacing="0"/>
              <w:jc w:val="right"/>
              <w:rPr>
                <w:sz w:val="20"/>
                <w:szCs w:val="20"/>
              </w:rPr>
            </w:pPr>
            <w:r>
              <w:rPr>
                <w:sz w:val="20"/>
                <w:szCs w:val="20"/>
              </w:rPr>
              <w:t>1,01</w:t>
            </w:r>
            <w:r>
              <w:rPr>
                <w:sz w:val="20"/>
                <w:szCs w:val="20"/>
              </w:rPr>
              <w:t>2</w:t>
            </w:r>
          </w:p>
        </w:tc>
        <w:tc>
          <w:tcPr>
            <w:tcW w:w="0" w:type="auto"/>
            <w:noWrap/>
            <w:vAlign w:val="bottom"/>
            <w:hideMark/>
          </w:tcPr>
          <w:p w14:paraId="2471A53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6DB85C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EA7B42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2B710FD" w14:textId="77777777" w:rsidR="00000000" w:rsidRDefault="003A1B5D">
            <w:pPr>
              <w:pStyle w:val="a3"/>
              <w:spacing w:before="0" w:beforeAutospacing="0" w:after="0" w:afterAutospacing="0"/>
              <w:jc w:val="right"/>
              <w:rPr>
                <w:sz w:val="20"/>
                <w:szCs w:val="20"/>
              </w:rPr>
            </w:pPr>
            <w:r>
              <w:rPr>
                <w:b/>
                <w:bCs/>
                <w:sz w:val="20"/>
                <w:szCs w:val="20"/>
              </w:rPr>
              <w:t>4,20</w:t>
            </w:r>
            <w:r>
              <w:rPr>
                <w:b/>
                <w:bCs/>
                <w:sz w:val="20"/>
                <w:szCs w:val="20"/>
              </w:rPr>
              <w:t>8</w:t>
            </w:r>
          </w:p>
        </w:tc>
        <w:tc>
          <w:tcPr>
            <w:tcW w:w="0" w:type="auto"/>
            <w:noWrap/>
            <w:vAlign w:val="bottom"/>
            <w:hideMark/>
          </w:tcPr>
          <w:p w14:paraId="6413851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BE497C5"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6B9F3C0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6CFB69B" w14:textId="77777777" w:rsidR="00000000" w:rsidRDefault="003A1B5D">
            <w:pPr>
              <w:pStyle w:val="a3"/>
              <w:spacing w:before="0" w:beforeAutospacing="0" w:after="0" w:afterAutospacing="0"/>
              <w:jc w:val="right"/>
              <w:rPr>
                <w:sz w:val="20"/>
                <w:szCs w:val="20"/>
              </w:rPr>
            </w:pPr>
            <w:r>
              <w:rPr>
                <w:sz w:val="20"/>
                <w:szCs w:val="20"/>
              </w:rPr>
              <w:t>10,56</w:t>
            </w:r>
            <w:r>
              <w:rPr>
                <w:sz w:val="20"/>
                <w:szCs w:val="20"/>
              </w:rPr>
              <w:t>2</w:t>
            </w:r>
          </w:p>
        </w:tc>
        <w:tc>
          <w:tcPr>
            <w:tcW w:w="0" w:type="auto"/>
            <w:noWrap/>
            <w:vAlign w:val="bottom"/>
            <w:hideMark/>
          </w:tcPr>
          <w:p w14:paraId="799D4A1F" w14:textId="77777777" w:rsidR="00000000" w:rsidRDefault="003A1B5D">
            <w:pPr>
              <w:pStyle w:val="a3"/>
              <w:spacing w:before="0" w:beforeAutospacing="0" w:after="0" w:afterAutospacing="0"/>
              <w:rPr>
                <w:sz w:val="20"/>
                <w:szCs w:val="20"/>
              </w:rPr>
            </w:pPr>
            <w:r>
              <w:rPr>
                <w:sz w:val="20"/>
                <w:szCs w:val="20"/>
              </w:rPr>
              <w:t> </w:t>
            </w:r>
          </w:p>
        </w:tc>
      </w:tr>
      <w:tr w:rsidR="00000000" w14:paraId="5E592C66" w14:textId="77777777">
        <w:trPr>
          <w:divId w:val="607926777"/>
          <w:trHeight w:val="200"/>
          <w:tblCellSpacing w:w="15" w:type="dxa"/>
        </w:trPr>
        <w:tc>
          <w:tcPr>
            <w:tcW w:w="0" w:type="auto"/>
            <w:hideMark/>
          </w:tcPr>
          <w:p w14:paraId="60A557DF" w14:textId="77777777" w:rsidR="00000000" w:rsidRDefault="003A1B5D">
            <w:pPr>
              <w:pStyle w:val="a3"/>
              <w:spacing w:before="0" w:beforeAutospacing="0" w:after="0" w:afterAutospacing="0"/>
              <w:rPr>
                <w:sz w:val="20"/>
                <w:szCs w:val="20"/>
              </w:rPr>
            </w:pPr>
            <w:r>
              <w:rPr>
                <w:sz w:val="20"/>
                <w:szCs w:val="20"/>
              </w:rPr>
              <w:t>Total capital expenditure</w:t>
            </w:r>
            <w:r>
              <w:rPr>
                <w:sz w:val="20"/>
                <w:szCs w:val="20"/>
              </w:rPr>
              <w:t>s</w:t>
            </w:r>
          </w:p>
        </w:tc>
        <w:tc>
          <w:tcPr>
            <w:tcW w:w="0" w:type="auto"/>
            <w:vAlign w:val="bottom"/>
            <w:hideMark/>
          </w:tcPr>
          <w:p w14:paraId="4228E6F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6319395"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26F78CA7" w14:textId="77777777" w:rsidR="00000000" w:rsidRDefault="003A1B5D">
            <w:pPr>
              <w:pStyle w:val="a3"/>
              <w:spacing w:before="0" w:beforeAutospacing="0" w:after="0" w:afterAutospacing="0"/>
              <w:jc w:val="right"/>
              <w:rPr>
                <w:sz w:val="20"/>
                <w:szCs w:val="20"/>
              </w:rPr>
            </w:pPr>
            <w:r>
              <w:rPr>
                <w:b/>
                <w:bCs/>
                <w:sz w:val="20"/>
                <w:szCs w:val="20"/>
              </w:rPr>
              <w:t>18,05</w:t>
            </w:r>
            <w:r>
              <w:rPr>
                <w:b/>
                <w:bCs/>
                <w:sz w:val="20"/>
                <w:szCs w:val="20"/>
              </w:rPr>
              <w:t>5</w:t>
            </w:r>
          </w:p>
        </w:tc>
        <w:tc>
          <w:tcPr>
            <w:tcW w:w="0" w:type="auto"/>
            <w:noWrap/>
            <w:vAlign w:val="bottom"/>
            <w:hideMark/>
          </w:tcPr>
          <w:p w14:paraId="01DBAE2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3B3B1BA"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7FB61DF0"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08A76A37" w14:textId="77777777" w:rsidR="00000000" w:rsidRDefault="003A1B5D">
            <w:pPr>
              <w:pStyle w:val="a3"/>
              <w:spacing w:before="0" w:beforeAutospacing="0" w:after="0" w:afterAutospacing="0"/>
              <w:jc w:val="right"/>
              <w:rPr>
                <w:sz w:val="20"/>
                <w:szCs w:val="20"/>
              </w:rPr>
            </w:pPr>
            <w:r>
              <w:rPr>
                <w:sz w:val="20"/>
                <w:szCs w:val="20"/>
              </w:rPr>
              <w:t>19,86</w:t>
            </w:r>
            <w:r>
              <w:rPr>
                <w:sz w:val="20"/>
                <w:szCs w:val="20"/>
              </w:rPr>
              <w:t>4</w:t>
            </w:r>
          </w:p>
        </w:tc>
        <w:tc>
          <w:tcPr>
            <w:tcW w:w="0" w:type="auto"/>
            <w:noWrap/>
            <w:vAlign w:val="bottom"/>
            <w:hideMark/>
          </w:tcPr>
          <w:p w14:paraId="19A2745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8569FA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E368B6C"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0D8FA752" w14:textId="77777777" w:rsidR="00000000" w:rsidRDefault="003A1B5D">
            <w:pPr>
              <w:pStyle w:val="a3"/>
              <w:spacing w:before="0" w:beforeAutospacing="0" w:after="0" w:afterAutospacing="0"/>
              <w:jc w:val="right"/>
              <w:rPr>
                <w:sz w:val="20"/>
                <w:szCs w:val="20"/>
              </w:rPr>
            </w:pPr>
            <w:r>
              <w:rPr>
                <w:b/>
                <w:bCs/>
                <w:sz w:val="20"/>
                <w:szCs w:val="20"/>
              </w:rPr>
              <w:t>52,14</w:t>
            </w:r>
            <w:r>
              <w:rPr>
                <w:b/>
                <w:bCs/>
                <w:sz w:val="20"/>
                <w:szCs w:val="20"/>
              </w:rPr>
              <w:t>8</w:t>
            </w:r>
          </w:p>
        </w:tc>
        <w:tc>
          <w:tcPr>
            <w:tcW w:w="0" w:type="auto"/>
            <w:noWrap/>
            <w:vAlign w:val="bottom"/>
            <w:hideMark/>
          </w:tcPr>
          <w:p w14:paraId="5B12BCA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8DBE732"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27416087"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1220DC29" w14:textId="77777777" w:rsidR="00000000" w:rsidRDefault="003A1B5D">
            <w:pPr>
              <w:pStyle w:val="a3"/>
              <w:spacing w:before="0" w:beforeAutospacing="0" w:after="0" w:afterAutospacing="0"/>
              <w:jc w:val="right"/>
              <w:rPr>
                <w:sz w:val="20"/>
                <w:szCs w:val="20"/>
              </w:rPr>
            </w:pPr>
            <w:r>
              <w:rPr>
                <w:sz w:val="20"/>
                <w:szCs w:val="20"/>
              </w:rPr>
              <w:t>52,72</w:t>
            </w:r>
            <w:r>
              <w:rPr>
                <w:sz w:val="20"/>
                <w:szCs w:val="20"/>
              </w:rPr>
              <w:t>4</w:t>
            </w:r>
          </w:p>
        </w:tc>
        <w:tc>
          <w:tcPr>
            <w:tcW w:w="0" w:type="auto"/>
            <w:noWrap/>
            <w:vAlign w:val="bottom"/>
            <w:hideMark/>
          </w:tcPr>
          <w:p w14:paraId="11AABE74" w14:textId="77777777" w:rsidR="00000000" w:rsidRDefault="003A1B5D">
            <w:pPr>
              <w:pStyle w:val="a3"/>
              <w:spacing w:before="0" w:beforeAutospacing="0" w:after="0" w:afterAutospacing="0"/>
              <w:rPr>
                <w:sz w:val="20"/>
                <w:szCs w:val="20"/>
              </w:rPr>
            </w:pPr>
            <w:r>
              <w:rPr>
                <w:sz w:val="20"/>
                <w:szCs w:val="20"/>
              </w:rPr>
              <w:t> </w:t>
            </w:r>
          </w:p>
        </w:tc>
      </w:tr>
    </w:tbl>
    <w:p w14:paraId="1E09311B" w14:textId="77777777" w:rsidR="00000000" w:rsidRDefault="003A1B5D">
      <w:pPr>
        <w:pStyle w:val="a3"/>
        <w:spacing w:before="120" w:beforeAutospacing="0" w:after="0" w:afterAutospacing="0"/>
        <w:ind w:left="476"/>
        <w:jc w:val="both"/>
        <w:divId w:val="31804548"/>
        <w:rPr>
          <w:sz w:val="20"/>
          <w:szCs w:val="20"/>
        </w:rPr>
      </w:pPr>
      <w:r>
        <w:rPr>
          <w:sz w:val="20"/>
          <w:szCs w:val="20"/>
        </w:rPr>
        <w:t>The total assets are as follows (in thousands)</w:t>
      </w:r>
      <w:r>
        <w:rPr>
          <w:sz w:val="20"/>
          <w:szCs w:val="20"/>
        </w:rPr>
        <w:t>:</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157"/>
        <w:gridCol w:w="110"/>
        <w:gridCol w:w="160"/>
        <w:gridCol w:w="941"/>
        <w:gridCol w:w="110"/>
        <w:gridCol w:w="110"/>
        <w:gridCol w:w="160"/>
        <w:gridCol w:w="941"/>
        <w:gridCol w:w="125"/>
      </w:tblGrid>
      <w:tr w:rsidR="00000000" w14:paraId="1769DDC2" w14:textId="77777777">
        <w:trPr>
          <w:divId w:val="31804548"/>
          <w:tblCellSpacing w:w="15" w:type="dxa"/>
        </w:trPr>
        <w:tc>
          <w:tcPr>
            <w:tcW w:w="2857" w:type="pct"/>
            <w:vAlign w:val="center"/>
            <w:hideMark/>
          </w:tcPr>
          <w:p w14:paraId="61AD896F" w14:textId="77777777" w:rsidR="00000000" w:rsidRDefault="003A1B5D">
            <w:pPr>
              <w:rPr>
                <w:sz w:val="20"/>
                <w:szCs w:val="20"/>
              </w:rPr>
            </w:pPr>
          </w:p>
        </w:tc>
        <w:tc>
          <w:tcPr>
            <w:tcW w:w="80" w:type="pct"/>
            <w:vAlign w:val="center"/>
            <w:hideMark/>
          </w:tcPr>
          <w:p w14:paraId="597E631B" w14:textId="77777777" w:rsidR="00000000" w:rsidRDefault="003A1B5D">
            <w:pPr>
              <w:rPr>
                <w:rFonts w:eastAsia="Times New Roman"/>
                <w:sz w:val="20"/>
                <w:szCs w:val="20"/>
              </w:rPr>
            </w:pPr>
          </w:p>
        </w:tc>
        <w:tc>
          <w:tcPr>
            <w:tcW w:w="50" w:type="pct"/>
            <w:vAlign w:val="center"/>
            <w:hideMark/>
          </w:tcPr>
          <w:p w14:paraId="60ACDF58" w14:textId="77777777" w:rsidR="00000000" w:rsidRDefault="003A1B5D">
            <w:pPr>
              <w:rPr>
                <w:rFonts w:eastAsia="Times New Roman"/>
                <w:sz w:val="20"/>
                <w:szCs w:val="20"/>
              </w:rPr>
            </w:pPr>
          </w:p>
        </w:tc>
        <w:tc>
          <w:tcPr>
            <w:tcW w:w="891" w:type="pct"/>
            <w:vAlign w:val="center"/>
            <w:hideMark/>
          </w:tcPr>
          <w:p w14:paraId="63011952" w14:textId="77777777" w:rsidR="00000000" w:rsidRDefault="003A1B5D">
            <w:pPr>
              <w:rPr>
                <w:rFonts w:eastAsia="Times New Roman"/>
                <w:sz w:val="20"/>
                <w:szCs w:val="20"/>
              </w:rPr>
            </w:pPr>
          </w:p>
        </w:tc>
        <w:tc>
          <w:tcPr>
            <w:tcW w:w="50" w:type="pct"/>
            <w:vAlign w:val="center"/>
            <w:hideMark/>
          </w:tcPr>
          <w:p w14:paraId="3C353D46" w14:textId="77777777" w:rsidR="00000000" w:rsidRDefault="003A1B5D">
            <w:pPr>
              <w:rPr>
                <w:rFonts w:eastAsia="Times New Roman"/>
                <w:sz w:val="20"/>
                <w:szCs w:val="20"/>
              </w:rPr>
            </w:pPr>
          </w:p>
        </w:tc>
        <w:tc>
          <w:tcPr>
            <w:tcW w:w="80" w:type="pct"/>
            <w:vAlign w:val="center"/>
            <w:hideMark/>
          </w:tcPr>
          <w:p w14:paraId="617C8224" w14:textId="77777777" w:rsidR="00000000" w:rsidRDefault="003A1B5D">
            <w:pPr>
              <w:rPr>
                <w:rFonts w:eastAsia="Times New Roman"/>
                <w:sz w:val="20"/>
                <w:szCs w:val="20"/>
              </w:rPr>
            </w:pPr>
          </w:p>
        </w:tc>
        <w:tc>
          <w:tcPr>
            <w:tcW w:w="50" w:type="pct"/>
            <w:vAlign w:val="center"/>
            <w:hideMark/>
          </w:tcPr>
          <w:p w14:paraId="00998582" w14:textId="77777777" w:rsidR="00000000" w:rsidRDefault="003A1B5D">
            <w:pPr>
              <w:rPr>
                <w:rFonts w:eastAsia="Times New Roman"/>
                <w:sz w:val="20"/>
                <w:szCs w:val="20"/>
              </w:rPr>
            </w:pPr>
          </w:p>
        </w:tc>
        <w:tc>
          <w:tcPr>
            <w:tcW w:w="891" w:type="pct"/>
            <w:vAlign w:val="center"/>
            <w:hideMark/>
          </w:tcPr>
          <w:p w14:paraId="1CA38B52" w14:textId="77777777" w:rsidR="00000000" w:rsidRDefault="003A1B5D">
            <w:pPr>
              <w:rPr>
                <w:rFonts w:eastAsia="Times New Roman"/>
                <w:sz w:val="20"/>
                <w:szCs w:val="20"/>
              </w:rPr>
            </w:pPr>
          </w:p>
        </w:tc>
        <w:tc>
          <w:tcPr>
            <w:tcW w:w="50" w:type="pct"/>
            <w:vAlign w:val="center"/>
            <w:hideMark/>
          </w:tcPr>
          <w:p w14:paraId="49247A05" w14:textId="77777777" w:rsidR="00000000" w:rsidRDefault="003A1B5D">
            <w:pPr>
              <w:rPr>
                <w:rFonts w:eastAsia="Times New Roman"/>
                <w:sz w:val="20"/>
                <w:szCs w:val="20"/>
              </w:rPr>
            </w:pPr>
          </w:p>
        </w:tc>
      </w:tr>
      <w:tr w:rsidR="00000000" w14:paraId="3F0D5F1F" w14:textId="77777777">
        <w:trPr>
          <w:divId w:val="31804548"/>
          <w:trHeight w:val="160"/>
          <w:tblCellSpacing w:w="15" w:type="dxa"/>
        </w:trPr>
        <w:tc>
          <w:tcPr>
            <w:tcW w:w="0" w:type="auto"/>
            <w:vAlign w:val="bottom"/>
            <w:hideMark/>
          </w:tcPr>
          <w:p w14:paraId="536D25A8"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1D4A7121"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BE2C353" w14:textId="77777777" w:rsidR="00000000" w:rsidRDefault="003A1B5D">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14:paraId="556C13CE"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2E4098B5"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F2F2D8B" w14:textId="77777777" w:rsidR="00000000" w:rsidRDefault="003A1B5D">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14:paraId="4FF32CE0"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70E366C1" w14:textId="77777777">
        <w:trPr>
          <w:divId w:val="31804548"/>
          <w:trHeight w:val="200"/>
          <w:tblCellSpacing w:w="15" w:type="dxa"/>
        </w:trPr>
        <w:tc>
          <w:tcPr>
            <w:tcW w:w="0" w:type="auto"/>
            <w:vAlign w:val="bottom"/>
            <w:hideMark/>
          </w:tcPr>
          <w:p w14:paraId="7F07089E" w14:textId="77777777" w:rsidR="00000000" w:rsidRDefault="003A1B5D">
            <w:pPr>
              <w:pStyle w:val="a3"/>
              <w:spacing w:before="0" w:beforeAutospacing="0" w:after="0" w:afterAutospacing="0"/>
              <w:rPr>
                <w:sz w:val="20"/>
                <w:szCs w:val="20"/>
              </w:rPr>
            </w:pPr>
            <w:r>
              <w:rPr>
                <w:sz w:val="20"/>
                <w:szCs w:val="20"/>
              </w:rPr>
              <w:t>Assets</w:t>
            </w:r>
            <w:r>
              <w:rPr>
                <w:sz w:val="20"/>
                <w:szCs w:val="20"/>
              </w:rPr>
              <w:t>:</w:t>
            </w:r>
          </w:p>
        </w:tc>
        <w:tc>
          <w:tcPr>
            <w:tcW w:w="0" w:type="auto"/>
            <w:vAlign w:val="bottom"/>
            <w:hideMark/>
          </w:tcPr>
          <w:p w14:paraId="4BE285DE"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4C3661DA"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D54B79E"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161516EC"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421D0C23"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6F678197" w14:textId="77777777" w:rsidR="00000000" w:rsidRDefault="003A1B5D">
            <w:pPr>
              <w:pStyle w:val="a3"/>
              <w:spacing w:before="0" w:beforeAutospacing="0" w:after="0" w:afterAutospacing="0"/>
              <w:jc w:val="right"/>
              <w:rPr>
                <w:sz w:val="20"/>
                <w:szCs w:val="20"/>
              </w:rPr>
            </w:pPr>
            <w:r>
              <w:rPr>
                <w:sz w:val="20"/>
                <w:szCs w:val="20"/>
              </w:rPr>
              <w:t> </w:t>
            </w:r>
          </w:p>
        </w:tc>
      </w:tr>
      <w:tr w:rsidR="00000000" w14:paraId="1710BAF9" w14:textId="77777777">
        <w:trPr>
          <w:divId w:val="31804548"/>
          <w:trHeight w:val="200"/>
          <w:tblCellSpacing w:w="15" w:type="dxa"/>
        </w:trPr>
        <w:tc>
          <w:tcPr>
            <w:tcW w:w="0" w:type="auto"/>
            <w:vAlign w:val="bottom"/>
            <w:hideMark/>
          </w:tcPr>
          <w:p w14:paraId="5EE9DF57" w14:textId="77777777" w:rsidR="00000000" w:rsidRDefault="003A1B5D">
            <w:pPr>
              <w:pStyle w:val="a3"/>
              <w:spacing w:before="0" w:beforeAutospacing="0" w:after="0" w:afterAutospacing="0"/>
              <w:rPr>
                <w:sz w:val="20"/>
                <w:szCs w:val="20"/>
              </w:rPr>
            </w:pPr>
            <w:r>
              <w:rPr>
                <w:sz w:val="20"/>
                <w:szCs w:val="20"/>
              </w:rPr>
              <w:t>     Safet</w:t>
            </w:r>
            <w:r>
              <w:rPr>
                <w:sz w:val="20"/>
                <w:szCs w:val="20"/>
              </w:rPr>
              <w:t>y</w:t>
            </w:r>
          </w:p>
        </w:tc>
        <w:tc>
          <w:tcPr>
            <w:tcW w:w="0" w:type="auto"/>
            <w:vAlign w:val="bottom"/>
            <w:hideMark/>
          </w:tcPr>
          <w:p w14:paraId="4D29F5B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DC4DAB4"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4070813" w14:textId="77777777" w:rsidR="00000000" w:rsidRDefault="003A1B5D">
            <w:pPr>
              <w:pStyle w:val="a3"/>
              <w:spacing w:before="0" w:beforeAutospacing="0" w:after="0" w:afterAutospacing="0"/>
              <w:jc w:val="right"/>
              <w:rPr>
                <w:sz w:val="20"/>
                <w:szCs w:val="20"/>
              </w:rPr>
            </w:pPr>
            <w:r>
              <w:rPr>
                <w:b/>
                <w:bCs/>
                <w:sz w:val="20"/>
                <w:szCs w:val="20"/>
              </w:rPr>
              <w:t>2,423,60</w:t>
            </w:r>
            <w:r>
              <w:rPr>
                <w:b/>
                <w:bCs/>
                <w:sz w:val="20"/>
                <w:szCs w:val="20"/>
              </w:rPr>
              <w:t>3</w:t>
            </w:r>
          </w:p>
        </w:tc>
        <w:tc>
          <w:tcPr>
            <w:tcW w:w="0" w:type="auto"/>
            <w:noWrap/>
            <w:vAlign w:val="bottom"/>
            <w:hideMark/>
          </w:tcPr>
          <w:p w14:paraId="7CCDB53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AACEF0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75B5588"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65ED28D5" w14:textId="77777777" w:rsidR="00000000" w:rsidRDefault="003A1B5D">
            <w:pPr>
              <w:pStyle w:val="a3"/>
              <w:spacing w:before="0" w:beforeAutospacing="0" w:after="0" w:afterAutospacing="0"/>
              <w:jc w:val="right"/>
              <w:rPr>
                <w:sz w:val="20"/>
                <w:szCs w:val="20"/>
              </w:rPr>
            </w:pPr>
            <w:r>
              <w:rPr>
                <w:sz w:val="20"/>
                <w:szCs w:val="20"/>
              </w:rPr>
              <w:t>2,532,31</w:t>
            </w:r>
            <w:r>
              <w:rPr>
                <w:sz w:val="20"/>
                <w:szCs w:val="20"/>
              </w:rPr>
              <w:t>9</w:t>
            </w:r>
          </w:p>
        </w:tc>
        <w:tc>
          <w:tcPr>
            <w:tcW w:w="0" w:type="auto"/>
            <w:noWrap/>
            <w:vAlign w:val="bottom"/>
            <w:hideMark/>
          </w:tcPr>
          <w:p w14:paraId="564458D5" w14:textId="77777777" w:rsidR="00000000" w:rsidRDefault="003A1B5D">
            <w:pPr>
              <w:pStyle w:val="a3"/>
              <w:spacing w:before="0" w:beforeAutospacing="0" w:after="0" w:afterAutospacing="0"/>
              <w:rPr>
                <w:sz w:val="20"/>
                <w:szCs w:val="20"/>
              </w:rPr>
            </w:pPr>
            <w:r>
              <w:rPr>
                <w:sz w:val="20"/>
                <w:szCs w:val="20"/>
              </w:rPr>
              <w:t> </w:t>
            </w:r>
          </w:p>
        </w:tc>
      </w:tr>
      <w:tr w:rsidR="00000000" w14:paraId="51092510" w14:textId="77777777">
        <w:trPr>
          <w:divId w:val="31804548"/>
          <w:trHeight w:val="200"/>
          <w:tblCellSpacing w:w="15" w:type="dxa"/>
        </w:trPr>
        <w:tc>
          <w:tcPr>
            <w:tcW w:w="0" w:type="auto"/>
            <w:vAlign w:val="bottom"/>
            <w:hideMark/>
          </w:tcPr>
          <w:p w14:paraId="77E1A2E4" w14:textId="77777777" w:rsidR="00000000" w:rsidRDefault="003A1B5D">
            <w:pPr>
              <w:pStyle w:val="a3"/>
              <w:spacing w:before="0" w:beforeAutospacing="0" w:after="0" w:afterAutospacing="0"/>
              <w:rPr>
                <w:sz w:val="20"/>
                <w:szCs w:val="20"/>
              </w:rPr>
            </w:pPr>
            <w:r>
              <w:rPr>
                <w:sz w:val="20"/>
                <w:szCs w:val="20"/>
              </w:rPr>
              <w:t>     Communit</w:t>
            </w:r>
            <w:r>
              <w:rPr>
                <w:sz w:val="20"/>
                <w:szCs w:val="20"/>
              </w:rPr>
              <w:t>y</w:t>
            </w:r>
          </w:p>
        </w:tc>
        <w:tc>
          <w:tcPr>
            <w:tcW w:w="0" w:type="auto"/>
            <w:vAlign w:val="bottom"/>
            <w:hideMark/>
          </w:tcPr>
          <w:p w14:paraId="26330D2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F8B47B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D49F437" w14:textId="77777777" w:rsidR="00000000" w:rsidRDefault="003A1B5D">
            <w:pPr>
              <w:pStyle w:val="a3"/>
              <w:spacing w:before="0" w:beforeAutospacing="0" w:after="0" w:afterAutospacing="0"/>
              <w:jc w:val="right"/>
              <w:rPr>
                <w:sz w:val="20"/>
                <w:szCs w:val="20"/>
              </w:rPr>
            </w:pPr>
            <w:r>
              <w:rPr>
                <w:b/>
                <w:bCs/>
                <w:sz w:val="20"/>
                <w:szCs w:val="20"/>
              </w:rPr>
              <w:t>215,23</w:t>
            </w:r>
            <w:r>
              <w:rPr>
                <w:b/>
                <w:bCs/>
                <w:sz w:val="20"/>
                <w:szCs w:val="20"/>
              </w:rPr>
              <w:t>6</w:t>
            </w:r>
          </w:p>
        </w:tc>
        <w:tc>
          <w:tcPr>
            <w:tcW w:w="0" w:type="auto"/>
            <w:noWrap/>
            <w:vAlign w:val="bottom"/>
            <w:hideMark/>
          </w:tcPr>
          <w:p w14:paraId="492AD48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B28CE5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7816E8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B7AC381" w14:textId="77777777" w:rsidR="00000000" w:rsidRDefault="003A1B5D">
            <w:pPr>
              <w:pStyle w:val="a3"/>
              <w:spacing w:before="0" w:beforeAutospacing="0" w:after="0" w:afterAutospacing="0"/>
              <w:jc w:val="right"/>
              <w:rPr>
                <w:sz w:val="20"/>
                <w:szCs w:val="20"/>
              </w:rPr>
            </w:pPr>
            <w:r>
              <w:rPr>
                <w:sz w:val="20"/>
                <w:szCs w:val="20"/>
              </w:rPr>
              <w:t>233,17</w:t>
            </w:r>
            <w:r>
              <w:rPr>
                <w:sz w:val="20"/>
                <w:szCs w:val="20"/>
              </w:rPr>
              <w:t>9</w:t>
            </w:r>
          </w:p>
        </w:tc>
        <w:tc>
          <w:tcPr>
            <w:tcW w:w="0" w:type="auto"/>
            <w:noWrap/>
            <w:vAlign w:val="bottom"/>
            <w:hideMark/>
          </w:tcPr>
          <w:p w14:paraId="2FAB131E" w14:textId="77777777" w:rsidR="00000000" w:rsidRDefault="003A1B5D">
            <w:pPr>
              <w:pStyle w:val="a3"/>
              <w:spacing w:before="0" w:beforeAutospacing="0" w:after="0" w:afterAutospacing="0"/>
              <w:rPr>
                <w:sz w:val="20"/>
                <w:szCs w:val="20"/>
              </w:rPr>
            </w:pPr>
            <w:r>
              <w:rPr>
                <w:sz w:val="20"/>
                <w:szCs w:val="20"/>
              </w:rPr>
              <w:t> </w:t>
            </w:r>
          </w:p>
        </w:tc>
      </w:tr>
      <w:tr w:rsidR="00000000" w14:paraId="19255314" w14:textId="77777777">
        <w:trPr>
          <w:divId w:val="31804548"/>
          <w:trHeight w:val="200"/>
          <w:tblCellSpacing w:w="15" w:type="dxa"/>
        </w:trPr>
        <w:tc>
          <w:tcPr>
            <w:tcW w:w="0" w:type="auto"/>
            <w:vAlign w:val="bottom"/>
            <w:hideMark/>
          </w:tcPr>
          <w:p w14:paraId="66DFB55F" w14:textId="77777777" w:rsidR="00000000" w:rsidRDefault="003A1B5D">
            <w:pPr>
              <w:pStyle w:val="a3"/>
              <w:spacing w:before="0" w:beforeAutospacing="0" w:after="0" w:afterAutospacing="0"/>
              <w:rPr>
                <w:sz w:val="20"/>
                <w:szCs w:val="20"/>
              </w:rPr>
            </w:pPr>
            <w:r>
              <w:rPr>
                <w:sz w:val="20"/>
                <w:szCs w:val="20"/>
              </w:rPr>
              <w:t>     Propertie</w:t>
            </w:r>
            <w:r>
              <w:rPr>
                <w:sz w:val="20"/>
                <w:szCs w:val="20"/>
              </w:rPr>
              <w:t>s</w:t>
            </w:r>
          </w:p>
        </w:tc>
        <w:tc>
          <w:tcPr>
            <w:tcW w:w="0" w:type="auto"/>
            <w:vAlign w:val="bottom"/>
            <w:hideMark/>
          </w:tcPr>
          <w:p w14:paraId="2F3DE03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3CE9A1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7FAE3A3" w14:textId="77777777" w:rsidR="00000000" w:rsidRDefault="003A1B5D">
            <w:pPr>
              <w:pStyle w:val="a3"/>
              <w:spacing w:before="0" w:beforeAutospacing="0" w:after="0" w:afterAutospacing="0"/>
              <w:jc w:val="right"/>
              <w:rPr>
                <w:sz w:val="20"/>
                <w:szCs w:val="20"/>
              </w:rPr>
            </w:pPr>
            <w:r>
              <w:rPr>
                <w:b/>
                <w:bCs/>
                <w:sz w:val="20"/>
                <w:szCs w:val="20"/>
              </w:rPr>
              <w:t>365,76</w:t>
            </w:r>
            <w:r>
              <w:rPr>
                <w:b/>
                <w:bCs/>
                <w:sz w:val="20"/>
                <w:szCs w:val="20"/>
              </w:rPr>
              <w:t>6</w:t>
            </w:r>
          </w:p>
        </w:tc>
        <w:tc>
          <w:tcPr>
            <w:tcW w:w="0" w:type="auto"/>
            <w:noWrap/>
            <w:vAlign w:val="bottom"/>
            <w:hideMark/>
          </w:tcPr>
          <w:p w14:paraId="4EFBB85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9DC7A9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A57AC2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0751276" w14:textId="77777777" w:rsidR="00000000" w:rsidRDefault="003A1B5D">
            <w:pPr>
              <w:pStyle w:val="a3"/>
              <w:spacing w:before="0" w:beforeAutospacing="0" w:after="0" w:afterAutospacing="0"/>
              <w:jc w:val="right"/>
              <w:rPr>
                <w:sz w:val="20"/>
                <w:szCs w:val="20"/>
              </w:rPr>
            </w:pPr>
            <w:r>
              <w:rPr>
                <w:sz w:val="20"/>
                <w:szCs w:val="20"/>
              </w:rPr>
              <w:t>352,68</w:t>
            </w:r>
            <w:r>
              <w:rPr>
                <w:sz w:val="20"/>
                <w:szCs w:val="20"/>
              </w:rPr>
              <w:t>1</w:t>
            </w:r>
          </w:p>
        </w:tc>
        <w:tc>
          <w:tcPr>
            <w:tcW w:w="0" w:type="auto"/>
            <w:noWrap/>
            <w:vAlign w:val="bottom"/>
            <w:hideMark/>
          </w:tcPr>
          <w:p w14:paraId="06522A16" w14:textId="77777777" w:rsidR="00000000" w:rsidRDefault="003A1B5D">
            <w:pPr>
              <w:pStyle w:val="a3"/>
              <w:spacing w:before="0" w:beforeAutospacing="0" w:after="0" w:afterAutospacing="0"/>
              <w:rPr>
                <w:sz w:val="20"/>
                <w:szCs w:val="20"/>
              </w:rPr>
            </w:pPr>
            <w:r>
              <w:rPr>
                <w:sz w:val="20"/>
                <w:szCs w:val="20"/>
              </w:rPr>
              <w:t> </w:t>
            </w:r>
          </w:p>
        </w:tc>
      </w:tr>
      <w:tr w:rsidR="00000000" w14:paraId="1A144B53" w14:textId="77777777">
        <w:trPr>
          <w:divId w:val="31804548"/>
          <w:trHeight w:val="200"/>
          <w:tblCellSpacing w:w="15" w:type="dxa"/>
        </w:trPr>
        <w:tc>
          <w:tcPr>
            <w:tcW w:w="0" w:type="auto"/>
            <w:vAlign w:val="bottom"/>
            <w:hideMark/>
          </w:tcPr>
          <w:p w14:paraId="47F0EBE0" w14:textId="77777777" w:rsidR="00000000" w:rsidRDefault="003A1B5D">
            <w:pPr>
              <w:pStyle w:val="a3"/>
              <w:spacing w:before="0" w:beforeAutospacing="0" w:after="0" w:afterAutospacing="0"/>
              <w:rPr>
                <w:sz w:val="20"/>
                <w:szCs w:val="20"/>
              </w:rPr>
            </w:pPr>
            <w:r>
              <w:rPr>
                <w:sz w:val="20"/>
                <w:szCs w:val="20"/>
              </w:rPr>
              <w:t>     Corporate and othe</w:t>
            </w:r>
            <w:r>
              <w:rPr>
                <w:sz w:val="20"/>
                <w:szCs w:val="20"/>
              </w:rPr>
              <w:t>r</w:t>
            </w:r>
          </w:p>
        </w:tc>
        <w:tc>
          <w:tcPr>
            <w:tcW w:w="0" w:type="auto"/>
            <w:vAlign w:val="bottom"/>
            <w:hideMark/>
          </w:tcPr>
          <w:p w14:paraId="0095C06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C02E29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5BBBD61" w14:textId="77777777" w:rsidR="00000000" w:rsidRDefault="003A1B5D">
            <w:pPr>
              <w:pStyle w:val="a3"/>
              <w:spacing w:before="0" w:beforeAutospacing="0" w:after="0" w:afterAutospacing="0"/>
              <w:jc w:val="right"/>
              <w:rPr>
                <w:sz w:val="20"/>
                <w:szCs w:val="20"/>
              </w:rPr>
            </w:pPr>
            <w:r>
              <w:rPr>
                <w:b/>
                <w:bCs/>
                <w:sz w:val="20"/>
                <w:szCs w:val="20"/>
              </w:rPr>
              <w:t>266,32</w:t>
            </w:r>
            <w:r>
              <w:rPr>
                <w:b/>
                <w:bCs/>
                <w:sz w:val="20"/>
                <w:szCs w:val="20"/>
              </w:rPr>
              <w:t>1</w:t>
            </w:r>
          </w:p>
        </w:tc>
        <w:tc>
          <w:tcPr>
            <w:tcW w:w="0" w:type="auto"/>
            <w:noWrap/>
            <w:vAlign w:val="bottom"/>
            <w:hideMark/>
          </w:tcPr>
          <w:p w14:paraId="6E5D279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6C58D7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3D03F5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71A6F74" w14:textId="77777777" w:rsidR="00000000" w:rsidRDefault="003A1B5D">
            <w:pPr>
              <w:pStyle w:val="a3"/>
              <w:spacing w:before="0" w:beforeAutospacing="0" w:after="0" w:afterAutospacing="0"/>
              <w:jc w:val="right"/>
              <w:rPr>
                <w:sz w:val="20"/>
                <w:szCs w:val="20"/>
              </w:rPr>
            </w:pPr>
            <w:r>
              <w:rPr>
                <w:sz w:val="20"/>
                <w:szCs w:val="20"/>
              </w:rPr>
              <w:t>380,75</w:t>
            </w:r>
            <w:r>
              <w:rPr>
                <w:sz w:val="20"/>
                <w:szCs w:val="20"/>
              </w:rPr>
              <w:t>9</w:t>
            </w:r>
          </w:p>
        </w:tc>
        <w:tc>
          <w:tcPr>
            <w:tcW w:w="0" w:type="auto"/>
            <w:noWrap/>
            <w:vAlign w:val="bottom"/>
            <w:hideMark/>
          </w:tcPr>
          <w:p w14:paraId="5C328B3B" w14:textId="77777777" w:rsidR="00000000" w:rsidRDefault="003A1B5D">
            <w:pPr>
              <w:pStyle w:val="a3"/>
              <w:spacing w:before="0" w:beforeAutospacing="0" w:after="0" w:afterAutospacing="0"/>
              <w:rPr>
                <w:sz w:val="20"/>
                <w:szCs w:val="20"/>
              </w:rPr>
            </w:pPr>
            <w:r>
              <w:rPr>
                <w:sz w:val="20"/>
                <w:szCs w:val="20"/>
              </w:rPr>
              <w:t> </w:t>
            </w:r>
          </w:p>
        </w:tc>
      </w:tr>
      <w:tr w:rsidR="00000000" w14:paraId="645D2829" w14:textId="77777777">
        <w:trPr>
          <w:divId w:val="31804548"/>
          <w:trHeight w:val="200"/>
          <w:tblCellSpacing w:w="15" w:type="dxa"/>
        </w:trPr>
        <w:tc>
          <w:tcPr>
            <w:tcW w:w="0" w:type="auto"/>
            <w:vAlign w:val="bottom"/>
            <w:hideMark/>
          </w:tcPr>
          <w:p w14:paraId="179A706B" w14:textId="77777777" w:rsidR="00000000" w:rsidRDefault="003A1B5D">
            <w:pPr>
              <w:pStyle w:val="a3"/>
              <w:spacing w:before="0" w:beforeAutospacing="0" w:after="0" w:afterAutospacing="0"/>
              <w:rPr>
                <w:sz w:val="20"/>
                <w:szCs w:val="20"/>
              </w:rPr>
            </w:pPr>
            <w:r>
              <w:rPr>
                <w:sz w:val="20"/>
                <w:szCs w:val="20"/>
              </w:rPr>
              <w:t>Total Asset</w:t>
            </w:r>
            <w:r>
              <w:rPr>
                <w:sz w:val="20"/>
                <w:szCs w:val="20"/>
              </w:rPr>
              <w:t>s</w:t>
            </w:r>
          </w:p>
        </w:tc>
        <w:tc>
          <w:tcPr>
            <w:tcW w:w="0" w:type="auto"/>
            <w:vAlign w:val="bottom"/>
            <w:hideMark/>
          </w:tcPr>
          <w:p w14:paraId="1AD7745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697F62A"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1ECB960E" w14:textId="77777777" w:rsidR="00000000" w:rsidRDefault="003A1B5D">
            <w:pPr>
              <w:pStyle w:val="a3"/>
              <w:spacing w:before="0" w:beforeAutospacing="0" w:after="0" w:afterAutospacing="0"/>
              <w:jc w:val="right"/>
              <w:rPr>
                <w:sz w:val="20"/>
                <w:szCs w:val="20"/>
              </w:rPr>
            </w:pPr>
            <w:r>
              <w:rPr>
                <w:b/>
                <w:bCs/>
                <w:sz w:val="20"/>
                <w:szCs w:val="20"/>
              </w:rPr>
              <w:t>3,270,92</w:t>
            </w:r>
            <w:r>
              <w:rPr>
                <w:b/>
                <w:bCs/>
                <w:sz w:val="20"/>
                <w:szCs w:val="20"/>
              </w:rPr>
              <w:t>6</w:t>
            </w:r>
          </w:p>
        </w:tc>
        <w:tc>
          <w:tcPr>
            <w:tcW w:w="0" w:type="auto"/>
            <w:noWrap/>
            <w:vAlign w:val="bottom"/>
            <w:hideMark/>
          </w:tcPr>
          <w:p w14:paraId="0348670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BA596D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A989663"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7ACE5474" w14:textId="77777777" w:rsidR="00000000" w:rsidRDefault="003A1B5D">
            <w:pPr>
              <w:pStyle w:val="a3"/>
              <w:spacing w:before="0" w:beforeAutospacing="0" w:after="0" w:afterAutospacing="0"/>
              <w:jc w:val="right"/>
              <w:rPr>
                <w:sz w:val="20"/>
                <w:szCs w:val="20"/>
              </w:rPr>
            </w:pPr>
            <w:r>
              <w:rPr>
                <w:sz w:val="20"/>
                <w:szCs w:val="20"/>
              </w:rPr>
              <w:t>3,498,93</w:t>
            </w:r>
            <w:r>
              <w:rPr>
                <w:sz w:val="20"/>
                <w:szCs w:val="20"/>
              </w:rPr>
              <w:t>8</w:t>
            </w:r>
          </w:p>
        </w:tc>
        <w:tc>
          <w:tcPr>
            <w:tcW w:w="0" w:type="auto"/>
            <w:noWrap/>
            <w:vAlign w:val="bottom"/>
            <w:hideMark/>
          </w:tcPr>
          <w:p w14:paraId="588AEAC3" w14:textId="77777777" w:rsidR="00000000" w:rsidRDefault="003A1B5D">
            <w:pPr>
              <w:pStyle w:val="a3"/>
              <w:spacing w:before="0" w:beforeAutospacing="0" w:after="0" w:afterAutospacing="0"/>
              <w:rPr>
                <w:sz w:val="20"/>
                <w:szCs w:val="20"/>
              </w:rPr>
            </w:pPr>
            <w:r>
              <w:rPr>
                <w:sz w:val="20"/>
                <w:szCs w:val="20"/>
              </w:rPr>
              <w:t> </w:t>
            </w:r>
          </w:p>
        </w:tc>
      </w:tr>
    </w:tbl>
    <w:p w14:paraId="64DA8742" w14:textId="77777777" w:rsidR="00000000" w:rsidRDefault="003A1B5D">
      <w:pPr>
        <w:pStyle w:val="a3"/>
        <w:spacing w:before="0" w:beforeAutospacing="0" w:after="0" w:afterAutospacing="0"/>
        <w:jc w:val="both"/>
        <w:rPr>
          <w:sz w:val="20"/>
          <w:szCs w:val="20"/>
        </w:rPr>
      </w:pPr>
      <w:r>
        <w:rPr>
          <w:sz w:val="20"/>
          <w:szCs w:val="20"/>
        </w:rPr>
        <w:t> </w:t>
      </w:r>
    </w:p>
    <w:p w14:paraId="2E83CB11" w14:textId="77777777" w:rsidR="00000000" w:rsidRDefault="003A1B5D">
      <w:pPr>
        <w:pStyle w:val="a3"/>
        <w:spacing w:before="240" w:beforeAutospacing="0" w:after="0" w:afterAutospacing="0"/>
        <w:jc w:val="center"/>
        <w:rPr>
          <w:sz w:val="20"/>
          <w:szCs w:val="20"/>
        </w:rPr>
      </w:pPr>
      <w:r>
        <w:rPr>
          <w:sz w:val="20"/>
          <w:szCs w:val="20"/>
        </w:rPr>
        <w:t>1</w:t>
      </w:r>
      <w:r>
        <w:rPr>
          <w:sz w:val="20"/>
          <w:szCs w:val="20"/>
        </w:rPr>
        <w:t>9</w:t>
      </w:r>
    </w:p>
    <w:p w14:paraId="111207B9" w14:textId="77777777" w:rsidR="00000000" w:rsidRDefault="003A1B5D">
      <w:pPr>
        <w:rPr>
          <w:rFonts w:eastAsia="Times New Roman"/>
        </w:rPr>
      </w:pPr>
      <w:r>
        <w:rPr>
          <w:rFonts w:eastAsia="Times New Roman"/>
        </w:rPr>
        <w:pict w14:anchorId="7C397882">
          <v:rect id="_x0000_i1045" style="width:0;height:1.5pt" o:hralign="center" o:hrstd="t" o:hr="t" fillcolor="#a0a0a0" stroked="f"/>
        </w:pict>
      </w:r>
    </w:p>
    <w:p w14:paraId="7BBEEEB0" w14:textId="77777777" w:rsidR="00000000" w:rsidRDefault="003A1B5D">
      <w:pPr>
        <w:pStyle w:val="a3"/>
        <w:spacing w:before="0" w:beforeAutospacing="0" w:after="0" w:afterAutospacing="0"/>
        <w:rPr>
          <w:sz w:val="20"/>
          <w:szCs w:val="20"/>
        </w:rPr>
      </w:pPr>
      <w:r>
        <w:rPr>
          <w:sz w:val="20"/>
          <w:szCs w:val="20"/>
        </w:rPr>
        <w:t> </w:t>
      </w:r>
    </w:p>
    <w:p w14:paraId="66D7D5C3" w14:textId="77777777" w:rsidR="00000000" w:rsidRDefault="003A1B5D">
      <w:pPr>
        <w:pStyle w:val="a3"/>
        <w:spacing w:before="0" w:beforeAutospacing="0" w:after="0" w:afterAutospacing="0"/>
        <w:jc w:val="both"/>
        <w:rPr>
          <w:sz w:val="20"/>
          <w:szCs w:val="20"/>
        </w:rPr>
      </w:pPr>
      <w:r>
        <w:rPr>
          <w:b/>
          <w:bCs/>
          <w:sz w:val="20"/>
          <w:szCs w:val="20"/>
        </w:rPr>
        <w:t>ITEM 2. MANAGEMENT'S DI</w:t>
      </w:r>
      <w:r>
        <w:rPr>
          <w:b/>
          <w:bCs/>
          <w:sz w:val="20"/>
          <w:szCs w:val="20"/>
        </w:rPr>
        <w:t>S</w:t>
      </w:r>
      <w:r>
        <w:rPr>
          <w:b/>
          <w:bCs/>
          <w:sz w:val="20"/>
          <w:szCs w:val="20"/>
        </w:rPr>
        <w:t>CUSSION AND ANALYSIS OF FINANCIAL CONDITION AND RESULTS OF OPERATIONS</w:t>
      </w:r>
      <w:r>
        <w:rPr>
          <w:b/>
          <w:bCs/>
          <w:sz w:val="20"/>
          <w:szCs w:val="20"/>
        </w:rPr>
        <w:t>.</w:t>
      </w:r>
    </w:p>
    <w:p w14:paraId="0130958D" w14:textId="77777777" w:rsidR="00000000" w:rsidRDefault="003A1B5D">
      <w:pPr>
        <w:pStyle w:val="a3"/>
        <w:spacing w:before="120" w:beforeAutospacing="0" w:after="0" w:afterAutospacing="0"/>
        <w:jc w:val="both"/>
        <w:rPr>
          <w:sz w:val="20"/>
          <w:szCs w:val="20"/>
        </w:rPr>
      </w:pPr>
      <w:r>
        <w:rPr>
          <w:sz w:val="20"/>
          <w:szCs w:val="20"/>
        </w:rPr>
        <w:t xml:space="preserve">The following discussion should be read in conjunction with the financial statements and notes thereto appearing elsewhere </w:t>
      </w:r>
      <w:r>
        <w:rPr>
          <w:sz w:val="20"/>
          <w:szCs w:val="20"/>
        </w:rPr>
        <w:t>in this quarterly report on Form 10-Q, or Quarterly Report. In this Quarterly Report we use the terms, the "Company," "CoreCivic," "we," "us," and "our" to refer to CoreCivic, Inc. and its subsidiaries unless context indicates otherwise</w:t>
      </w:r>
      <w:r>
        <w:rPr>
          <w:sz w:val="20"/>
          <w:szCs w:val="20"/>
        </w:rPr>
        <w:t>.</w:t>
      </w:r>
      <w:r>
        <w:rPr>
          <w:sz w:val="20"/>
          <w:szCs w:val="20"/>
        </w:rPr>
        <w:t xml:space="preserve"> </w:t>
      </w:r>
    </w:p>
    <w:p w14:paraId="3FE5F16E" w14:textId="77777777" w:rsidR="00000000" w:rsidRDefault="003A1B5D">
      <w:pPr>
        <w:pStyle w:val="a3"/>
        <w:spacing w:before="240" w:beforeAutospacing="0" w:after="0" w:afterAutospacing="0"/>
        <w:jc w:val="both"/>
        <w:rPr>
          <w:sz w:val="20"/>
          <w:szCs w:val="20"/>
        </w:rPr>
      </w:pPr>
      <w:r>
        <w:rPr>
          <w:sz w:val="20"/>
          <w:szCs w:val="20"/>
        </w:rPr>
        <w:t>This Quarterly Re</w:t>
      </w:r>
      <w:r>
        <w:rPr>
          <w:sz w:val="20"/>
          <w:szCs w:val="20"/>
        </w:rPr>
        <w:t>port contains statements as to our beliefs and expectations of the outcome of future events that are forward-looking statements as defined within the meaning of the Private Securities Litigation Reform Act of 1995, as amended. All statements other than sta</w:t>
      </w:r>
      <w:r>
        <w:rPr>
          <w:sz w:val="20"/>
          <w:szCs w:val="20"/>
        </w:rPr>
        <w:t>tements of current or historical fact contained herein, including statements regarding our future financial position, business strategy, budgets, projected costs and plans, and objectives of management for future operations, are forward-looking statements.</w:t>
      </w:r>
      <w:r>
        <w:rPr>
          <w:sz w:val="20"/>
          <w:szCs w:val="20"/>
        </w:rPr>
        <w:t xml:space="preserve"> The words "anticipate," "believe," "continue," "could," "estimate," "expect," "intend," "may," "plan," "projects," "will," and similar expressions, as they relate to us, are intended to identify forward-looking statements. These forward-looking statements</w:t>
      </w:r>
      <w:r>
        <w:rPr>
          <w:sz w:val="20"/>
          <w:szCs w:val="20"/>
        </w:rPr>
        <w:t xml:space="preserve"> are subject to risks and uncertainties that could cause actual results to differ materially from the statements made. These include, but are not limited to, the risks and uncertainties associated with</w:t>
      </w:r>
      <w:r>
        <w:rPr>
          <w:sz w:val="20"/>
          <w:szCs w:val="20"/>
        </w:rPr>
        <w:t>:</w:t>
      </w:r>
    </w:p>
    <w:p w14:paraId="736BCD12" w14:textId="77777777" w:rsidR="00000000" w:rsidRDefault="003A1B5D">
      <w:pPr>
        <w:jc w:val="both"/>
        <w:divId w:val="48572644"/>
        <w:rPr>
          <w:rFonts w:eastAsia="Times New Roman"/>
        </w:rPr>
      </w:pPr>
      <w:r>
        <w:rPr>
          <w:rFonts w:eastAsia="Times New Roman"/>
          <w:sz w:val="20"/>
          <w:szCs w:val="20"/>
        </w:rPr>
        <w:t>•</w:t>
      </w:r>
    </w:p>
    <w:p w14:paraId="09A7151E" w14:textId="77777777" w:rsidR="00000000" w:rsidRDefault="003A1B5D">
      <w:pPr>
        <w:jc w:val="both"/>
        <w:divId w:val="1764958861"/>
        <w:rPr>
          <w:rFonts w:eastAsia="Times New Roman"/>
        </w:rPr>
      </w:pPr>
      <w:r>
        <w:rPr>
          <w:rFonts w:eastAsia="Times New Roman"/>
          <w:sz w:val="20"/>
          <w:szCs w:val="20"/>
        </w:rPr>
        <w:t xml:space="preserve">changes in government policy (including the United </w:t>
      </w:r>
      <w:r>
        <w:rPr>
          <w:rFonts w:eastAsia="Times New Roman"/>
          <w:sz w:val="20"/>
          <w:szCs w:val="20"/>
        </w:rPr>
        <w:t>States Department of Justice, or DOJ, not renewing contracts as a result of President Biden’s Executive Order on Reforming Our Incarceration System to Eliminate the Use of Privately Operated Criminal Detention Facilities, or the Private Prison EO) (two age</w:t>
      </w:r>
      <w:r>
        <w:rPr>
          <w:rFonts w:eastAsia="Times New Roman"/>
          <w:sz w:val="20"/>
          <w:szCs w:val="20"/>
        </w:rPr>
        <w:t>ncies of the DOJ, the United States Federal Bureau of Prisons, or BOP, and the United States Marshals Service, or USMS, utilize our services), legislation and regulations that affect utilization of the private sector for corrections, detention, and residen</w:t>
      </w:r>
      <w:r>
        <w:rPr>
          <w:rFonts w:eastAsia="Times New Roman"/>
          <w:sz w:val="20"/>
          <w:szCs w:val="20"/>
        </w:rPr>
        <w:t>tial reentry services, in general, or our business, in particular, including, but not limited to, the continued utilization of our correctional and detention facilities by the federal government, and the impact of any changes to immigration reform and sent</w:t>
      </w:r>
      <w:r>
        <w:rPr>
          <w:rFonts w:eastAsia="Times New Roman"/>
          <w:sz w:val="20"/>
          <w:szCs w:val="20"/>
        </w:rPr>
        <w:t>encing laws (we do not, under longstanding policy, lobby for or against policies or legislation that would determine the basis for, or duration of, an individual's incarceration or detention);</w:t>
      </w:r>
      <w:r>
        <w:rPr>
          <w:rFonts w:eastAsia="Times New Roman"/>
          <w:sz w:val="20"/>
          <w:szCs w:val="20"/>
        </w:rPr>
        <w:t xml:space="preserve"> </w:t>
      </w:r>
    </w:p>
    <w:p w14:paraId="69E1D0D3" w14:textId="77777777" w:rsidR="00000000" w:rsidRDefault="003A1B5D">
      <w:pPr>
        <w:jc w:val="both"/>
        <w:divId w:val="1479372126"/>
        <w:rPr>
          <w:rFonts w:eastAsia="Times New Roman"/>
        </w:rPr>
      </w:pPr>
      <w:r>
        <w:rPr>
          <w:rFonts w:eastAsia="Times New Roman"/>
          <w:sz w:val="20"/>
          <w:szCs w:val="20"/>
        </w:rPr>
        <w:t>•</w:t>
      </w:r>
    </w:p>
    <w:p w14:paraId="17151FF2" w14:textId="77777777" w:rsidR="00000000" w:rsidRDefault="003A1B5D">
      <w:pPr>
        <w:jc w:val="both"/>
        <w:divId w:val="1487668670"/>
        <w:rPr>
          <w:rFonts w:eastAsia="Times New Roman"/>
        </w:rPr>
      </w:pPr>
      <w:r>
        <w:rPr>
          <w:rFonts w:eastAsia="Times New Roman"/>
          <w:sz w:val="20"/>
          <w:szCs w:val="20"/>
        </w:rPr>
        <w:t xml:space="preserve">our ability to obtain and maintain correctional, detention, </w:t>
      </w:r>
      <w:r>
        <w:rPr>
          <w:rFonts w:eastAsia="Times New Roman"/>
          <w:sz w:val="20"/>
          <w:szCs w:val="20"/>
        </w:rPr>
        <w:t>and residential reentry facility management contracts because of reasons including, but not limited to, sufficient governmental appropriations, contract compliance, negative publicity and effects of inmate disturbances</w:t>
      </w:r>
      <w:r>
        <w:rPr>
          <w:rFonts w:eastAsia="Times New Roman"/>
          <w:sz w:val="20"/>
          <w:szCs w:val="20"/>
        </w:rPr>
        <w:t>;</w:t>
      </w:r>
    </w:p>
    <w:p w14:paraId="207752F8" w14:textId="77777777" w:rsidR="00000000" w:rsidRDefault="003A1B5D">
      <w:pPr>
        <w:jc w:val="both"/>
        <w:divId w:val="242103287"/>
        <w:rPr>
          <w:rFonts w:eastAsia="Times New Roman"/>
        </w:rPr>
      </w:pPr>
      <w:r>
        <w:rPr>
          <w:rFonts w:eastAsia="Times New Roman"/>
          <w:sz w:val="20"/>
          <w:szCs w:val="20"/>
        </w:rPr>
        <w:t>•</w:t>
      </w:r>
    </w:p>
    <w:p w14:paraId="1CB6B595" w14:textId="77777777" w:rsidR="00000000" w:rsidRDefault="003A1B5D">
      <w:pPr>
        <w:jc w:val="both"/>
        <w:divId w:val="1464273581"/>
        <w:rPr>
          <w:rFonts w:eastAsia="Times New Roman"/>
        </w:rPr>
      </w:pPr>
      <w:r>
        <w:rPr>
          <w:rFonts w:eastAsia="Times New Roman"/>
          <w:sz w:val="20"/>
          <w:szCs w:val="20"/>
        </w:rPr>
        <w:t>changes in the privatization of th</w:t>
      </w:r>
      <w:r>
        <w:rPr>
          <w:rFonts w:eastAsia="Times New Roman"/>
          <w:sz w:val="20"/>
          <w:szCs w:val="20"/>
        </w:rPr>
        <w:t>e corrections and detention industry, the acceptance of our services, the timing of the opening of new facilities and the commencement of new management contracts (including the extent and pace at which new contracts are utilized), as well as our ability t</w:t>
      </w:r>
      <w:r>
        <w:rPr>
          <w:rFonts w:eastAsia="Times New Roman"/>
          <w:sz w:val="20"/>
          <w:szCs w:val="20"/>
        </w:rPr>
        <w:t>o utilize available beds</w:t>
      </w:r>
      <w:r>
        <w:rPr>
          <w:rFonts w:eastAsia="Times New Roman"/>
          <w:sz w:val="20"/>
          <w:szCs w:val="20"/>
        </w:rPr>
        <w:t>;</w:t>
      </w:r>
    </w:p>
    <w:p w14:paraId="2860E587" w14:textId="77777777" w:rsidR="00000000" w:rsidRDefault="003A1B5D">
      <w:pPr>
        <w:jc w:val="both"/>
        <w:divId w:val="1680892827"/>
        <w:rPr>
          <w:rFonts w:eastAsia="Times New Roman"/>
        </w:rPr>
      </w:pPr>
      <w:r>
        <w:rPr>
          <w:rFonts w:eastAsia="Times New Roman"/>
          <w:sz w:val="20"/>
          <w:szCs w:val="20"/>
        </w:rPr>
        <w:t>•</w:t>
      </w:r>
    </w:p>
    <w:p w14:paraId="28524210" w14:textId="77777777" w:rsidR="00000000" w:rsidRDefault="003A1B5D">
      <w:pPr>
        <w:jc w:val="both"/>
        <w:divId w:val="713698516"/>
        <w:rPr>
          <w:rFonts w:eastAsia="Times New Roman"/>
        </w:rPr>
      </w:pPr>
      <w:r>
        <w:rPr>
          <w:rFonts w:eastAsia="Times New Roman"/>
          <w:sz w:val="20"/>
          <w:szCs w:val="20"/>
        </w:rPr>
        <w:t>general economic and market conditions, including, but not limited to, the impact governmental budgets can have on our contract renewals and renegotiations, per diem rates, and occupancy</w:t>
      </w:r>
      <w:r>
        <w:rPr>
          <w:rFonts w:eastAsia="Times New Roman"/>
          <w:sz w:val="20"/>
          <w:szCs w:val="20"/>
        </w:rPr>
        <w:t>;</w:t>
      </w:r>
    </w:p>
    <w:p w14:paraId="76BD275E" w14:textId="77777777" w:rsidR="00000000" w:rsidRDefault="003A1B5D">
      <w:pPr>
        <w:jc w:val="both"/>
        <w:divId w:val="1233849649"/>
        <w:rPr>
          <w:rFonts w:eastAsia="Times New Roman"/>
        </w:rPr>
      </w:pPr>
      <w:r>
        <w:rPr>
          <w:rFonts w:eastAsia="Times New Roman"/>
          <w:sz w:val="20"/>
          <w:szCs w:val="20"/>
        </w:rPr>
        <w:t>•</w:t>
      </w:r>
    </w:p>
    <w:p w14:paraId="519C2CE5" w14:textId="77777777" w:rsidR="00000000" w:rsidRDefault="003A1B5D">
      <w:pPr>
        <w:jc w:val="both"/>
        <w:divId w:val="1521700047"/>
        <w:rPr>
          <w:rFonts w:eastAsia="Times New Roman"/>
        </w:rPr>
      </w:pPr>
      <w:r>
        <w:rPr>
          <w:rFonts w:eastAsia="Times New Roman"/>
          <w:sz w:val="20"/>
          <w:szCs w:val="20"/>
        </w:rPr>
        <w:t>fluctuations in our operating results because of, among other thin</w:t>
      </w:r>
      <w:r>
        <w:rPr>
          <w:rFonts w:eastAsia="Times New Roman"/>
          <w:sz w:val="20"/>
          <w:szCs w:val="20"/>
        </w:rPr>
        <w:t>gs, changes in occupancy levels; competition; contract renegotiations or terminations; inflation and other increases in costs of operations, including a continuing rise in labor costs; fluctuations in interest rates and risks of operations</w:t>
      </w:r>
      <w:r>
        <w:rPr>
          <w:rFonts w:eastAsia="Times New Roman"/>
          <w:sz w:val="20"/>
          <w:szCs w:val="20"/>
        </w:rPr>
        <w:t>;</w:t>
      </w:r>
    </w:p>
    <w:p w14:paraId="6F732ED2" w14:textId="77777777" w:rsidR="00000000" w:rsidRDefault="003A1B5D">
      <w:pPr>
        <w:jc w:val="both"/>
        <w:divId w:val="514808635"/>
        <w:rPr>
          <w:rFonts w:eastAsia="Times New Roman"/>
        </w:rPr>
      </w:pPr>
      <w:r>
        <w:rPr>
          <w:rFonts w:eastAsia="Times New Roman"/>
          <w:sz w:val="20"/>
          <w:szCs w:val="20"/>
        </w:rPr>
        <w:t>•</w:t>
      </w:r>
    </w:p>
    <w:p w14:paraId="30D82221" w14:textId="77777777" w:rsidR="00000000" w:rsidRDefault="003A1B5D">
      <w:pPr>
        <w:jc w:val="both"/>
        <w:divId w:val="457069434"/>
        <w:rPr>
          <w:rFonts w:eastAsia="Times New Roman"/>
        </w:rPr>
      </w:pPr>
      <w:r>
        <w:rPr>
          <w:rFonts w:eastAsia="Times New Roman"/>
          <w:sz w:val="20"/>
          <w:szCs w:val="20"/>
        </w:rPr>
        <w:t>the duration of the federal government's denial of entry at the United States southern border to asylum-seekers and anyone crossing the southern border without proper documentation or authority in an effort to contain the spread of the novel coronavirus an</w:t>
      </w:r>
      <w:r>
        <w:rPr>
          <w:rFonts w:eastAsia="Times New Roman"/>
          <w:sz w:val="20"/>
          <w:szCs w:val="20"/>
        </w:rPr>
        <w:t>d related variants, or COVID-19, a policy known as Title 42 (On April 1, 2022, the Center for Disease Control and Prevention, or CDC, terminated Title 42, and began preparing for a resumption of regular migration at the United States southern border, effec</w:t>
      </w:r>
      <w:r>
        <w:rPr>
          <w:rFonts w:eastAsia="Times New Roman"/>
          <w:sz w:val="20"/>
          <w:szCs w:val="20"/>
        </w:rPr>
        <w:t>tive May 23, 2022; however, on April 25, 2022, a judge issued a temporary restraining order blocking the termination of Title 42 and on May 20, 2022, ruled that the administration violated administrative law when it announced that it planned to cease Title</w:t>
      </w:r>
      <w:r>
        <w:rPr>
          <w:rFonts w:eastAsia="Times New Roman"/>
          <w:sz w:val="20"/>
          <w:szCs w:val="20"/>
        </w:rPr>
        <w:t xml:space="preserve"> 42.)</w:t>
      </w:r>
      <w:r>
        <w:rPr>
          <w:rFonts w:eastAsia="Times New Roman"/>
          <w:sz w:val="20"/>
          <w:szCs w:val="20"/>
        </w:rPr>
        <w:t>;</w:t>
      </w:r>
    </w:p>
    <w:p w14:paraId="6EA21EEE" w14:textId="77777777" w:rsidR="00000000" w:rsidRDefault="003A1B5D">
      <w:pPr>
        <w:jc w:val="both"/>
        <w:divId w:val="2051955812"/>
        <w:rPr>
          <w:rFonts w:eastAsia="Times New Roman"/>
        </w:rPr>
      </w:pPr>
      <w:r>
        <w:rPr>
          <w:rFonts w:eastAsia="Times New Roman"/>
          <w:sz w:val="20"/>
          <w:szCs w:val="20"/>
        </w:rPr>
        <w:t>•</w:t>
      </w:r>
    </w:p>
    <w:p w14:paraId="5C899396" w14:textId="77777777" w:rsidR="00000000" w:rsidRDefault="003A1B5D">
      <w:pPr>
        <w:jc w:val="both"/>
        <w:divId w:val="86198797"/>
        <w:rPr>
          <w:rFonts w:eastAsia="Times New Roman"/>
        </w:rPr>
      </w:pPr>
      <w:r>
        <w:rPr>
          <w:rFonts w:eastAsia="Times New Roman"/>
          <w:sz w:val="20"/>
          <w:szCs w:val="20"/>
        </w:rPr>
        <w:t>government and staff responses to staff or residents testing positive for COVID-19 within public and private correctional, detention and reentry facilities, including the facilities we operate</w:t>
      </w:r>
      <w:r>
        <w:rPr>
          <w:rFonts w:eastAsia="Times New Roman"/>
          <w:sz w:val="20"/>
          <w:szCs w:val="20"/>
        </w:rPr>
        <w:t>;</w:t>
      </w:r>
    </w:p>
    <w:p w14:paraId="24EFB68A" w14:textId="77777777" w:rsidR="00000000" w:rsidRDefault="003A1B5D">
      <w:pPr>
        <w:jc w:val="both"/>
        <w:divId w:val="159081462"/>
        <w:rPr>
          <w:rFonts w:eastAsia="Times New Roman"/>
        </w:rPr>
      </w:pPr>
      <w:r>
        <w:rPr>
          <w:rFonts w:eastAsia="Times New Roman"/>
          <w:sz w:val="20"/>
          <w:szCs w:val="20"/>
        </w:rPr>
        <w:t>•</w:t>
      </w:r>
    </w:p>
    <w:p w14:paraId="1B3A85D5" w14:textId="77777777" w:rsidR="00000000" w:rsidRDefault="003A1B5D">
      <w:pPr>
        <w:jc w:val="both"/>
        <w:divId w:val="133837577"/>
        <w:rPr>
          <w:rFonts w:eastAsia="Times New Roman"/>
        </w:rPr>
      </w:pPr>
      <w:r>
        <w:rPr>
          <w:rFonts w:eastAsia="Times New Roman"/>
          <w:sz w:val="20"/>
          <w:szCs w:val="20"/>
        </w:rPr>
        <w:t xml:space="preserve">restrictions associated with COVID-19 that disrupt </w:t>
      </w:r>
      <w:r>
        <w:rPr>
          <w:rFonts w:eastAsia="Times New Roman"/>
          <w:sz w:val="20"/>
          <w:szCs w:val="20"/>
        </w:rPr>
        <w:t>the criminal justice system, along with government policies on prosecutions and newly ordered legal restrictions that affect the number of people placed in correctional, detention, and reentry facilities, including those associated with a resurgence of COV</w:t>
      </w:r>
      <w:r>
        <w:rPr>
          <w:rFonts w:eastAsia="Times New Roman"/>
          <w:sz w:val="20"/>
          <w:szCs w:val="20"/>
        </w:rPr>
        <w:t>ID-19</w:t>
      </w:r>
      <w:r>
        <w:rPr>
          <w:rFonts w:eastAsia="Times New Roman"/>
          <w:sz w:val="20"/>
          <w:szCs w:val="20"/>
        </w:rPr>
        <w:t>;</w:t>
      </w:r>
    </w:p>
    <w:p w14:paraId="2F2CEA9C" w14:textId="77777777" w:rsidR="00000000" w:rsidRDefault="003A1B5D">
      <w:pPr>
        <w:jc w:val="both"/>
        <w:divId w:val="2065132716"/>
        <w:rPr>
          <w:rFonts w:eastAsia="Times New Roman"/>
        </w:rPr>
      </w:pPr>
      <w:r>
        <w:rPr>
          <w:rFonts w:eastAsia="Times New Roman"/>
          <w:sz w:val="20"/>
          <w:szCs w:val="20"/>
        </w:rPr>
        <w:t>•</w:t>
      </w:r>
    </w:p>
    <w:p w14:paraId="69313F48" w14:textId="77777777" w:rsidR="00000000" w:rsidRDefault="003A1B5D">
      <w:pPr>
        <w:jc w:val="both"/>
        <w:divId w:val="1820879532"/>
        <w:rPr>
          <w:rFonts w:eastAsia="Times New Roman"/>
        </w:rPr>
      </w:pPr>
      <w:r>
        <w:rPr>
          <w:rFonts w:eastAsia="Times New Roman"/>
          <w:sz w:val="20"/>
          <w:szCs w:val="20"/>
        </w:rPr>
        <w:t xml:space="preserve">whether revoking our real estate investment trust, or REIT, election, effective January 1, 2021, and our revised capital allocation strategy can be implemented in a cost effective manner that provides the expected benefits, including facilitating </w:t>
      </w:r>
      <w:r>
        <w:rPr>
          <w:rFonts w:eastAsia="Times New Roman"/>
          <w:sz w:val="20"/>
          <w:szCs w:val="20"/>
        </w:rPr>
        <w:t>our planned debt reduction initiative and planned return of capital to shareholders</w:t>
      </w:r>
      <w:r>
        <w:rPr>
          <w:rFonts w:eastAsia="Times New Roman"/>
          <w:sz w:val="20"/>
          <w:szCs w:val="20"/>
        </w:rPr>
        <w:t>;</w:t>
      </w:r>
    </w:p>
    <w:p w14:paraId="21559A7B" w14:textId="77777777" w:rsidR="00000000" w:rsidRDefault="003A1B5D">
      <w:pPr>
        <w:jc w:val="both"/>
        <w:divId w:val="1660957124"/>
        <w:rPr>
          <w:rFonts w:eastAsia="Times New Roman"/>
        </w:rPr>
      </w:pPr>
      <w:r>
        <w:rPr>
          <w:rFonts w:eastAsia="Times New Roman"/>
          <w:sz w:val="20"/>
          <w:szCs w:val="20"/>
        </w:rPr>
        <w:t>•</w:t>
      </w:r>
    </w:p>
    <w:p w14:paraId="6C1414AE" w14:textId="77777777" w:rsidR="00000000" w:rsidRDefault="003A1B5D">
      <w:pPr>
        <w:jc w:val="both"/>
        <w:divId w:val="617493697"/>
        <w:rPr>
          <w:rFonts w:eastAsia="Times New Roman"/>
        </w:rPr>
      </w:pPr>
      <w:r>
        <w:rPr>
          <w:rFonts w:eastAsia="Times New Roman"/>
          <w:sz w:val="20"/>
          <w:szCs w:val="20"/>
        </w:rPr>
        <w:t>our ability to successfully identify and consummate future development and acquisition opportunities and realize projected returns resulting therefrom</w:t>
      </w:r>
      <w:r>
        <w:rPr>
          <w:rFonts w:eastAsia="Times New Roman"/>
          <w:sz w:val="20"/>
          <w:szCs w:val="20"/>
        </w:rPr>
        <w:t>;</w:t>
      </w:r>
    </w:p>
    <w:p w14:paraId="596A59A9" w14:textId="77777777" w:rsidR="00000000" w:rsidRDefault="003A1B5D">
      <w:pPr>
        <w:jc w:val="both"/>
        <w:divId w:val="177743700"/>
        <w:rPr>
          <w:rFonts w:eastAsia="Times New Roman"/>
        </w:rPr>
      </w:pPr>
      <w:r>
        <w:rPr>
          <w:rFonts w:eastAsia="Times New Roman"/>
          <w:sz w:val="20"/>
          <w:szCs w:val="20"/>
        </w:rPr>
        <w:t>•</w:t>
      </w:r>
    </w:p>
    <w:p w14:paraId="5FFE8B60" w14:textId="77777777" w:rsidR="00000000" w:rsidRDefault="003A1B5D">
      <w:pPr>
        <w:jc w:val="both"/>
        <w:divId w:val="964507305"/>
        <w:rPr>
          <w:rFonts w:eastAsia="Times New Roman"/>
        </w:rPr>
      </w:pPr>
      <w:r>
        <w:rPr>
          <w:rFonts w:eastAsia="Times New Roman"/>
          <w:sz w:val="20"/>
          <w:szCs w:val="20"/>
        </w:rPr>
        <w:t xml:space="preserve">our ability to </w:t>
      </w:r>
      <w:r>
        <w:rPr>
          <w:rFonts w:eastAsia="Times New Roman"/>
          <w:sz w:val="20"/>
          <w:szCs w:val="20"/>
        </w:rPr>
        <w:t>have met and maintained qualification for taxation as a REIT for the years we elected REIT status; an</w:t>
      </w:r>
      <w:r>
        <w:rPr>
          <w:rFonts w:eastAsia="Times New Roman"/>
          <w:sz w:val="20"/>
          <w:szCs w:val="20"/>
        </w:rPr>
        <w:t>d</w:t>
      </w:r>
    </w:p>
    <w:p w14:paraId="4335B9B1" w14:textId="77777777" w:rsidR="00000000" w:rsidRDefault="003A1B5D">
      <w:pPr>
        <w:pStyle w:val="a3"/>
        <w:spacing w:before="240" w:beforeAutospacing="0" w:after="0" w:afterAutospacing="0"/>
        <w:jc w:val="center"/>
        <w:rPr>
          <w:sz w:val="20"/>
          <w:szCs w:val="20"/>
        </w:rPr>
      </w:pPr>
      <w:r>
        <w:rPr>
          <w:sz w:val="20"/>
          <w:szCs w:val="20"/>
        </w:rPr>
        <w:t>2</w:t>
      </w:r>
      <w:r>
        <w:rPr>
          <w:sz w:val="20"/>
          <w:szCs w:val="20"/>
        </w:rPr>
        <w:t>0</w:t>
      </w:r>
    </w:p>
    <w:p w14:paraId="7F2190A4" w14:textId="77777777" w:rsidR="00000000" w:rsidRDefault="003A1B5D">
      <w:pPr>
        <w:rPr>
          <w:rFonts w:eastAsia="Times New Roman"/>
        </w:rPr>
      </w:pPr>
      <w:r>
        <w:rPr>
          <w:rFonts w:eastAsia="Times New Roman"/>
        </w:rPr>
        <w:pict w14:anchorId="43D10CAF">
          <v:rect id="_x0000_i1046" style="width:0;height:1.5pt" o:hralign="center" o:hrstd="t" o:hr="t" fillcolor="#a0a0a0" stroked="f"/>
        </w:pict>
      </w:r>
    </w:p>
    <w:p w14:paraId="45B6DF82" w14:textId="77777777" w:rsidR="00000000" w:rsidRDefault="003A1B5D">
      <w:pPr>
        <w:pStyle w:val="a3"/>
        <w:spacing w:before="0" w:beforeAutospacing="0" w:after="0" w:afterAutospacing="0"/>
        <w:rPr>
          <w:sz w:val="20"/>
          <w:szCs w:val="20"/>
        </w:rPr>
      </w:pPr>
      <w:r>
        <w:rPr>
          <w:sz w:val="20"/>
          <w:szCs w:val="20"/>
        </w:rPr>
        <w:t> </w:t>
      </w:r>
    </w:p>
    <w:p w14:paraId="13A968DA" w14:textId="77777777" w:rsidR="00000000" w:rsidRDefault="003A1B5D">
      <w:pPr>
        <w:jc w:val="both"/>
        <w:divId w:val="270019120"/>
        <w:rPr>
          <w:rFonts w:eastAsia="Times New Roman"/>
        </w:rPr>
      </w:pPr>
      <w:r>
        <w:rPr>
          <w:rFonts w:eastAsia="Times New Roman"/>
          <w:sz w:val="20"/>
          <w:szCs w:val="20"/>
        </w:rPr>
        <w:t>•</w:t>
      </w:r>
    </w:p>
    <w:p w14:paraId="652838E0" w14:textId="77777777" w:rsidR="00000000" w:rsidRDefault="003A1B5D">
      <w:pPr>
        <w:jc w:val="both"/>
        <w:divId w:val="1412890811"/>
        <w:rPr>
          <w:rFonts w:eastAsia="Times New Roman"/>
        </w:rPr>
      </w:pPr>
      <w:r>
        <w:rPr>
          <w:rFonts w:eastAsia="Times New Roman"/>
          <w:sz w:val="20"/>
          <w:szCs w:val="20"/>
        </w:rPr>
        <w:t>the availability of debt and equity financing on terms that are favorable to us, or at all</w:t>
      </w:r>
      <w:r>
        <w:rPr>
          <w:rFonts w:eastAsia="Times New Roman"/>
          <w:sz w:val="20"/>
          <w:szCs w:val="20"/>
        </w:rPr>
        <w:t>.</w:t>
      </w:r>
    </w:p>
    <w:p w14:paraId="531AE6BB" w14:textId="77777777" w:rsidR="00000000" w:rsidRDefault="003A1B5D">
      <w:pPr>
        <w:pStyle w:val="a3"/>
        <w:spacing w:before="240" w:beforeAutospacing="0" w:after="0" w:afterAutospacing="0"/>
        <w:jc w:val="both"/>
        <w:rPr>
          <w:sz w:val="20"/>
          <w:szCs w:val="20"/>
        </w:rPr>
      </w:pPr>
      <w:r>
        <w:rPr>
          <w:sz w:val="20"/>
          <w:szCs w:val="20"/>
        </w:rPr>
        <w:t xml:space="preserve">Any or all of our </w:t>
      </w:r>
      <w:r>
        <w:rPr>
          <w:sz w:val="20"/>
          <w:szCs w:val="20"/>
        </w:rPr>
        <w:t>forward-looking statements in this Quarterly Report may turn out to be inaccurate. We have based these forward-looking statements largely on our current expectations and projections about future events and financial trends that we believe may affect our fi</w:t>
      </w:r>
      <w:r>
        <w:rPr>
          <w:sz w:val="20"/>
          <w:szCs w:val="20"/>
        </w:rPr>
        <w:t>nancial condition, results of operations, business strategy, and financial needs. Our statements can be affected by inaccurate assumptions we might make or by known or unknown risks, uncertainties and assumptions, including the risks, uncertainties, and as</w:t>
      </w:r>
      <w:r>
        <w:rPr>
          <w:sz w:val="20"/>
          <w:szCs w:val="20"/>
        </w:rPr>
        <w:t>sumptions described in our Annual Report on Form 10-K for the year ended December 31, 2021 filed with the Securities and Exchange Commission, or the SEC, on February 18, 2022, or the 2021 Form 10-K, and in other reports, documents, and other information we</w:t>
      </w:r>
      <w:r>
        <w:rPr>
          <w:sz w:val="20"/>
          <w:szCs w:val="20"/>
        </w:rPr>
        <w:t xml:space="preserve"> file with the SEC from time to time. Readers are cautioned not to place undue reliance on these forward-looking statements, which speak only as of the date hereof. New risks and uncertainties arise from time to time, and it is impossible for us to predict</w:t>
      </w:r>
      <w:r>
        <w:rPr>
          <w:sz w:val="20"/>
          <w:szCs w:val="20"/>
        </w:rPr>
        <w:t xml:space="preserve"> these events or how they may affect us. We undertake no obligation to publicly update or revise any forward-looking statements made in this Quarterly Report, except as may be required by law. All subsequent written and oral forward-looking statements attr</w:t>
      </w:r>
      <w:r>
        <w:rPr>
          <w:sz w:val="20"/>
          <w:szCs w:val="20"/>
        </w:rPr>
        <w:t>ibutable to us or persons acting on our behalf are expressly qualified in their entirety by the cautionary statements</w:t>
      </w:r>
      <w:r>
        <w:rPr>
          <w:sz w:val="20"/>
          <w:szCs w:val="20"/>
        </w:rPr>
        <w:t>.</w:t>
      </w:r>
    </w:p>
    <w:p w14:paraId="4A12695A" w14:textId="77777777" w:rsidR="00000000" w:rsidRDefault="003A1B5D">
      <w:pPr>
        <w:pStyle w:val="a3"/>
        <w:spacing w:before="360" w:beforeAutospacing="0" w:after="0" w:afterAutospacing="0"/>
        <w:jc w:val="both"/>
        <w:rPr>
          <w:sz w:val="20"/>
          <w:szCs w:val="20"/>
        </w:rPr>
      </w:pPr>
      <w:r>
        <w:rPr>
          <w:b/>
          <w:bCs/>
          <w:sz w:val="20"/>
          <w:szCs w:val="20"/>
        </w:rPr>
        <w:t>OVERVIE</w:t>
      </w:r>
      <w:r>
        <w:rPr>
          <w:b/>
          <w:bCs/>
          <w:sz w:val="20"/>
          <w:szCs w:val="20"/>
        </w:rPr>
        <w:t>W</w:t>
      </w:r>
    </w:p>
    <w:p w14:paraId="3F607E3B" w14:textId="77777777" w:rsidR="00000000" w:rsidRDefault="003A1B5D">
      <w:pPr>
        <w:pStyle w:val="a3"/>
        <w:spacing w:before="120" w:beforeAutospacing="0" w:after="0" w:afterAutospacing="0"/>
        <w:jc w:val="both"/>
        <w:rPr>
          <w:sz w:val="20"/>
          <w:szCs w:val="20"/>
        </w:rPr>
      </w:pPr>
      <w:r>
        <w:rPr>
          <w:b/>
          <w:bCs/>
          <w:sz w:val="20"/>
          <w:szCs w:val="20"/>
        </w:rPr>
        <w:t>The Compan</w:t>
      </w:r>
      <w:r>
        <w:rPr>
          <w:b/>
          <w:bCs/>
          <w:sz w:val="20"/>
          <w:szCs w:val="20"/>
        </w:rPr>
        <w:t>y</w:t>
      </w:r>
    </w:p>
    <w:p w14:paraId="73D783C8" w14:textId="77777777" w:rsidR="00000000" w:rsidRDefault="003A1B5D">
      <w:pPr>
        <w:pStyle w:val="a3"/>
        <w:spacing w:before="120" w:beforeAutospacing="0" w:after="0" w:afterAutospacing="0"/>
        <w:jc w:val="both"/>
        <w:rPr>
          <w:sz w:val="20"/>
          <w:szCs w:val="20"/>
        </w:rPr>
      </w:pPr>
      <w:r>
        <w:rPr>
          <w:sz w:val="20"/>
          <w:szCs w:val="20"/>
        </w:rPr>
        <w:t>We are a diversified government solutions company with the scale and experience needed to solve tough government challenges in flexible, cost-effective ways. Through three segments, CoreCivic Safety, CoreCivic Community, and CoreCivic Properties, we provid</w:t>
      </w:r>
      <w:r>
        <w:rPr>
          <w:sz w:val="20"/>
          <w:szCs w:val="20"/>
        </w:rPr>
        <w:t>e a broad range of solutions to government partners that serve the public good through corrections and detention management, a network of residential reentry centers to help address America's recidivism crisis, and government real estate solutions. We have</w:t>
      </w:r>
      <w:r>
        <w:rPr>
          <w:sz w:val="20"/>
          <w:szCs w:val="20"/>
        </w:rPr>
        <w:t xml:space="preserve"> been a flexible and dependable partner for government for nearly 40 years. Our employees are driven by a deep sense of service, high standards of professionalism and a responsibility to help government better the public good</w:t>
      </w:r>
      <w:r>
        <w:rPr>
          <w:sz w:val="20"/>
          <w:szCs w:val="20"/>
        </w:rPr>
        <w:t>.</w:t>
      </w:r>
    </w:p>
    <w:p w14:paraId="2DE79481" w14:textId="77777777" w:rsidR="00000000" w:rsidRDefault="003A1B5D">
      <w:pPr>
        <w:pStyle w:val="a3"/>
        <w:spacing w:before="240" w:beforeAutospacing="0" w:after="0" w:afterAutospacing="0"/>
        <w:jc w:val="both"/>
        <w:rPr>
          <w:sz w:val="20"/>
          <w:szCs w:val="20"/>
        </w:rPr>
      </w:pPr>
      <w:r>
        <w:rPr>
          <w:sz w:val="20"/>
          <w:szCs w:val="20"/>
        </w:rPr>
        <w:t>We are the nation's largest o</w:t>
      </w:r>
      <w:r>
        <w:rPr>
          <w:sz w:val="20"/>
          <w:szCs w:val="20"/>
        </w:rPr>
        <w:t>wner of partnership correctional, detention, and residential reentry facilities and one of the largest prison operators in the United States. We also believe we are the largest private owner of real estate used by government agencies in the U.S. As of Sept</w:t>
      </w:r>
      <w:r>
        <w:rPr>
          <w:sz w:val="20"/>
          <w:szCs w:val="20"/>
        </w:rPr>
        <w:t>ember 30, 2022, through our CoreCivic Safety segment, we operated 45 correctional and detention facilities, 40 of which we owned, with a total design capacity of approximately 68,000 beds. Through our CoreCivic Community segment, we owned and operated 24 r</w:t>
      </w:r>
      <w:r>
        <w:rPr>
          <w:sz w:val="20"/>
          <w:szCs w:val="20"/>
        </w:rPr>
        <w:t>esidential reentry centers with a total design capacity of approximately 5,000 beds. In addition, through our CoreCivic Properties segment, we owned 8 properties for lease to third parties and used by government agencies, totaling 1.8 million square feet</w:t>
      </w:r>
      <w:r>
        <w:rPr>
          <w:sz w:val="20"/>
          <w:szCs w:val="20"/>
        </w:rPr>
        <w:t>.</w:t>
      </w:r>
      <w:r>
        <w:rPr>
          <w:sz w:val="20"/>
          <w:szCs w:val="20"/>
        </w:rPr>
        <w:t xml:space="preserve"> </w:t>
      </w:r>
    </w:p>
    <w:p w14:paraId="2838F4A7" w14:textId="77777777" w:rsidR="00000000" w:rsidRDefault="003A1B5D">
      <w:pPr>
        <w:pStyle w:val="a3"/>
        <w:spacing w:before="240" w:beforeAutospacing="0" w:after="0" w:afterAutospacing="0"/>
        <w:jc w:val="both"/>
        <w:rPr>
          <w:sz w:val="20"/>
          <w:szCs w:val="20"/>
        </w:rPr>
      </w:pPr>
      <w:r>
        <w:rPr>
          <w:sz w:val="20"/>
          <w:szCs w:val="20"/>
        </w:rPr>
        <w:t>In addition to providing fundamental residential services, our correctional, detention, and residential reentry facilities offer a variety of rehabilitation and educational programs, including basic education, faith-based services, life skills and employm</w:t>
      </w:r>
      <w:r>
        <w:rPr>
          <w:sz w:val="20"/>
          <w:szCs w:val="20"/>
        </w:rPr>
        <w:t>ent training, and substance abuse treatment. These services are intended to help reduce recidivism and to prepare offenders for their successful reentry into society upon their release. We also provide or make available to offenders certain health care (in</w:t>
      </w:r>
      <w:r>
        <w:rPr>
          <w:sz w:val="20"/>
          <w:szCs w:val="20"/>
        </w:rPr>
        <w:t>cluding medical, dental, and mental health services), food services, and work and recreational programs</w:t>
      </w:r>
      <w:r>
        <w:rPr>
          <w:sz w:val="20"/>
          <w:szCs w:val="20"/>
        </w:rPr>
        <w:t>.</w:t>
      </w:r>
      <w:r>
        <w:rPr>
          <w:sz w:val="20"/>
          <w:szCs w:val="20"/>
        </w:rPr>
        <w:t xml:space="preserve"> </w:t>
      </w:r>
    </w:p>
    <w:p w14:paraId="2C0E71B4" w14:textId="77777777" w:rsidR="00000000" w:rsidRDefault="003A1B5D">
      <w:pPr>
        <w:pStyle w:val="a3"/>
        <w:spacing w:before="240" w:beforeAutospacing="0" w:after="0" w:afterAutospacing="0"/>
        <w:jc w:val="both"/>
        <w:rPr>
          <w:sz w:val="20"/>
          <w:szCs w:val="20"/>
        </w:rPr>
      </w:pPr>
      <w:r>
        <w:rPr>
          <w:sz w:val="20"/>
          <w:szCs w:val="20"/>
        </w:rPr>
        <w:t>We are a Maryland corporation formed in 1983. Our principal executive offices are located at 5501 Virginia Way, Brentwood, Tennessee, 37027, and our t</w:t>
      </w:r>
      <w:r>
        <w:rPr>
          <w:sz w:val="20"/>
          <w:szCs w:val="20"/>
        </w:rPr>
        <w:t>elephone number at that location is (615) 263-3000. Our website address is www.corecivic.com. We make our Annual Reports on Form 10-K, Quarterly Reports on Form 10-Q, Current Reports on Form 8-K, definitive proxy statements, and amendments to those reports</w:t>
      </w:r>
      <w:r>
        <w:rPr>
          <w:sz w:val="20"/>
          <w:szCs w:val="20"/>
        </w:rPr>
        <w:t xml:space="preserve"> under the Securities Exchange Act of 1934, as amended, or the Exchange Act, available on our website, free of charge, as soon as reasonably practicable after these reports are filed with or furnished to the SEC. Information contained on our website is not</w:t>
      </w:r>
      <w:r>
        <w:rPr>
          <w:sz w:val="20"/>
          <w:szCs w:val="20"/>
        </w:rPr>
        <w:t xml:space="preserve"> part of this Quarterly Report</w:t>
      </w:r>
      <w:r>
        <w:rPr>
          <w:sz w:val="20"/>
          <w:szCs w:val="20"/>
        </w:rPr>
        <w:t>.</w:t>
      </w:r>
      <w:r>
        <w:rPr>
          <w:sz w:val="20"/>
          <w:szCs w:val="20"/>
        </w:rPr>
        <w:t xml:space="preserve"> </w:t>
      </w:r>
    </w:p>
    <w:p w14:paraId="412CC15C" w14:textId="77777777" w:rsidR="00000000" w:rsidRDefault="003A1B5D">
      <w:pPr>
        <w:pStyle w:val="a3"/>
        <w:spacing w:before="240" w:beforeAutospacing="0" w:after="0" w:afterAutospacing="0"/>
        <w:jc w:val="both"/>
        <w:rPr>
          <w:sz w:val="20"/>
          <w:szCs w:val="20"/>
        </w:rPr>
      </w:pPr>
      <w:r>
        <w:rPr>
          <w:sz w:val="20"/>
          <w:szCs w:val="20"/>
        </w:rPr>
        <w:t xml:space="preserve">We operated as a REIT from January 1, 2013 through December 31, 2020. As a REIT, we provided services and conducted other business activities through taxable REIT subsidiaries, or TRSs. A TRS is a subsidiary of a REIT that </w:t>
      </w:r>
      <w:r>
        <w:rPr>
          <w:sz w:val="20"/>
          <w:szCs w:val="20"/>
        </w:rPr>
        <w:t xml:space="preserve">is subject to applicable corporate income tax rates and certain qualification requirements. Our use of TRSs enabled us to comply with REIT qualification requirements while providing correctional services at facilities we own and at facilities owned by our </w:t>
      </w:r>
      <w:r>
        <w:rPr>
          <w:sz w:val="20"/>
          <w:szCs w:val="20"/>
        </w:rPr>
        <w:t>government partners and to engage in certain other business operations</w:t>
      </w:r>
      <w:r>
        <w:rPr>
          <w:sz w:val="20"/>
          <w:szCs w:val="20"/>
        </w:rPr>
        <w:t>.</w:t>
      </w:r>
      <w:r>
        <w:rPr>
          <w:sz w:val="20"/>
          <w:szCs w:val="20"/>
        </w:rPr>
        <w:t xml:space="preserve"> </w:t>
      </w:r>
    </w:p>
    <w:p w14:paraId="6D02BE63" w14:textId="77777777" w:rsidR="00000000" w:rsidRDefault="003A1B5D">
      <w:pPr>
        <w:pStyle w:val="a3"/>
        <w:spacing w:before="240" w:beforeAutospacing="0" w:after="0" w:afterAutospacing="0"/>
        <w:jc w:val="both"/>
        <w:rPr>
          <w:sz w:val="20"/>
          <w:szCs w:val="20"/>
        </w:rPr>
      </w:pPr>
      <w:r>
        <w:rPr>
          <w:sz w:val="20"/>
          <w:szCs w:val="20"/>
        </w:rPr>
        <w:t>As a REIT, we generally were not subject to federal income taxes on our REIT taxable income and gains that we distributed to our stockholders, including the income derived from our re</w:t>
      </w:r>
      <w:r>
        <w:rPr>
          <w:sz w:val="20"/>
          <w:szCs w:val="20"/>
        </w:rPr>
        <w:t>al estate and dividends we earned from our TRSs. However, our TRSs were required to pay income taxes on their earnings at regular corporate income tax rates. As a REIT, we generally were required to distribute annually to our stockholders at least 90% of o</w:t>
      </w:r>
      <w:r>
        <w:rPr>
          <w:sz w:val="20"/>
          <w:szCs w:val="20"/>
        </w:rPr>
        <w:t>ur REIT taxable income (determined without regard to the dividends paid deduction and excluding net capital gains). Our REIT taxable income did not typically include income earned by our TRSs except to the extent our TRSs paid dividends to the REIT</w:t>
      </w:r>
      <w:r>
        <w:rPr>
          <w:sz w:val="20"/>
          <w:szCs w:val="20"/>
        </w:rPr>
        <w:t>.</w:t>
      </w:r>
      <w:r>
        <w:rPr>
          <w:sz w:val="20"/>
          <w:szCs w:val="20"/>
        </w:rPr>
        <w:t xml:space="preserve"> </w:t>
      </w:r>
    </w:p>
    <w:p w14:paraId="1D4EBF3F" w14:textId="77777777" w:rsidR="00000000" w:rsidRDefault="003A1B5D">
      <w:pPr>
        <w:pStyle w:val="a3"/>
        <w:spacing w:before="240" w:beforeAutospacing="0" w:after="0" w:afterAutospacing="0"/>
        <w:jc w:val="center"/>
        <w:rPr>
          <w:sz w:val="20"/>
          <w:szCs w:val="20"/>
        </w:rPr>
      </w:pPr>
      <w:r>
        <w:rPr>
          <w:sz w:val="20"/>
          <w:szCs w:val="20"/>
        </w:rPr>
        <w:t>2</w:t>
      </w:r>
      <w:r>
        <w:rPr>
          <w:sz w:val="20"/>
          <w:szCs w:val="20"/>
        </w:rPr>
        <w:t>1</w:t>
      </w:r>
    </w:p>
    <w:p w14:paraId="710BA149" w14:textId="77777777" w:rsidR="00000000" w:rsidRDefault="003A1B5D">
      <w:pPr>
        <w:rPr>
          <w:rFonts w:eastAsia="Times New Roman"/>
        </w:rPr>
      </w:pPr>
      <w:r>
        <w:rPr>
          <w:rFonts w:eastAsia="Times New Roman"/>
        </w:rPr>
        <w:pict w14:anchorId="45E08059">
          <v:rect id="_x0000_i1047" style="width:0;height:1.5pt" o:hralign="center" o:hrstd="t" o:hr="t" fillcolor="#a0a0a0" stroked="f"/>
        </w:pict>
      </w:r>
    </w:p>
    <w:p w14:paraId="66375FB5" w14:textId="77777777" w:rsidR="00000000" w:rsidRDefault="003A1B5D">
      <w:pPr>
        <w:pStyle w:val="a3"/>
        <w:spacing w:before="0" w:beforeAutospacing="0" w:after="0" w:afterAutospacing="0"/>
        <w:rPr>
          <w:sz w:val="20"/>
          <w:szCs w:val="20"/>
        </w:rPr>
      </w:pPr>
      <w:r>
        <w:rPr>
          <w:sz w:val="20"/>
          <w:szCs w:val="20"/>
        </w:rPr>
        <w:t> </w:t>
      </w:r>
    </w:p>
    <w:p w14:paraId="755F9C0F" w14:textId="77777777" w:rsidR="00000000" w:rsidRDefault="003A1B5D">
      <w:pPr>
        <w:pStyle w:val="a3"/>
        <w:spacing w:before="240" w:beforeAutospacing="0" w:after="0" w:afterAutospacing="0"/>
        <w:jc w:val="both"/>
        <w:rPr>
          <w:sz w:val="20"/>
          <w:szCs w:val="20"/>
        </w:rPr>
      </w:pPr>
      <w:r>
        <w:rPr>
          <w:sz w:val="20"/>
          <w:szCs w:val="20"/>
        </w:rPr>
        <w:t>On August 5, 2020, we announced that our Board of Directors, or BOD, unanimously approved a plan to revoke our REIT election and become a taxable C Corporation, effective January 1, 2021. The BOD also voted unanimously t</w:t>
      </w:r>
      <w:r>
        <w:rPr>
          <w:sz w:val="20"/>
          <w:szCs w:val="20"/>
        </w:rPr>
        <w:t>o discontinue our quarterly dividend and prioritize allocating our free cash flow to reduce debt levels. As a result, we are no longer required to operate under REIT rules, including the requirement to distribute at least 90% of our taxable income to our s</w:t>
      </w:r>
      <w:r>
        <w:rPr>
          <w:sz w:val="20"/>
          <w:szCs w:val="20"/>
        </w:rPr>
        <w:t>tockholders, which provides us with greater flexibility to use our free cash flow. Beginning January 1, 2021, we became subject to federal and state income taxes on our taxable income at applicable tax rates, and are no longer entitled to a tax deduction f</w:t>
      </w:r>
      <w:r>
        <w:rPr>
          <w:sz w:val="20"/>
          <w:szCs w:val="20"/>
        </w:rPr>
        <w:t>or dividends paid. However, we believe this conversion improves our overall credit profile and will lower our overall cost of capital. Following our first priority of reducing debt, we expect to allocate a substantial portion of our free cash flow to retur</w:t>
      </w:r>
      <w:r>
        <w:rPr>
          <w:sz w:val="20"/>
          <w:szCs w:val="20"/>
        </w:rPr>
        <w:t>ning capital to our shareholders and pursuing alternative growth opportunities. On May 12, 2022, our BOD approved a share repurchase program to repurchase up to $150.0 million of our common stock. On August 2, 2022, the BOD increased the authorization to r</w:t>
      </w:r>
      <w:r>
        <w:rPr>
          <w:sz w:val="20"/>
          <w:szCs w:val="20"/>
        </w:rPr>
        <w:t>epurchase under the share repurchase program by up to an additional $75.0 million of our common stock, or a total aggregate authorized amount to purchase of up to $225.0 million of our common stock. For more information about the repurchases made under our</w:t>
      </w:r>
      <w:r>
        <w:rPr>
          <w:sz w:val="20"/>
          <w:szCs w:val="20"/>
        </w:rPr>
        <w:t xml:space="preserve"> share repurchase program, see </w:t>
      </w:r>
      <w:r>
        <w:rPr>
          <w:sz w:val="20"/>
          <w:szCs w:val="20"/>
        </w:rPr>
        <w:t>"</w:t>
      </w:r>
      <w:r>
        <w:rPr>
          <w:i/>
          <w:iCs/>
          <w:sz w:val="20"/>
          <w:szCs w:val="20"/>
        </w:rPr>
        <w:t>Part II – Other Information – Item 2. Unregistered Sales of Equity Securities and Use of Proceeds – Issuer Purchases of Equity Securitie</w:t>
      </w:r>
      <w:r>
        <w:rPr>
          <w:i/>
          <w:iCs/>
          <w:sz w:val="20"/>
          <w:szCs w:val="20"/>
        </w:rPr>
        <w:t>s</w:t>
      </w:r>
      <w:r>
        <w:rPr>
          <w:sz w:val="20"/>
          <w:szCs w:val="20"/>
        </w:rPr>
        <w:t>." The conversion to a taxable C Corporation also provides us with significantly more l</w:t>
      </w:r>
      <w:r>
        <w:rPr>
          <w:sz w:val="20"/>
          <w:szCs w:val="20"/>
        </w:rPr>
        <w:t>iquidity, which enables us to reduce our reliance on the capital markets and enabled us to reduce the size of our Bank Credit Facility, as further described hereinafter. We continued to operate as a REIT for the 2020 tax year, and existing REIT requirement</w:t>
      </w:r>
      <w:r>
        <w:rPr>
          <w:sz w:val="20"/>
          <w:szCs w:val="20"/>
        </w:rPr>
        <w:t>s and limitations, including those established by our organizational documents, remained in place until January 1, 2021</w:t>
      </w:r>
      <w:r>
        <w:rPr>
          <w:sz w:val="20"/>
          <w:szCs w:val="20"/>
        </w:rPr>
        <w:t>.</w:t>
      </w:r>
      <w:r>
        <w:rPr>
          <w:sz w:val="20"/>
          <w:szCs w:val="20"/>
        </w:rPr>
        <w:t xml:space="preserve"> </w:t>
      </w:r>
    </w:p>
    <w:p w14:paraId="6FF2EE92" w14:textId="77777777" w:rsidR="00000000" w:rsidRDefault="003A1B5D">
      <w:pPr>
        <w:pStyle w:val="a3"/>
        <w:spacing w:before="240" w:beforeAutospacing="0" w:after="0" w:afterAutospacing="0"/>
        <w:jc w:val="both"/>
        <w:rPr>
          <w:sz w:val="20"/>
          <w:szCs w:val="20"/>
        </w:rPr>
      </w:pPr>
      <w:r>
        <w:rPr>
          <w:sz w:val="20"/>
          <w:szCs w:val="20"/>
        </w:rPr>
        <w:t>On January 26, 2021, President Biden issued the Private Prison EO. The Private Prison EO directs the Attorney General to not renew DOJ</w:t>
      </w:r>
      <w:r>
        <w:rPr>
          <w:sz w:val="20"/>
          <w:szCs w:val="20"/>
        </w:rPr>
        <w:t xml:space="preserve"> contracts with privately operated criminal detention facilities. Two agencies of the DOJ, the BOP and the USMS utilize our services. The BOP houses inmates who have been convicted, and the USMS is generally responsible for detainees who are awaiting trial</w:t>
      </w:r>
      <w:r>
        <w:rPr>
          <w:sz w:val="20"/>
          <w:szCs w:val="20"/>
        </w:rPr>
        <w:t>. The BOP has experienced a steady decline in inmate populations over the last eight years, a trend that has been accelerated by the COVID-19 pandemic. We currently have one prison contract with the BOP at the 1,978-bed McRae Correctional Facility, account</w:t>
      </w:r>
      <w:r>
        <w:rPr>
          <w:sz w:val="20"/>
          <w:szCs w:val="20"/>
        </w:rPr>
        <w:t>ing for 2% ($40.6 million) of our total revenue for the twelve months ended December 31, 2021, which expires in November 2022. We completed the sale of the McRae facility in August 2022 to the Georgia Building Authority, and entered into an agreement to le</w:t>
      </w:r>
      <w:r>
        <w:rPr>
          <w:sz w:val="20"/>
          <w:szCs w:val="20"/>
        </w:rPr>
        <w:t>ase the facility through November 2022 to allow us to fulfill our obligations to the BOP. The Private Prison EO only applies to agencies that are part of the DOJ, which includes the BOP and USMS. U.S. Immigration and Customs Enforcement, or ICE, facilities</w:t>
      </w:r>
      <w:r>
        <w:rPr>
          <w:sz w:val="20"/>
          <w:szCs w:val="20"/>
        </w:rPr>
        <w:t xml:space="preserve"> are not covered by the Private Prison EO, as ICE is an agency of the Department of Homeland Security, or DHS, not the DOJ, although it is possible that the federal government could choose to take similar action on ICE facilities in the future. For the twe</w:t>
      </w:r>
      <w:r>
        <w:rPr>
          <w:sz w:val="20"/>
          <w:szCs w:val="20"/>
        </w:rPr>
        <w:t xml:space="preserve">lve months ended December 31, 2021, USMS and ICE accounted for 23% ($433.6 million) and 30% ($552.2 million), respectively, of our total revenue. For the nine months ended September 30, 2022, USMS and ICE accounted for 22% ($300.7 million) and 29% ($398.0 </w:t>
      </w:r>
      <w:r>
        <w:rPr>
          <w:sz w:val="20"/>
          <w:szCs w:val="20"/>
        </w:rPr>
        <w:t>million), respectively, of our total revenue</w:t>
      </w:r>
      <w:r>
        <w:rPr>
          <w:sz w:val="20"/>
          <w:szCs w:val="20"/>
        </w:rPr>
        <w:t>.</w:t>
      </w:r>
    </w:p>
    <w:p w14:paraId="55B75272" w14:textId="77777777" w:rsidR="00000000" w:rsidRDefault="003A1B5D">
      <w:pPr>
        <w:pStyle w:val="a3"/>
        <w:spacing w:before="240" w:beforeAutospacing="0" w:after="0" w:afterAutospacing="0"/>
        <w:jc w:val="both"/>
        <w:rPr>
          <w:sz w:val="20"/>
          <w:szCs w:val="20"/>
        </w:rPr>
      </w:pPr>
      <w:r>
        <w:rPr>
          <w:sz w:val="20"/>
          <w:szCs w:val="20"/>
        </w:rPr>
        <w:t>Unlike the BOP, the USMS does not own detention capacity and relies on the private sector, along with various government agencies, for its detainee population. The USMS has been advised by the Office of the Dep</w:t>
      </w:r>
      <w:r>
        <w:rPr>
          <w:sz w:val="20"/>
          <w:szCs w:val="20"/>
        </w:rPr>
        <w:t>uty Attorney General not to renew existing contracts, or enter into new contracts for private detention facilities. During the second quarter of 2021, we had direct contracts with the USMS for up to 992 detainees at our 2016-bed Northeast Ohio Correctional</w:t>
      </w:r>
      <w:r>
        <w:rPr>
          <w:sz w:val="20"/>
          <w:szCs w:val="20"/>
        </w:rPr>
        <w:t xml:space="preserve"> Center and for up to approximately 96 detainees at our 664-bed Crossroads Correctional Center in Montana that expired and were not renewed. On May 28, 2021, we entered into a new three-year contract with Mahoning County, Ohio to utilize up to 990 beds at </w:t>
      </w:r>
      <w:r>
        <w:rPr>
          <w:sz w:val="20"/>
          <w:szCs w:val="20"/>
        </w:rPr>
        <w:t>our Northeast Ohio Correctional Center. Mahoning County is responsible for County inmates and federal detainees, including USMS detainees, and the County is using the Northeast Ohio facility to address its population needs. During the third quarter of 2021</w:t>
      </w:r>
      <w:r>
        <w:rPr>
          <w:sz w:val="20"/>
          <w:szCs w:val="20"/>
        </w:rPr>
        <w:t>, we entered into an amendment to the contract with the state of Montana to utilize all of the capacity at the Crossroads Correctional Center, including the space vacated by the USMS, and to extend the existing contract to June 30, 2023, with additional re</w:t>
      </w:r>
      <w:r>
        <w:rPr>
          <w:sz w:val="20"/>
          <w:szCs w:val="20"/>
        </w:rPr>
        <w:t>newal options by mutual agreement through August 31, 2029. We had a direct contract with the USMS to care for detainees at our 600-bed West Tennessee Detention Facility that expired on September 30, 2021 and was not renewed. In addition, we had a direct co</w:t>
      </w:r>
      <w:r>
        <w:rPr>
          <w:sz w:val="20"/>
          <w:szCs w:val="20"/>
        </w:rPr>
        <w:t>ntract with the USMS to care for detainees at our 1,033-bed Leavenworth Detention Center that expired on December 31, 2021 and was not renewed. We are actively marketing the West Tennessee and Leavenworth facilities to other government agencies. However, w</w:t>
      </w:r>
      <w:r>
        <w:rPr>
          <w:sz w:val="20"/>
          <w:szCs w:val="20"/>
        </w:rPr>
        <w:t>e can provide no assurance that we will be able to reach agreements for the utilization of the West Tennessee or Leavenworth facilities</w:t>
      </w:r>
      <w:r>
        <w:rPr>
          <w:sz w:val="20"/>
          <w:szCs w:val="20"/>
        </w:rPr>
        <w:t>.</w:t>
      </w:r>
    </w:p>
    <w:p w14:paraId="74E2BF8B" w14:textId="77777777" w:rsidR="00000000" w:rsidRDefault="003A1B5D">
      <w:pPr>
        <w:pStyle w:val="a3"/>
        <w:spacing w:before="240" w:beforeAutospacing="0" w:after="0" w:afterAutospacing="0"/>
        <w:jc w:val="both"/>
        <w:rPr>
          <w:sz w:val="20"/>
          <w:szCs w:val="20"/>
        </w:rPr>
      </w:pPr>
      <w:r>
        <w:rPr>
          <w:sz w:val="20"/>
          <w:szCs w:val="20"/>
        </w:rPr>
        <w:t>We currently have</w:t>
      </w:r>
      <w:r>
        <w:rPr>
          <w:sz w:val="20"/>
          <w:szCs w:val="20"/>
        </w:rPr>
        <w:t xml:space="preserve"> </w:t>
      </w:r>
      <w:r>
        <w:rPr>
          <w:sz w:val="20"/>
          <w:szCs w:val="20"/>
        </w:rPr>
        <w:t>two detention facilities that have direct contracts with the USMS</w:t>
      </w:r>
      <w:r>
        <w:rPr>
          <w:sz w:val="20"/>
          <w:szCs w:val="20"/>
        </w:rPr>
        <w:t xml:space="preserve"> </w:t>
      </w:r>
      <w:r>
        <w:rPr>
          <w:sz w:val="20"/>
          <w:szCs w:val="20"/>
        </w:rPr>
        <w:t>that expire in September 2023 and S</w:t>
      </w:r>
      <w:r>
        <w:rPr>
          <w:sz w:val="20"/>
          <w:szCs w:val="20"/>
        </w:rPr>
        <w:t>eptember 2025. The facility with the contract expiring in September 2023 services a substantial number of USMS detainees that we believe will be challenging to replace, and we intend to work with the USMS to enable it to continue to fulfill its mission.</w:t>
      </w:r>
      <w:r>
        <w:rPr>
          <w:sz w:val="20"/>
          <w:szCs w:val="20"/>
        </w:rPr>
        <w:t xml:space="preserve"> </w:t>
      </w:r>
      <w:r>
        <w:rPr>
          <w:sz w:val="20"/>
          <w:szCs w:val="20"/>
        </w:rPr>
        <w:t>Ho</w:t>
      </w:r>
      <w:r>
        <w:rPr>
          <w:sz w:val="20"/>
          <w:szCs w:val="20"/>
        </w:rPr>
        <w:t xml:space="preserve">wever, we can provide no assurance that this contract will be renewed or replaced upon expiration. It is too early to predict the outcome of the expiration of the contract scheduled to expire in September 2025, and future developments could occur prior to </w:t>
      </w:r>
      <w:r>
        <w:rPr>
          <w:sz w:val="20"/>
          <w:szCs w:val="20"/>
        </w:rPr>
        <w:t>the scheduled expiration dat</w:t>
      </w:r>
      <w:r>
        <w:rPr>
          <w:sz w:val="20"/>
          <w:szCs w:val="20"/>
        </w:rPr>
        <w:t>e</w:t>
      </w:r>
      <w:r>
        <w:rPr>
          <w:sz w:val="20"/>
          <w:szCs w:val="20"/>
        </w:rPr>
        <w:t>.</w:t>
      </w:r>
      <w:r>
        <w:rPr>
          <w:sz w:val="20"/>
          <w:szCs w:val="20"/>
        </w:rPr>
        <w:t xml:space="preserve"> </w:t>
      </w:r>
    </w:p>
    <w:p w14:paraId="39DB396C" w14:textId="77777777" w:rsidR="00000000" w:rsidRDefault="003A1B5D">
      <w:pPr>
        <w:pStyle w:val="a3"/>
        <w:spacing w:before="240" w:beforeAutospacing="0" w:after="0" w:afterAutospacing="0"/>
        <w:jc w:val="both"/>
        <w:rPr>
          <w:sz w:val="20"/>
          <w:szCs w:val="20"/>
        </w:rPr>
      </w:pPr>
      <w:r>
        <w:rPr>
          <w:sz w:val="20"/>
          <w:szCs w:val="20"/>
        </w:rPr>
        <w:t>In March 2020, the World Health Organization declared the outbreak of COVID-19 as a pandemic. As a result, in the first quarter of 2020, the federal government decided to deny entry at the United States southern border to as</w:t>
      </w:r>
      <w:r>
        <w:rPr>
          <w:sz w:val="20"/>
          <w:szCs w:val="20"/>
        </w:rPr>
        <w:t>ylum-seekers and anyone crossing the southern border without proper documentation or authority in an effort to contain the spread of COVID-19, a policy known as Title 42, continued by the Biden administration. This policy resulted in a reduction to the num</w:t>
      </w:r>
      <w:r>
        <w:rPr>
          <w:sz w:val="20"/>
          <w:szCs w:val="20"/>
        </w:rPr>
        <w:t>ber of people ICE detained, including in our detention facilities. On April 1, 2022, the CDC issued a Public Health Determination terminating Title 42 with an effective date of Ma</w:t>
      </w:r>
      <w:r>
        <w:rPr>
          <w:sz w:val="20"/>
          <w:szCs w:val="20"/>
        </w:rPr>
        <w:t>y</w:t>
      </w:r>
      <w:r>
        <w:rPr>
          <w:sz w:val="20"/>
          <w:szCs w:val="20"/>
        </w:rPr>
        <w:t xml:space="preserve"> </w:t>
      </w:r>
    </w:p>
    <w:p w14:paraId="2A36BCE0" w14:textId="77777777" w:rsidR="00000000" w:rsidRDefault="003A1B5D">
      <w:pPr>
        <w:pStyle w:val="a3"/>
        <w:spacing w:before="240" w:beforeAutospacing="0" w:after="0" w:afterAutospacing="0"/>
        <w:jc w:val="center"/>
        <w:rPr>
          <w:sz w:val="20"/>
          <w:szCs w:val="20"/>
        </w:rPr>
      </w:pPr>
      <w:r>
        <w:rPr>
          <w:sz w:val="20"/>
          <w:szCs w:val="20"/>
        </w:rPr>
        <w:t>2</w:t>
      </w:r>
      <w:r>
        <w:rPr>
          <w:sz w:val="20"/>
          <w:szCs w:val="20"/>
        </w:rPr>
        <w:t>2</w:t>
      </w:r>
    </w:p>
    <w:p w14:paraId="10F8B2A6" w14:textId="77777777" w:rsidR="00000000" w:rsidRDefault="003A1B5D">
      <w:pPr>
        <w:rPr>
          <w:rFonts w:eastAsia="Times New Roman"/>
        </w:rPr>
      </w:pPr>
      <w:r>
        <w:rPr>
          <w:rFonts w:eastAsia="Times New Roman"/>
        </w:rPr>
        <w:pict w14:anchorId="50A8A9F4">
          <v:rect id="_x0000_i1048" style="width:0;height:1.5pt" o:hralign="center" o:hrstd="t" o:hr="t" fillcolor="#a0a0a0" stroked="f"/>
        </w:pict>
      </w:r>
    </w:p>
    <w:p w14:paraId="2FEA328B" w14:textId="77777777" w:rsidR="00000000" w:rsidRDefault="003A1B5D">
      <w:pPr>
        <w:pStyle w:val="a3"/>
        <w:spacing w:before="0" w:beforeAutospacing="0" w:after="0" w:afterAutospacing="0"/>
        <w:rPr>
          <w:sz w:val="20"/>
          <w:szCs w:val="20"/>
        </w:rPr>
      </w:pPr>
      <w:r>
        <w:rPr>
          <w:sz w:val="20"/>
          <w:szCs w:val="20"/>
        </w:rPr>
        <w:t> </w:t>
      </w:r>
    </w:p>
    <w:p w14:paraId="46A1C6BA" w14:textId="77777777" w:rsidR="00000000" w:rsidRDefault="003A1B5D">
      <w:pPr>
        <w:pStyle w:val="a3"/>
        <w:spacing w:before="240" w:beforeAutospacing="0" w:after="0" w:afterAutospacing="0"/>
        <w:jc w:val="both"/>
        <w:rPr>
          <w:sz w:val="20"/>
          <w:szCs w:val="20"/>
        </w:rPr>
      </w:pPr>
      <w:r>
        <w:rPr>
          <w:sz w:val="20"/>
          <w:szCs w:val="20"/>
        </w:rPr>
        <w:t xml:space="preserve">23, 2022. However, on April 25, </w:t>
      </w:r>
      <w:r>
        <w:rPr>
          <w:sz w:val="20"/>
          <w:szCs w:val="20"/>
        </w:rPr>
        <w:t xml:space="preserve">2022, a federal judge issued a temporary restraining order blocking the termination of Title 42, and on May 20, 2022, ruled that the administration violated administrative law when it announced that it planned to cease Title 42. If Title 42 is terminated, </w:t>
      </w:r>
      <w:r>
        <w:rPr>
          <w:sz w:val="20"/>
          <w:szCs w:val="20"/>
        </w:rPr>
        <w:t>such action may result in an increase in the number of undocumented people permitted to enter the United States claiming asylum, and could result in an increase in the number of people apprehended and detained by ICE</w:t>
      </w:r>
      <w:r>
        <w:rPr>
          <w:sz w:val="20"/>
          <w:szCs w:val="20"/>
        </w:rPr>
        <w:t>.</w:t>
      </w:r>
    </w:p>
    <w:p w14:paraId="4751AB4E" w14:textId="77777777" w:rsidR="00000000" w:rsidRDefault="003A1B5D">
      <w:pPr>
        <w:pStyle w:val="a3"/>
        <w:spacing w:before="240" w:beforeAutospacing="0" w:after="0" w:afterAutospacing="0"/>
        <w:jc w:val="both"/>
        <w:rPr>
          <w:sz w:val="20"/>
          <w:szCs w:val="20"/>
        </w:rPr>
      </w:pPr>
      <w:r>
        <w:rPr>
          <w:sz w:val="20"/>
          <w:szCs w:val="20"/>
        </w:rPr>
        <w:t>In February 2021, President Biden anno</w:t>
      </w:r>
      <w:r>
        <w:rPr>
          <w:sz w:val="20"/>
          <w:szCs w:val="20"/>
        </w:rPr>
        <w:t>unced plans to allow certain migrants to pursue asylum in the United States while awaiting their proceedings in immigration courts, reversing a policy known as the Migrant Protection Protocols, or MPP, commonly referred to as the "Remain in Mexico Policy,"</w:t>
      </w:r>
      <w:r>
        <w:rPr>
          <w:sz w:val="20"/>
          <w:szCs w:val="20"/>
        </w:rPr>
        <w:t xml:space="preserve"> enacted by the Trump administration. The MPP required asylum seekers to wait in Mexico during the pendency of their immigration court proceedings</w:t>
      </w:r>
      <w:r>
        <w:rPr>
          <w:sz w:val="20"/>
          <w:szCs w:val="20"/>
        </w:rPr>
        <w:t>.</w:t>
      </w:r>
      <w:r>
        <w:rPr>
          <w:sz w:val="20"/>
          <w:szCs w:val="20"/>
        </w:rPr>
        <w:t xml:space="preserve"> </w:t>
      </w:r>
    </w:p>
    <w:p w14:paraId="2325B218" w14:textId="77777777" w:rsidR="00000000" w:rsidRDefault="003A1B5D">
      <w:pPr>
        <w:pStyle w:val="a3"/>
        <w:spacing w:before="240" w:beforeAutospacing="0" w:after="0" w:afterAutospacing="0"/>
        <w:jc w:val="both"/>
        <w:rPr>
          <w:sz w:val="20"/>
          <w:szCs w:val="20"/>
        </w:rPr>
      </w:pPr>
      <w:r>
        <w:rPr>
          <w:sz w:val="20"/>
          <w:szCs w:val="20"/>
        </w:rPr>
        <w:t>MPP has been subject to legal challenges. On August 13, 2021, a federal court ordered the Biden administrat</w:t>
      </w:r>
      <w:r>
        <w:rPr>
          <w:sz w:val="20"/>
          <w:szCs w:val="20"/>
        </w:rPr>
        <w:t>ion to reinstate the MPP finding that terminating MPP would be illegal "until the Department of Homeland Security has the capacity and willingness to detain immigrants." On August 24, 2021, the Supreme Court refused to block implementation of that order. O</w:t>
      </w:r>
      <w:r>
        <w:rPr>
          <w:sz w:val="20"/>
          <w:szCs w:val="20"/>
        </w:rPr>
        <w:t>n October 29, 2021, Secretary of Homeland Security Alejandro N. Mayorkas issued a memorandum asserting the termination of MPP, which was structured to be implemented if the decision reinstating MPP is vacated. The memorandum also provides that the Biden ad</w:t>
      </w:r>
      <w:r>
        <w:rPr>
          <w:sz w:val="20"/>
          <w:szCs w:val="20"/>
        </w:rPr>
        <w:t xml:space="preserve">ministration will continue to comply with the injunction requiring the reinstatement and enforcement of MPP until a final judicial decision, if any, to vacate such injunction is issued. In early December 2021, the Department of Homeland Security began the </w:t>
      </w:r>
      <w:r>
        <w:rPr>
          <w:sz w:val="20"/>
          <w:szCs w:val="20"/>
        </w:rPr>
        <w:t>court-ordered re-implementation of the MPP, and on December 13, 2021, a federal appeals court rejected the Biden administration’s attempts to terminate MPP. On December 29, 2021, the Biden administration appealed this decision to the Supreme Court. On Apri</w:t>
      </w:r>
      <w:r>
        <w:rPr>
          <w:sz w:val="20"/>
          <w:szCs w:val="20"/>
        </w:rPr>
        <w:t>l 26, 2022, the Supreme Court heard arguments on MPP, and on June 30, 2022, the Supreme Court ruled that immigration law gives the federal government the discretion to end MPP. The Supreme Court also indicated that lower courts must now determine whether i</w:t>
      </w:r>
      <w:r>
        <w:rPr>
          <w:sz w:val="20"/>
          <w:szCs w:val="20"/>
        </w:rPr>
        <w:t>ssuing the memorandum asserting the termination of MPP complied with administrative law, although the Supreme Court found that the order was a proper agency action. The number of people apprehended by ICE could increase if the Biden administration prevails</w:t>
      </w:r>
      <w:r>
        <w:rPr>
          <w:sz w:val="20"/>
          <w:szCs w:val="20"/>
        </w:rPr>
        <w:t xml:space="preserve"> in its efforts to terminate MPP</w:t>
      </w:r>
      <w:r>
        <w:rPr>
          <w:sz w:val="20"/>
          <w:szCs w:val="20"/>
        </w:rPr>
        <w:t>.</w:t>
      </w:r>
    </w:p>
    <w:p w14:paraId="782E05A0" w14:textId="77777777" w:rsidR="00000000" w:rsidRDefault="003A1B5D">
      <w:pPr>
        <w:pStyle w:val="a3"/>
        <w:spacing w:before="240" w:beforeAutospacing="0" w:after="0" w:afterAutospacing="0"/>
        <w:jc w:val="both"/>
        <w:rPr>
          <w:sz w:val="20"/>
          <w:szCs w:val="20"/>
        </w:rPr>
      </w:pPr>
      <w:r>
        <w:rPr>
          <w:sz w:val="20"/>
          <w:szCs w:val="20"/>
        </w:rPr>
        <w:t>We cannot predict government responses to an increase in staff or residents testing positive for COVID-19 within public and private correctional, detention and reentry facilities, nor can we predict COVID-19 related restri</w:t>
      </w:r>
      <w:r>
        <w:rPr>
          <w:sz w:val="20"/>
          <w:szCs w:val="20"/>
        </w:rPr>
        <w:t>ctions on individuals, businesses, and services that disrupt the criminal justice system. Further, we cannot predict government policies on prosecutions and legal restrictions as a result of COVID-19 that affect the number of people placed in correctional,</w:t>
      </w:r>
      <w:r>
        <w:rPr>
          <w:sz w:val="20"/>
          <w:szCs w:val="20"/>
        </w:rPr>
        <w:t xml:space="preserve"> detention, and reentry facilities</w:t>
      </w:r>
      <w:r>
        <w:rPr>
          <w:sz w:val="20"/>
          <w:szCs w:val="20"/>
        </w:rPr>
        <w:t>.</w:t>
      </w:r>
      <w:r>
        <w:rPr>
          <w:sz w:val="20"/>
          <w:szCs w:val="20"/>
        </w:rPr>
        <w:t xml:space="preserve"> </w:t>
      </w:r>
    </w:p>
    <w:p w14:paraId="189AD333" w14:textId="77777777" w:rsidR="00000000" w:rsidRDefault="003A1B5D">
      <w:pPr>
        <w:pStyle w:val="a3"/>
        <w:spacing w:before="240" w:beforeAutospacing="0" w:after="0" w:afterAutospacing="0"/>
        <w:jc w:val="both"/>
        <w:rPr>
          <w:sz w:val="20"/>
          <w:szCs w:val="20"/>
        </w:rPr>
      </w:pPr>
      <w:r>
        <w:rPr>
          <w:sz w:val="20"/>
          <w:szCs w:val="20"/>
        </w:rPr>
        <w:t>COVID-19 notwithstanding, we believe the long-term growth opportunities of our business remain attractive as government agencies consider their emergent needs (including capacity to help mitigate the spread of infectiou</w:t>
      </w:r>
      <w:r>
        <w:rPr>
          <w:sz w:val="20"/>
          <w:szCs w:val="20"/>
        </w:rPr>
        <w:t xml:space="preserve">s disease), as well as the efficiency and offender programming opportunities we provide as flexible solutions to satisfy our partners' needs. Further, although disrupted by the COVID-19 pandemic, several of our existing federal and state partners, as well </w:t>
      </w:r>
      <w:r>
        <w:rPr>
          <w:sz w:val="20"/>
          <w:szCs w:val="20"/>
        </w:rPr>
        <w:t xml:space="preserve">as prospective state partners, have been experiencing growth in offender populations and overcrowded conditions, as well as an increase in violent crime. Governments are now assessing their need for correctional space in light of COVID-19, and several are </w:t>
      </w:r>
      <w:r>
        <w:rPr>
          <w:sz w:val="20"/>
          <w:szCs w:val="20"/>
        </w:rPr>
        <w:t>considering alternative correctional capacity for their aged or inefficient infrastructure, or are seeking cost savings by utilizing the private sector, which could result in increased future demand for the solutions we provide. For example, in December 20</w:t>
      </w:r>
      <w:r>
        <w:rPr>
          <w:sz w:val="20"/>
          <w:szCs w:val="20"/>
        </w:rPr>
        <w:t>21, the state of Arizona awarded us a new contract for up to 2,706 inmates at our 3,060-bed La Palma Correctional Center in Arizona, which commenced in April 2022. We are not aware of a larger prison contract awarded to the private sector by any state in o</w:t>
      </w:r>
      <w:r>
        <w:rPr>
          <w:sz w:val="20"/>
          <w:szCs w:val="20"/>
        </w:rPr>
        <w:t>ver a decade. In August 2022, we completed the sale of the 1,978-bed McRae Correctional Facility to the Georgia Building Authority in order to update their aged and inefficient public sector correctional infrastructure. We currently have a management contr</w:t>
      </w:r>
      <w:r>
        <w:rPr>
          <w:sz w:val="20"/>
          <w:szCs w:val="20"/>
        </w:rPr>
        <w:t>act with the BOP at this facility, which expires November 30, 2022. In connection with the sale, we entered into an agreement to lease the McRae facility from the Georgia Building Authority through November 30, 2022 to allow us to fulfill our obligations t</w:t>
      </w:r>
      <w:r>
        <w:rPr>
          <w:sz w:val="20"/>
          <w:szCs w:val="20"/>
        </w:rPr>
        <w:t>o the BOP. The BOP is expected to transfer the BOP inmates to alternative federal capacity prior to expiration of the contract, and the McRae Correctional Facility will convert to a facility owned and operated by the State of Georgia upon termination of ou</w:t>
      </w:r>
      <w:r>
        <w:rPr>
          <w:sz w:val="20"/>
          <w:szCs w:val="20"/>
        </w:rPr>
        <w:t>r lease with the Georgia Building Authority. Competing budget priorities often impede our customers' ability to construct new prison beds of their own or update their older facilities, which we believe could result in further demand for private sector pris</w:t>
      </w:r>
      <w:r>
        <w:rPr>
          <w:sz w:val="20"/>
          <w:szCs w:val="20"/>
        </w:rPr>
        <w:t>on capacity solutions in the long-term</w:t>
      </w:r>
      <w:r>
        <w:rPr>
          <w:sz w:val="20"/>
          <w:szCs w:val="20"/>
        </w:rPr>
        <w:t>.</w:t>
      </w:r>
      <w:r>
        <w:rPr>
          <w:sz w:val="20"/>
          <w:szCs w:val="20"/>
        </w:rPr>
        <w:t xml:space="preserve"> </w:t>
      </w:r>
    </w:p>
    <w:p w14:paraId="06A4F99D" w14:textId="77777777" w:rsidR="00000000" w:rsidRDefault="003A1B5D">
      <w:pPr>
        <w:pStyle w:val="a3"/>
        <w:spacing w:before="240" w:beforeAutospacing="0" w:after="0" w:afterAutospacing="0"/>
        <w:jc w:val="center"/>
        <w:rPr>
          <w:sz w:val="20"/>
          <w:szCs w:val="20"/>
        </w:rPr>
      </w:pPr>
      <w:r>
        <w:rPr>
          <w:sz w:val="20"/>
          <w:szCs w:val="20"/>
        </w:rPr>
        <w:t>2</w:t>
      </w:r>
      <w:r>
        <w:rPr>
          <w:sz w:val="20"/>
          <w:szCs w:val="20"/>
        </w:rPr>
        <w:t>3</w:t>
      </w:r>
    </w:p>
    <w:p w14:paraId="0208A45A" w14:textId="77777777" w:rsidR="00000000" w:rsidRDefault="003A1B5D">
      <w:pPr>
        <w:rPr>
          <w:rFonts w:eastAsia="Times New Roman"/>
        </w:rPr>
      </w:pPr>
      <w:r>
        <w:rPr>
          <w:rFonts w:eastAsia="Times New Roman"/>
        </w:rPr>
        <w:pict w14:anchorId="718CC463">
          <v:rect id="_x0000_i1049" style="width:0;height:1.5pt" o:hralign="center" o:hrstd="t" o:hr="t" fillcolor="#a0a0a0" stroked="f"/>
        </w:pict>
      </w:r>
    </w:p>
    <w:p w14:paraId="2095B989" w14:textId="77777777" w:rsidR="00000000" w:rsidRDefault="003A1B5D">
      <w:pPr>
        <w:pStyle w:val="a3"/>
        <w:spacing w:before="0" w:beforeAutospacing="0" w:after="0" w:afterAutospacing="0"/>
        <w:rPr>
          <w:sz w:val="20"/>
          <w:szCs w:val="20"/>
        </w:rPr>
      </w:pPr>
      <w:r>
        <w:rPr>
          <w:sz w:val="20"/>
          <w:szCs w:val="20"/>
        </w:rPr>
        <w:t> </w:t>
      </w:r>
    </w:p>
    <w:p w14:paraId="2AFB7006" w14:textId="77777777" w:rsidR="00000000" w:rsidRDefault="003A1B5D">
      <w:pPr>
        <w:pStyle w:val="a3"/>
        <w:spacing w:before="360" w:beforeAutospacing="0" w:after="0" w:afterAutospacing="0"/>
        <w:rPr>
          <w:sz w:val="20"/>
          <w:szCs w:val="20"/>
        </w:rPr>
      </w:pPr>
      <w:r>
        <w:rPr>
          <w:b/>
          <w:bCs/>
          <w:sz w:val="20"/>
          <w:szCs w:val="20"/>
        </w:rPr>
        <w:t>CRITICAL ACCOUNTING POLICIES AND ESTIMATE</w:t>
      </w:r>
      <w:r>
        <w:rPr>
          <w:b/>
          <w:bCs/>
          <w:sz w:val="20"/>
          <w:szCs w:val="20"/>
        </w:rPr>
        <w:t>S</w:t>
      </w:r>
    </w:p>
    <w:p w14:paraId="0B0569F4" w14:textId="77777777" w:rsidR="00000000" w:rsidRDefault="003A1B5D">
      <w:pPr>
        <w:pStyle w:val="a3"/>
        <w:spacing w:before="120" w:beforeAutospacing="0" w:after="0" w:afterAutospacing="0"/>
        <w:jc w:val="both"/>
        <w:rPr>
          <w:sz w:val="20"/>
          <w:szCs w:val="20"/>
        </w:rPr>
      </w:pPr>
      <w:r>
        <w:rPr>
          <w:sz w:val="20"/>
          <w:szCs w:val="20"/>
        </w:rPr>
        <w:t>The consolidated financial statements in this Quarterly Report are prepared in conformity with U.S. generally accepted accounting principles, or GAAP. As such, we are required to make certain estimates, judgments, and assumptions that we believe are reason</w:t>
      </w:r>
      <w:r>
        <w:rPr>
          <w:sz w:val="20"/>
          <w:szCs w:val="20"/>
        </w:rPr>
        <w:t>able based upon the information available which, by their nature, are subject to an inherent degree of uncertainty. These estimates and assumptions affect the reported amounts of assets and liabilities at the date of the consolidated financial statements a</w:t>
      </w:r>
      <w:r>
        <w:rPr>
          <w:sz w:val="20"/>
          <w:szCs w:val="20"/>
        </w:rPr>
        <w:t>nd the reported amounts of revenue and expenses during the reporting period. There can be no assurance that actual results will not differ from our estimates. A summary of our significant accounting policies is described in our 2021 Form 10-K. The signific</w:t>
      </w:r>
      <w:r>
        <w:rPr>
          <w:sz w:val="20"/>
          <w:szCs w:val="20"/>
        </w:rPr>
        <w:t>ant accounting policies and estimates which we believe are the most critical to aid in fully understanding and evaluating our reported financial results include those related to idle facilities and asset impairments, self-funded insurance reserves, and leg</w:t>
      </w:r>
      <w:r>
        <w:rPr>
          <w:sz w:val="20"/>
          <w:szCs w:val="20"/>
        </w:rPr>
        <w:t>al reserves. For a discussion of our critical accounting policies and estimates, please refer to</w:t>
      </w:r>
      <w:r>
        <w:rPr>
          <w:sz w:val="20"/>
          <w:szCs w:val="20"/>
        </w:rPr>
        <w:t xml:space="preserve"> </w:t>
      </w:r>
      <w:r>
        <w:rPr>
          <w:i/>
          <w:iCs/>
          <w:sz w:val="20"/>
          <w:szCs w:val="20"/>
        </w:rPr>
        <w:t>Item 7, "Management's Discussion and Analysis of Financial Condition and Results of Operations" and "Notes to Consolidated Financial Statements</w:t>
      </w:r>
      <w:r>
        <w:rPr>
          <w:i/>
          <w:iCs/>
          <w:sz w:val="20"/>
          <w:szCs w:val="20"/>
        </w:rPr>
        <w:t>"</w:t>
      </w:r>
      <w:r>
        <w:rPr>
          <w:sz w:val="20"/>
          <w:szCs w:val="20"/>
        </w:rPr>
        <w:t xml:space="preserve"> presented in o</w:t>
      </w:r>
      <w:r>
        <w:rPr>
          <w:sz w:val="20"/>
          <w:szCs w:val="20"/>
        </w:rPr>
        <w:t>ur 2021 Form 10-K. There were no newly identified critical accounting policies during the first nine months of 2022, nor were there any material changes to the critical accounting policies and estimates discussed in our 2021 Form 10-K</w:t>
      </w:r>
      <w:r>
        <w:rPr>
          <w:sz w:val="20"/>
          <w:szCs w:val="20"/>
        </w:rPr>
        <w:t>.</w:t>
      </w:r>
    </w:p>
    <w:p w14:paraId="69BE6BF6" w14:textId="77777777" w:rsidR="00000000" w:rsidRDefault="003A1B5D">
      <w:pPr>
        <w:pStyle w:val="a3"/>
        <w:spacing w:before="360" w:beforeAutospacing="0" w:after="0" w:afterAutospacing="0"/>
        <w:jc w:val="both"/>
        <w:rPr>
          <w:sz w:val="20"/>
          <w:szCs w:val="20"/>
        </w:rPr>
      </w:pPr>
      <w:r>
        <w:rPr>
          <w:b/>
          <w:bCs/>
          <w:sz w:val="20"/>
          <w:szCs w:val="20"/>
        </w:rPr>
        <w:t>RESULTS OF OPERATION</w:t>
      </w:r>
      <w:r>
        <w:rPr>
          <w:b/>
          <w:bCs/>
          <w:sz w:val="20"/>
          <w:szCs w:val="20"/>
        </w:rPr>
        <w:t>S</w:t>
      </w:r>
    </w:p>
    <w:p w14:paraId="4940B0A8" w14:textId="77777777" w:rsidR="00000000" w:rsidRDefault="003A1B5D">
      <w:pPr>
        <w:pStyle w:val="a3"/>
        <w:spacing w:before="120" w:beforeAutospacing="0" w:after="0" w:afterAutospacing="0"/>
        <w:jc w:val="both"/>
        <w:rPr>
          <w:sz w:val="20"/>
          <w:szCs w:val="20"/>
        </w:rPr>
      </w:pPr>
      <w:r>
        <w:rPr>
          <w:sz w:val="20"/>
          <w:szCs w:val="20"/>
        </w:rPr>
        <w:t>Our results of operations are impacted by the number of correctional and detention facilities we operated, including 40 we owned and five owned by our government partners (CoreCivic Safety), the number of residential reentry centers we owned and operated</w:t>
      </w:r>
      <w:r>
        <w:rPr>
          <w:sz w:val="20"/>
          <w:szCs w:val="20"/>
        </w:rPr>
        <w:t xml:space="preserve"> (CoreCivic Community), the number of facilities we leased to other operators (CoreCivic Properties), and the facilities we owned that were not in operation. The following table sets forth the changes in the number of facilities in operation for the period</w:t>
      </w:r>
      <w:r>
        <w:rPr>
          <w:sz w:val="20"/>
          <w:szCs w:val="20"/>
        </w:rPr>
        <w:t>s presented</w:t>
      </w:r>
      <w:r>
        <w:rPr>
          <w:sz w:val="20"/>
          <w:szCs w:val="20"/>
        </w:rPr>
        <w:t>:</w:t>
      </w:r>
      <w:r>
        <w:rPr>
          <w:sz w:val="20"/>
          <w:szCs w:val="20"/>
        </w:rPr>
        <w:t xml:space="preserve"> </w:t>
      </w:r>
    </w:p>
    <w:p w14:paraId="51C5F346" w14:textId="77777777" w:rsidR="00000000" w:rsidRDefault="003A1B5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9"/>
        <w:gridCol w:w="110"/>
        <w:gridCol w:w="905"/>
        <w:gridCol w:w="110"/>
        <w:gridCol w:w="111"/>
        <w:gridCol w:w="500"/>
        <w:gridCol w:w="127"/>
        <w:gridCol w:w="110"/>
        <w:gridCol w:w="137"/>
        <w:gridCol w:w="946"/>
        <w:gridCol w:w="127"/>
        <w:gridCol w:w="110"/>
        <w:gridCol w:w="123"/>
        <w:gridCol w:w="826"/>
        <w:gridCol w:w="127"/>
        <w:gridCol w:w="110"/>
        <w:gridCol w:w="111"/>
        <w:gridCol w:w="435"/>
        <w:gridCol w:w="142"/>
      </w:tblGrid>
      <w:tr w:rsidR="00000000" w14:paraId="07C152AD" w14:textId="77777777">
        <w:trPr>
          <w:tblCellSpacing w:w="15" w:type="dxa"/>
        </w:trPr>
        <w:tc>
          <w:tcPr>
            <w:tcW w:w="2113" w:type="pct"/>
            <w:vAlign w:val="center"/>
            <w:hideMark/>
          </w:tcPr>
          <w:p w14:paraId="3212A0E4" w14:textId="77777777" w:rsidR="00000000" w:rsidRDefault="003A1B5D">
            <w:pPr>
              <w:rPr>
                <w:sz w:val="20"/>
                <w:szCs w:val="20"/>
              </w:rPr>
            </w:pPr>
          </w:p>
        </w:tc>
        <w:tc>
          <w:tcPr>
            <w:tcW w:w="51" w:type="pct"/>
            <w:vAlign w:val="center"/>
            <w:hideMark/>
          </w:tcPr>
          <w:p w14:paraId="0FB32A37" w14:textId="77777777" w:rsidR="00000000" w:rsidRDefault="003A1B5D">
            <w:pPr>
              <w:rPr>
                <w:rFonts w:eastAsia="Times New Roman"/>
                <w:sz w:val="20"/>
                <w:szCs w:val="20"/>
              </w:rPr>
            </w:pPr>
          </w:p>
        </w:tc>
        <w:tc>
          <w:tcPr>
            <w:tcW w:w="607" w:type="pct"/>
            <w:vAlign w:val="center"/>
            <w:hideMark/>
          </w:tcPr>
          <w:p w14:paraId="67673C39" w14:textId="77777777" w:rsidR="00000000" w:rsidRDefault="003A1B5D">
            <w:pPr>
              <w:rPr>
                <w:rFonts w:eastAsia="Times New Roman"/>
                <w:sz w:val="20"/>
                <w:szCs w:val="20"/>
              </w:rPr>
            </w:pPr>
          </w:p>
        </w:tc>
        <w:tc>
          <w:tcPr>
            <w:tcW w:w="48" w:type="pct"/>
            <w:vAlign w:val="center"/>
            <w:hideMark/>
          </w:tcPr>
          <w:p w14:paraId="7E7E320B" w14:textId="77777777" w:rsidR="00000000" w:rsidRDefault="003A1B5D">
            <w:pPr>
              <w:rPr>
                <w:rFonts w:eastAsia="Times New Roman"/>
                <w:sz w:val="20"/>
                <w:szCs w:val="20"/>
              </w:rPr>
            </w:pPr>
          </w:p>
        </w:tc>
        <w:tc>
          <w:tcPr>
            <w:tcW w:w="50" w:type="pct"/>
            <w:vAlign w:val="center"/>
            <w:hideMark/>
          </w:tcPr>
          <w:p w14:paraId="4A52B9F2" w14:textId="77777777" w:rsidR="00000000" w:rsidRDefault="003A1B5D">
            <w:pPr>
              <w:rPr>
                <w:rFonts w:eastAsia="Times New Roman"/>
                <w:sz w:val="20"/>
                <w:szCs w:val="20"/>
              </w:rPr>
            </w:pPr>
          </w:p>
        </w:tc>
        <w:tc>
          <w:tcPr>
            <w:tcW w:w="370" w:type="pct"/>
            <w:vAlign w:val="center"/>
            <w:hideMark/>
          </w:tcPr>
          <w:p w14:paraId="62B44CC2" w14:textId="77777777" w:rsidR="00000000" w:rsidRDefault="003A1B5D">
            <w:pPr>
              <w:rPr>
                <w:rFonts w:eastAsia="Times New Roman"/>
                <w:sz w:val="20"/>
                <w:szCs w:val="20"/>
              </w:rPr>
            </w:pPr>
          </w:p>
        </w:tc>
        <w:tc>
          <w:tcPr>
            <w:tcW w:w="50" w:type="pct"/>
            <w:vAlign w:val="center"/>
            <w:hideMark/>
          </w:tcPr>
          <w:p w14:paraId="39F19222" w14:textId="77777777" w:rsidR="00000000" w:rsidRDefault="003A1B5D">
            <w:pPr>
              <w:rPr>
                <w:rFonts w:eastAsia="Times New Roman"/>
                <w:sz w:val="20"/>
                <w:szCs w:val="20"/>
              </w:rPr>
            </w:pPr>
          </w:p>
        </w:tc>
        <w:tc>
          <w:tcPr>
            <w:tcW w:w="48" w:type="pct"/>
            <w:vAlign w:val="center"/>
            <w:hideMark/>
          </w:tcPr>
          <w:p w14:paraId="037FEC29" w14:textId="77777777" w:rsidR="00000000" w:rsidRDefault="003A1B5D">
            <w:pPr>
              <w:rPr>
                <w:rFonts w:eastAsia="Times New Roman"/>
                <w:sz w:val="20"/>
                <w:szCs w:val="20"/>
              </w:rPr>
            </w:pPr>
          </w:p>
        </w:tc>
        <w:tc>
          <w:tcPr>
            <w:tcW w:w="50" w:type="pct"/>
            <w:vAlign w:val="center"/>
            <w:hideMark/>
          </w:tcPr>
          <w:p w14:paraId="5D939126" w14:textId="77777777" w:rsidR="00000000" w:rsidRDefault="003A1B5D">
            <w:pPr>
              <w:rPr>
                <w:rFonts w:eastAsia="Times New Roman"/>
                <w:sz w:val="20"/>
                <w:szCs w:val="20"/>
              </w:rPr>
            </w:pPr>
          </w:p>
        </w:tc>
        <w:tc>
          <w:tcPr>
            <w:tcW w:w="431" w:type="pct"/>
            <w:vAlign w:val="center"/>
            <w:hideMark/>
          </w:tcPr>
          <w:p w14:paraId="013437C0" w14:textId="77777777" w:rsidR="00000000" w:rsidRDefault="003A1B5D">
            <w:pPr>
              <w:rPr>
                <w:rFonts w:eastAsia="Times New Roman"/>
                <w:sz w:val="20"/>
                <w:szCs w:val="20"/>
              </w:rPr>
            </w:pPr>
          </w:p>
        </w:tc>
        <w:tc>
          <w:tcPr>
            <w:tcW w:w="50" w:type="pct"/>
            <w:vAlign w:val="center"/>
            <w:hideMark/>
          </w:tcPr>
          <w:p w14:paraId="4B4B652A" w14:textId="77777777" w:rsidR="00000000" w:rsidRDefault="003A1B5D">
            <w:pPr>
              <w:rPr>
                <w:rFonts w:eastAsia="Times New Roman"/>
                <w:sz w:val="20"/>
                <w:szCs w:val="20"/>
              </w:rPr>
            </w:pPr>
          </w:p>
        </w:tc>
        <w:tc>
          <w:tcPr>
            <w:tcW w:w="48" w:type="pct"/>
            <w:vAlign w:val="center"/>
            <w:hideMark/>
          </w:tcPr>
          <w:p w14:paraId="2674E0BD" w14:textId="77777777" w:rsidR="00000000" w:rsidRDefault="003A1B5D">
            <w:pPr>
              <w:rPr>
                <w:rFonts w:eastAsia="Times New Roman"/>
                <w:sz w:val="20"/>
                <w:szCs w:val="20"/>
              </w:rPr>
            </w:pPr>
          </w:p>
        </w:tc>
        <w:tc>
          <w:tcPr>
            <w:tcW w:w="50" w:type="pct"/>
            <w:vAlign w:val="center"/>
            <w:hideMark/>
          </w:tcPr>
          <w:p w14:paraId="6CDE87DA" w14:textId="77777777" w:rsidR="00000000" w:rsidRDefault="003A1B5D">
            <w:pPr>
              <w:rPr>
                <w:rFonts w:eastAsia="Times New Roman"/>
                <w:sz w:val="20"/>
                <w:szCs w:val="20"/>
              </w:rPr>
            </w:pPr>
          </w:p>
        </w:tc>
        <w:tc>
          <w:tcPr>
            <w:tcW w:w="432" w:type="pct"/>
            <w:vAlign w:val="center"/>
            <w:hideMark/>
          </w:tcPr>
          <w:p w14:paraId="300EA431" w14:textId="77777777" w:rsidR="00000000" w:rsidRDefault="003A1B5D">
            <w:pPr>
              <w:rPr>
                <w:rFonts w:eastAsia="Times New Roman"/>
                <w:sz w:val="20"/>
                <w:szCs w:val="20"/>
              </w:rPr>
            </w:pPr>
          </w:p>
        </w:tc>
        <w:tc>
          <w:tcPr>
            <w:tcW w:w="50" w:type="pct"/>
            <w:vAlign w:val="center"/>
            <w:hideMark/>
          </w:tcPr>
          <w:p w14:paraId="3CBDB827" w14:textId="77777777" w:rsidR="00000000" w:rsidRDefault="003A1B5D">
            <w:pPr>
              <w:rPr>
                <w:rFonts w:eastAsia="Times New Roman"/>
                <w:sz w:val="20"/>
                <w:szCs w:val="20"/>
              </w:rPr>
            </w:pPr>
          </w:p>
        </w:tc>
        <w:tc>
          <w:tcPr>
            <w:tcW w:w="48" w:type="pct"/>
            <w:vAlign w:val="center"/>
            <w:hideMark/>
          </w:tcPr>
          <w:p w14:paraId="554E8D87" w14:textId="77777777" w:rsidR="00000000" w:rsidRDefault="003A1B5D">
            <w:pPr>
              <w:rPr>
                <w:rFonts w:eastAsia="Times New Roman"/>
                <w:sz w:val="20"/>
                <w:szCs w:val="20"/>
              </w:rPr>
            </w:pPr>
          </w:p>
        </w:tc>
        <w:tc>
          <w:tcPr>
            <w:tcW w:w="50" w:type="pct"/>
            <w:vAlign w:val="center"/>
            <w:hideMark/>
          </w:tcPr>
          <w:p w14:paraId="41985A52" w14:textId="77777777" w:rsidR="00000000" w:rsidRDefault="003A1B5D">
            <w:pPr>
              <w:rPr>
                <w:rFonts w:eastAsia="Times New Roman"/>
                <w:sz w:val="20"/>
                <w:szCs w:val="20"/>
              </w:rPr>
            </w:pPr>
          </w:p>
        </w:tc>
        <w:tc>
          <w:tcPr>
            <w:tcW w:w="398" w:type="pct"/>
            <w:vAlign w:val="center"/>
            <w:hideMark/>
          </w:tcPr>
          <w:p w14:paraId="0CCDD34F" w14:textId="77777777" w:rsidR="00000000" w:rsidRDefault="003A1B5D">
            <w:pPr>
              <w:rPr>
                <w:rFonts w:eastAsia="Times New Roman"/>
                <w:sz w:val="20"/>
                <w:szCs w:val="20"/>
              </w:rPr>
            </w:pPr>
          </w:p>
        </w:tc>
        <w:tc>
          <w:tcPr>
            <w:tcW w:w="50" w:type="pct"/>
            <w:vAlign w:val="center"/>
            <w:hideMark/>
          </w:tcPr>
          <w:p w14:paraId="4F30372B" w14:textId="77777777" w:rsidR="00000000" w:rsidRDefault="003A1B5D">
            <w:pPr>
              <w:rPr>
                <w:rFonts w:eastAsia="Times New Roman"/>
                <w:sz w:val="20"/>
                <w:szCs w:val="20"/>
              </w:rPr>
            </w:pPr>
          </w:p>
        </w:tc>
      </w:tr>
      <w:tr w:rsidR="00000000" w14:paraId="14D34921" w14:textId="77777777">
        <w:trPr>
          <w:trHeight w:val="200"/>
          <w:tblCellSpacing w:w="15" w:type="dxa"/>
        </w:trPr>
        <w:tc>
          <w:tcPr>
            <w:tcW w:w="0" w:type="auto"/>
            <w:vAlign w:val="bottom"/>
            <w:hideMark/>
          </w:tcPr>
          <w:p w14:paraId="1E8D7976"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347969B4"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30D8DCF5" w14:textId="77777777" w:rsidR="00000000" w:rsidRDefault="003A1B5D">
            <w:pPr>
              <w:pStyle w:val="a3"/>
              <w:spacing w:before="0" w:beforeAutospacing="0" w:after="0" w:afterAutospacing="0"/>
              <w:jc w:val="center"/>
              <w:rPr>
                <w:sz w:val="20"/>
                <w:szCs w:val="20"/>
              </w:rPr>
            </w:pPr>
            <w:r>
              <w:rPr>
                <w:b/>
                <w:bCs/>
                <w:sz w:val="20"/>
                <w:szCs w:val="20"/>
              </w:rPr>
              <w:t>Effectiv</w:t>
            </w:r>
            <w:r>
              <w:rPr>
                <w:b/>
                <w:bCs/>
                <w:sz w:val="20"/>
                <w:szCs w:val="20"/>
              </w:rPr>
              <w:t>e</w:t>
            </w:r>
          </w:p>
        </w:tc>
        <w:tc>
          <w:tcPr>
            <w:tcW w:w="0" w:type="auto"/>
            <w:vAlign w:val="bottom"/>
            <w:hideMark/>
          </w:tcPr>
          <w:p w14:paraId="0AA1702F" w14:textId="77777777" w:rsidR="00000000" w:rsidRDefault="003A1B5D">
            <w:pPr>
              <w:pStyle w:val="a3"/>
              <w:spacing w:before="0" w:beforeAutospacing="0" w:after="0" w:afterAutospacing="0"/>
              <w:rPr>
                <w:sz w:val="20"/>
                <w:szCs w:val="20"/>
              </w:rPr>
            </w:pPr>
            <w:r>
              <w:rPr>
                <w:sz w:val="20"/>
                <w:szCs w:val="20"/>
              </w:rPr>
              <w:t> </w:t>
            </w:r>
          </w:p>
        </w:tc>
        <w:tc>
          <w:tcPr>
            <w:tcW w:w="0" w:type="auto"/>
            <w:gridSpan w:val="10"/>
            <w:vAlign w:val="bottom"/>
            <w:hideMark/>
          </w:tcPr>
          <w:p w14:paraId="6E5971FF" w14:textId="77777777" w:rsidR="00000000" w:rsidRDefault="003A1B5D">
            <w:pPr>
              <w:pStyle w:val="a3"/>
              <w:spacing w:before="0" w:beforeAutospacing="0" w:after="0" w:afterAutospacing="0"/>
              <w:jc w:val="center"/>
              <w:rPr>
                <w:sz w:val="20"/>
                <w:szCs w:val="20"/>
              </w:rPr>
            </w:pPr>
            <w:r>
              <w:rPr>
                <w:b/>
                <w:bCs/>
                <w:sz w:val="20"/>
                <w:szCs w:val="20"/>
              </w:rPr>
              <w:t>CoreCivi</w:t>
            </w:r>
            <w:r>
              <w:rPr>
                <w:b/>
                <w:bCs/>
                <w:sz w:val="20"/>
                <w:szCs w:val="20"/>
              </w:rPr>
              <w:t>c</w:t>
            </w:r>
          </w:p>
        </w:tc>
        <w:tc>
          <w:tcPr>
            <w:tcW w:w="0" w:type="auto"/>
            <w:vAlign w:val="bottom"/>
            <w:hideMark/>
          </w:tcPr>
          <w:p w14:paraId="787722F1" w14:textId="77777777" w:rsidR="00000000" w:rsidRDefault="003A1B5D">
            <w:pPr>
              <w:pStyle w:val="a3"/>
              <w:spacing w:before="0" w:beforeAutospacing="0" w:after="0" w:afterAutospacing="0"/>
              <w:jc w:val="center"/>
              <w:rPr>
                <w:sz w:val="20"/>
                <w:szCs w:val="20"/>
              </w:rPr>
            </w:pPr>
            <w:r>
              <w:rPr>
                <w:sz w:val="20"/>
                <w:szCs w:val="20"/>
              </w:rPr>
              <w:t> </w:t>
            </w:r>
          </w:p>
        </w:tc>
        <w:tc>
          <w:tcPr>
            <w:tcW w:w="0" w:type="auto"/>
            <w:vAlign w:val="bottom"/>
            <w:hideMark/>
          </w:tcPr>
          <w:p w14:paraId="0D84798E"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2E37F5C2" w14:textId="77777777" w:rsidR="00000000" w:rsidRDefault="003A1B5D">
            <w:pPr>
              <w:pStyle w:val="a3"/>
              <w:spacing w:before="0" w:beforeAutospacing="0" w:after="0" w:afterAutospacing="0"/>
              <w:jc w:val="center"/>
              <w:rPr>
                <w:sz w:val="20"/>
                <w:szCs w:val="20"/>
              </w:rPr>
            </w:pPr>
            <w:r>
              <w:rPr>
                <w:sz w:val="20"/>
                <w:szCs w:val="20"/>
              </w:rPr>
              <w:t> </w:t>
            </w:r>
          </w:p>
        </w:tc>
        <w:tc>
          <w:tcPr>
            <w:tcW w:w="0" w:type="auto"/>
            <w:vAlign w:val="bottom"/>
            <w:hideMark/>
          </w:tcPr>
          <w:p w14:paraId="33DBDDA8" w14:textId="77777777" w:rsidR="00000000" w:rsidRDefault="003A1B5D">
            <w:pPr>
              <w:pStyle w:val="a3"/>
              <w:spacing w:before="0" w:beforeAutospacing="0" w:after="0" w:afterAutospacing="0"/>
              <w:jc w:val="center"/>
              <w:rPr>
                <w:sz w:val="20"/>
                <w:szCs w:val="20"/>
              </w:rPr>
            </w:pPr>
            <w:r>
              <w:rPr>
                <w:sz w:val="20"/>
                <w:szCs w:val="20"/>
              </w:rPr>
              <w:t> </w:t>
            </w:r>
          </w:p>
        </w:tc>
      </w:tr>
      <w:tr w:rsidR="00000000" w14:paraId="388E0BE5" w14:textId="77777777">
        <w:trPr>
          <w:trHeight w:val="200"/>
          <w:tblCellSpacing w:w="15" w:type="dxa"/>
        </w:trPr>
        <w:tc>
          <w:tcPr>
            <w:tcW w:w="0" w:type="auto"/>
            <w:vAlign w:val="bottom"/>
            <w:hideMark/>
          </w:tcPr>
          <w:p w14:paraId="08A93B54"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5F55ABCD" w14:textId="77777777" w:rsidR="00000000" w:rsidRDefault="003A1B5D">
            <w:pPr>
              <w:pStyle w:val="a3"/>
              <w:spacing w:before="0" w:beforeAutospacing="0" w:after="0" w:afterAutospacing="0"/>
              <w:rPr>
                <w:sz w:val="16"/>
                <w:szCs w:val="16"/>
              </w:rPr>
            </w:pPr>
            <w:r>
              <w:rPr>
                <w:sz w:val="16"/>
                <w:szCs w:val="16"/>
              </w:rPr>
              <w:t> </w:t>
            </w:r>
          </w:p>
        </w:tc>
        <w:tc>
          <w:tcPr>
            <w:tcW w:w="0" w:type="auto"/>
            <w:vAlign w:val="bottom"/>
            <w:hideMark/>
          </w:tcPr>
          <w:p w14:paraId="74ACD0B4" w14:textId="77777777" w:rsidR="00000000" w:rsidRDefault="003A1B5D">
            <w:pPr>
              <w:pStyle w:val="a3"/>
              <w:spacing w:before="0" w:beforeAutospacing="0" w:after="0" w:afterAutospacing="0"/>
              <w:jc w:val="center"/>
              <w:rPr>
                <w:sz w:val="20"/>
                <w:szCs w:val="20"/>
              </w:rPr>
            </w:pPr>
            <w:r>
              <w:rPr>
                <w:b/>
                <w:bCs/>
                <w:sz w:val="20"/>
                <w:szCs w:val="20"/>
              </w:rPr>
              <w:t>Dat</w:t>
            </w:r>
            <w:r>
              <w:rPr>
                <w:b/>
                <w:bCs/>
                <w:sz w:val="20"/>
                <w:szCs w:val="20"/>
              </w:rPr>
              <w:t>e</w:t>
            </w:r>
          </w:p>
        </w:tc>
        <w:tc>
          <w:tcPr>
            <w:tcW w:w="0" w:type="auto"/>
            <w:vAlign w:val="bottom"/>
            <w:hideMark/>
          </w:tcPr>
          <w:p w14:paraId="24CF858C"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484324F3" w14:textId="77777777" w:rsidR="00000000" w:rsidRDefault="003A1B5D">
            <w:pPr>
              <w:pStyle w:val="a3"/>
              <w:spacing w:before="0" w:beforeAutospacing="0" w:after="0" w:afterAutospacing="0"/>
              <w:jc w:val="center"/>
              <w:rPr>
                <w:sz w:val="20"/>
                <w:szCs w:val="20"/>
              </w:rPr>
            </w:pPr>
            <w:r>
              <w:rPr>
                <w:b/>
                <w:bCs/>
                <w:sz w:val="20"/>
                <w:szCs w:val="20"/>
              </w:rPr>
              <w:t>Safet</w:t>
            </w:r>
            <w:r>
              <w:rPr>
                <w:b/>
                <w:bCs/>
                <w:sz w:val="20"/>
                <w:szCs w:val="20"/>
              </w:rPr>
              <w:t>y</w:t>
            </w:r>
          </w:p>
        </w:tc>
        <w:tc>
          <w:tcPr>
            <w:tcW w:w="0" w:type="auto"/>
            <w:vAlign w:val="bottom"/>
            <w:hideMark/>
          </w:tcPr>
          <w:p w14:paraId="52ED56FE" w14:textId="77777777" w:rsidR="00000000" w:rsidRDefault="003A1B5D">
            <w:pPr>
              <w:pStyle w:val="a3"/>
              <w:spacing w:before="0" w:beforeAutospacing="0" w:after="0" w:afterAutospacing="0"/>
              <w:jc w:val="center"/>
              <w:rPr>
                <w:sz w:val="20"/>
                <w:szCs w:val="20"/>
              </w:rPr>
            </w:pPr>
            <w:r>
              <w:rPr>
                <w:sz w:val="20"/>
                <w:szCs w:val="20"/>
              </w:rPr>
              <w:t> </w:t>
            </w:r>
          </w:p>
        </w:tc>
        <w:tc>
          <w:tcPr>
            <w:tcW w:w="0" w:type="auto"/>
            <w:vAlign w:val="bottom"/>
            <w:hideMark/>
          </w:tcPr>
          <w:p w14:paraId="762F2A82"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0A7EAE12" w14:textId="77777777" w:rsidR="00000000" w:rsidRDefault="003A1B5D">
            <w:pPr>
              <w:pStyle w:val="a3"/>
              <w:spacing w:before="0" w:beforeAutospacing="0" w:after="0" w:afterAutospacing="0"/>
              <w:jc w:val="center"/>
              <w:rPr>
                <w:sz w:val="20"/>
                <w:szCs w:val="20"/>
              </w:rPr>
            </w:pPr>
            <w:r>
              <w:rPr>
                <w:b/>
                <w:bCs/>
                <w:sz w:val="20"/>
                <w:szCs w:val="20"/>
              </w:rPr>
              <w:t>Communit</w:t>
            </w:r>
            <w:r>
              <w:rPr>
                <w:b/>
                <w:bCs/>
                <w:sz w:val="20"/>
                <w:szCs w:val="20"/>
              </w:rPr>
              <w:t>y</w:t>
            </w:r>
          </w:p>
        </w:tc>
        <w:tc>
          <w:tcPr>
            <w:tcW w:w="0" w:type="auto"/>
            <w:vAlign w:val="bottom"/>
            <w:hideMark/>
          </w:tcPr>
          <w:p w14:paraId="38E8B14C" w14:textId="77777777" w:rsidR="00000000" w:rsidRDefault="003A1B5D">
            <w:pPr>
              <w:pStyle w:val="a3"/>
              <w:spacing w:before="0" w:beforeAutospacing="0" w:after="0" w:afterAutospacing="0"/>
              <w:jc w:val="center"/>
              <w:rPr>
                <w:sz w:val="20"/>
                <w:szCs w:val="20"/>
              </w:rPr>
            </w:pPr>
            <w:r>
              <w:rPr>
                <w:sz w:val="20"/>
                <w:szCs w:val="20"/>
              </w:rPr>
              <w:t> </w:t>
            </w:r>
          </w:p>
        </w:tc>
        <w:tc>
          <w:tcPr>
            <w:tcW w:w="0" w:type="auto"/>
            <w:vAlign w:val="bottom"/>
            <w:hideMark/>
          </w:tcPr>
          <w:p w14:paraId="51E67265"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10BF78F7" w14:textId="77777777" w:rsidR="00000000" w:rsidRDefault="003A1B5D">
            <w:pPr>
              <w:pStyle w:val="a3"/>
              <w:spacing w:before="0" w:beforeAutospacing="0" w:after="0" w:afterAutospacing="0"/>
              <w:jc w:val="center"/>
              <w:rPr>
                <w:sz w:val="20"/>
                <w:szCs w:val="20"/>
              </w:rPr>
            </w:pPr>
            <w:r>
              <w:rPr>
                <w:b/>
                <w:bCs/>
                <w:sz w:val="20"/>
                <w:szCs w:val="20"/>
              </w:rPr>
              <w:t>Propertie</w:t>
            </w:r>
            <w:r>
              <w:rPr>
                <w:b/>
                <w:bCs/>
                <w:sz w:val="20"/>
                <w:szCs w:val="20"/>
              </w:rPr>
              <w:t>s</w:t>
            </w:r>
          </w:p>
        </w:tc>
        <w:tc>
          <w:tcPr>
            <w:tcW w:w="0" w:type="auto"/>
            <w:vAlign w:val="bottom"/>
            <w:hideMark/>
          </w:tcPr>
          <w:p w14:paraId="1C906144" w14:textId="77777777" w:rsidR="00000000" w:rsidRDefault="003A1B5D">
            <w:pPr>
              <w:pStyle w:val="a3"/>
              <w:spacing w:before="0" w:beforeAutospacing="0" w:after="0" w:afterAutospacing="0"/>
              <w:jc w:val="center"/>
              <w:rPr>
                <w:sz w:val="20"/>
                <w:szCs w:val="20"/>
              </w:rPr>
            </w:pPr>
            <w:r>
              <w:rPr>
                <w:sz w:val="20"/>
                <w:szCs w:val="20"/>
              </w:rPr>
              <w:t> </w:t>
            </w:r>
          </w:p>
        </w:tc>
        <w:tc>
          <w:tcPr>
            <w:tcW w:w="0" w:type="auto"/>
            <w:vAlign w:val="bottom"/>
            <w:hideMark/>
          </w:tcPr>
          <w:p w14:paraId="69F036C2"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3F718E23" w14:textId="77777777" w:rsidR="00000000" w:rsidRDefault="003A1B5D">
            <w:pPr>
              <w:pStyle w:val="a3"/>
              <w:spacing w:before="0" w:beforeAutospacing="0" w:after="0" w:afterAutospacing="0"/>
              <w:jc w:val="center"/>
              <w:rPr>
                <w:sz w:val="20"/>
                <w:szCs w:val="20"/>
              </w:rPr>
            </w:pPr>
            <w:r>
              <w:rPr>
                <w:b/>
                <w:bCs/>
                <w:sz w:val="20"/>
                <w:szCs w:val="20"/>
              </w:rPr>
              <w:t>Tota</w:t>
            </w:r>
            <w:r>
              <w:rPr>
                <w:b/>
                <w:bCs/>
                <w:sz w:val="20"/>
                <w:szCs w:val="20"/>
              </w:rPr>
              <w:t>l</w:t>
            </w:r>
          </w:p>
        </w:tc>
        <w:tc>
          <w:tcPr>
            <w:tcW w:w="0" w:type="auto"/>
            <w:vAlign w:val="bottom"/>
            <w:hideMark/>
          </w:tcPr>
          <w:p w14:paraId="0266B082" w14:textId="77777777" w:rsidR="00000000" w:rsidRDefault="003A1B5D">
            <w:pPr>
              <w:pStyle w:val="a3"/>
              <w:spacing w:before="0" w:beforeAutospacing="0" w:after="0" w:afterAutospacing="0"/>
              <w:jc w:val="center"/>
              <w:rPr>
                <w:sz w:val="20"/>
                <w:szCs w:val="20"/>
              </w:rPr>
            </w:pPr>
            <w:r>
              <w:rPr>
                <w:sz w:val="20"/>
                <w:szCs w:val="20"/>
              </w:rPr>
              <w:t> </w:t>
            </w:r>
          </w:p>
        </w:tc>
      </w:tr>
      <w:tr w:rsidR="00000000" w14:paraId="7E69A55E" w14:textId="77777777">
        <w:trPr>
          <w:trHeight w:val="200"/>
          <w:tblCellSpacing w:w="15" w:type="dxa"/>
        </w:trPr>
        <w:tc>
          <w:tcPr>
            <w:tcW w:w="0" w:type="auto"/>
            <w:vAlign w:val="bottom"/>
            <w:hideMark/>
          </w:tcPr>
          <w:p w14:paraId="3C6B3187" w14:textId="77777777" w:rsidR="00000000" w:rsidRDefault="003A1B5D">
            <w:pPr>
              <w:pStyle w:val="a3"/>
              <w:spacing w:before="0" w:beforeAutospacing="0" w:after="0" w:afterAutospacing="0"/>
              <w:rPr>
                <w:sz w:val="20"/>
                <w:szCs w:val="20"/>
              </w:rPr>
            </w:pPr>
            <w:r>
              <w:rPr>
                <w:sz w:val="20"/>
                <w:szCs w:val="20"/>
              </w:rPr>
              <w:t>Facilities as of December 31, 202</w:t>
            </w:r>
            <w:r>
              <w:rPr>
                <w:sz w:val="20"/>
                <w:szCs w:val="20"/>
              </w:rPr>
              <w:t>0</w:t>
            </w:r>
          </w:p>
        </w:tc>
        <w:tc>
          <w:tcPr>
            <w:tcW w:w="0" w:type="auto"/>
            <w:vAlign w:val="bottom"/>
            <w:hideMark/>
          </w:tcPr>
          <w:p w14:paraId="7757D0A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EEC4A84" w14:textId="77777777" w:rsidR="00000000" w:rsidRDefault="003A1B5D">
            <w:pPr>
              <w:pStyle w:val="a3"/>
              <w:spacing w:before="0" w:beforeAutospacing="0" w:after="0" w:afterAutospacing="0"/>
              <w:jc w:val="center"/>
              <w:rPr>
                <w:sz w:val="20"/>
                <w:szCs w:val="20"/>
              </w:rPr>
            </w:pPr>
            <w:r>
              <w:rPr>
                <w:sz w:val="20"/>
                <w:szCs w:val="20"/>
              </w:rPr>
              <w:t> </w:t>
            </w:r>
          </w:p>
        </w:tc>
        <w:tc>
          <w:tcPr>
            <w:tcW w:w="0" w:type="auto"/>
            <w:vAlign w:val="bottom"/>
            <w:hideMark/>
          </w:tcPr>
          <w:p w14:paraId="49F39E7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213267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3B70735" w14:textId="77777777" w:rsidR="00000000" w:rsidRDefault="003A1B5D">
            <w:pPr>
              <w:pStyle w:val="a3"/>
              <w:spacing w:before="0" w:beforeAutospacing="0" w:after="0" w:afterAutospacing="0"/>
              <w:jc w:val="right"/>
              <w:rPr>
                <w:sz w:val="20"/>
                <w:szCs w:val="20"/>
              </w:rPr>
            </w:pPr>
            <w:r>
              <w:rPr>
                <w:sz w:val="20"/>
                <w:szCs w:val="20"/>
              </w:rPr>
              <w:t>4</w:t>
            </w:r>
            <w:r>
              <w:rPr>
                <w:sz w:val="20"/>
                <w:szCs w:val="20"/>
              </w:rPr>
              <w:t>7</w:t>
            </w:r>
          </w:p>
        </w:tc>
        <w:tc>
          <w:tcPr>
            <w:tcW w:w="0" w:type="auto"/>
            <w:noWrap/>
            <w:vAlign w:val="bottom"/>
            <w:hideMark/>
          </w:tcPr>
          <w:p w14:paraId="2F9C58A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C0163F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C65EDF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D6850F6" w14:textId="77777777" w:rsidR="00000000" w:rsidRDefault="003A1B5D">
            <w:pPr>
              <w:pStyle w:val="a3"/>
              <w:spacing w:before="0" w:beforeAutospacing="0" w:after="0" w:afterAutospacing="0"/>
              <w:jc w:val="right"/>
              <w:rPr>
                <w:sz w:val="20"/>
                <w:szCs w:val="20"/>
              </w:rPr>
            </w:pPr>
            <w:r>
              <w:rPr>
                <w:sz w:val="20"/>
                <w:szCs w:val="20"/>
              </w:rPr>
              <w:t>2</w:t>
            </w:r>
            <w:r>
              <w:rPr>
                <w:sz w:val="20"/>
                <w:szCs w:val="20"/>
              </w:rPr>
              <w:t>7</w:t>
            </w:r>
          </w:p>
        </w:tc>
        <w:tc>
          <w:tcPr>
            <w:tcW w:w="0" w:type="auto"/>
            <w:noWrap/>
            <w:vAlign w:val="bottom"/>
            <w:hideMark/>
          </w:tcPr>
          <w:p w14:paraId="55F6DAF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A3BEBD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7D4297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148A735" w14:textId="77777777" w:rsidR="00000000" w:rsidRDefault="003A1B5D">
            <w:pPr>
              <w:pStyle w:val="a3"/>
              <w:spacing w:before="0" w:beforeAutospacing="0" w:after="0" w:afterAutospacing="0"/>
              <w:jc w:val="right"/>
              <w:rPr>
                <w:sz w:val="20"/>
                <w:szCs w:val="20"/>
              </w:rPr>
            </w:pPr>
            <w:r>
              <w:rPr>
                <w:sz w:val="20"/>
                <w:szCs w:val="20"/>
              </w:rPr>
              <w:t>1</w:t>
            </w:r>
            <w:r>
              <w:rPr>
                <w:sz w:val="20"/>
                <w:szCs w:val="20"/>
              </w:rPr>
              <w:t>5</w:t>
            </w:r>
          </w:p>
        </w:tc>
        <w:tc>
          <w:tcPr>
            <w:tcW w:w="0" w:type="auto"/>
            <w:noWrap/>
            <w:vAlign w:val="bottom"/>
            <w:hideMark/>
          </w:tcPr>
          <w:p w14:paraId="6B436D5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4C5F78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9B5989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6AB8238" w14:textId="77777777" w:rsidR="00000000" w:rsidRDefault="003A1B5D">
            <w:pPr>
              <w:pStyle w:val="a3"/>
              <w:spacing w:before="0" w:beforeAutospacing="0" w:after="0" w:afterAutospacing="0"/>
              <w:jc w:val="right"/>
              <w:rPr>
                <w:sz w:val="20"/>
                <w:szCs w:val="20"/>
              </w:rPr>
            </w:pPr>
            <w:r>
              <w:rPr>
                <w:sz w:val="20"/>
                <w:szCs w:val="20"/>
              </w:rPr>
              <w:t>8</w:t>
            </w:r>
            <w:r>
              <w:rPr>
                <w:sz w:val="20"/>
                <w:szCs w:val="20"/>
              </w:rPr>
              <w:t>9</w:t>
            </w:r>
          </w:p>
        </w:tc>
        <w:tc>
          <w:tcPr>
            <w:tcW w:w="0" w:type="auto"/>
            <w:noWrap/>
            <w:vAlign w:val="bottom"/>
            <w:hideMark/>
          </w:tcPr>
          <w:p w14:paraId="4CAF5C02" w14:textId="77777777" w:rsidR="00000000" w:rsidRDefault="003A1B5D">
            <w:pPr>
              <w:pStyle w:val="a3"/>
              <w:spacing w:before="0" w:beforeAutospacing="0" w:after="0" w:afterAutospacing="0"/>
              <w:rPr>
                <w:sz w:val="20"/>
                <w:szCs w:val="20"/>
              </w:rPr>
            </w:pPr>
            <w:r>
              <w:rPr>
                <w:sz w:val="20"/>
                <w:szCs w:val="20"/>
              </w:rPr>
              <w:t> </w:t>
            </w:r>
          </w:p>
        </w:tc>
      </w:tr>
      <w:tr w:rsidR="00000000" w14:paraId="187EE747" w14:textId="77777777">
        <w:trPr>
          <w:trHeight w:val="200"/>
          <w:tblCellSpacing w:w="15" w:type="dxa"/>
        </w:trPr>
        <w:tc>
          <w:tcPr>
            <w:tcW w:w="0" w:type="auto"/>
            <w:hideMark/>
          </w:tcPr>
          <w:p w14:paraId="35FA15E3" w14:textId="77777777" w:rsidR="00000000" w:rsidRDefault="003A1B5D">
            <w:pPr>
              <w:pStyle w:val="a3"/>
              <w:spacing w:before="0" w:beforeAutospacing="0" w:after="0" w:afterAutospacing="0"/>
              <w:rPr>
                <w:sz w:val="20"/>
                <w:szCs w:val="20"/>
              </w:rPr>
            </w:pPr>
            <w:r>
              <w:rPr>
                <w:sz w:val="20"/>
                <w:szCs w:val="20"/>
              </w:rPr>
              <w:t xml:space="preserve">Termination of contract and lease of a </w:t>
            </w:r>
            <w:r>
              <w:rPr>
                <w:sz w:val="20"/>
                <w:szCs w:val="20"/>
              </w:rPr>
              <w:br/>
              <w:t>   Colorado reentry cente</w:t>
            </w:r>
            <w:r>
              <w:rPr>
                <w:sz w:val="20"/>
                <w:szCs w:val="20"/>
              </w:rPr>
              <w:t>r</w:t>
            </w:r>
          </w:p>
        </w:tc>
        <w:tc>
          <w:tcPr>
            <w:tcW w:w="0" w:type="auto"/>
            <w:vAlign w:val="bottom"/>
            <w:hideMark/>
          </w:tcPr>
          <w:p w14:paraId="5626805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E16E333" w14:textId="77777777" w:rsidR="00000000" w:rsidRDefault="003A1B5D">
            <w:pPr>
              <w:pStyle w:val="a3"/>
              <w:spacing w:before="0" w:beforeAutospacing="0" w:after="0" w:afterAutospacing="0"/>
              <w:jc w:val="center"/>
              <w:rPr>
                <w:sz w:val="20"/>
                <w:szCs w:val="20"/>
              </w:rPr>
            </w:pPr>
            <w:r>
              <w:rPr>
                <w:sz w:val="20"/>
                <w:szCs w:val="20"/>
              </w:rPr>
              <w:t>January 202</w:t>
            </w:r>
            <w:r>
              <w:rPr>
                <w:sz w:val="20"/>
                <w:szCs w:val="20"/>
              </w:rPr>
              <w:t>1</w:t>
            </w:r>
          </w:p>
        </w:tc>
        <w:tc>
          <w:tcPr>
            <w:tcW w:w="0" w:type="auto"/>
            <w:vAlign w:val="bottom"/>
            <w:hideMark/>
          </w:tcPr>
          <w:p w14:paraId="6F16E19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BD90AF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08666B2"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2F1E80A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03A2CC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2D5C62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E1EE463" w14:textId="77777777" w:rsidR="00000000" w:rsidRDefault="003A1B5D">
            <w:pPr>
              <w:pStyle w:val="a3"/>
              <w:spacing w:before="0" w:beforeAutospacing="0" w:after="0" w:afterAutospacing="0"/>
              <w:jc w:val="right"/>
              <w:rPr>
                <w:sz w:val="20"/>
                <w:szCs w:val="20"/>
              </w:rPr>
            </w:pPr>
            <w:r>
              <w:rPr>
                <w:sz w:val="20"/>
                <w:szCs w:val="20"/>
              </w:rPr>
              <w:t>(</w:t>
            </w:r>
            <w:r>
              <w:rPr>
                <w:sz w:val="20"/>
                <w:szCs w:val="20"/>
              </w:rPr>
              <w:t>1</w:t>
            </w:r>
          </w:p>
        </w:tc>
        <w:tc>
          <w:tcPr>
            <w:tcW w:w="0" w:type="auto"/>
            <w:noWrap/>
            <w:vAlign w:val="bottom"/>
            <w:hideMark/>
          </w:tcPr>
          <w:p w14:paraId="722C823A"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308CEA3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9026FF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D8F0A3C"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53888B0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84A15E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D365B7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960A2D3" w14:textId="77777777" w:rsidR="00000000" w:rsidRDefault="003A1B5D">
            <w:pPr>
              <w:pStyle w:val="a3"/>
              <w:spacing w:before="0" w:beforeAutospacing="0" w:after="0" w:afterAutospacing="0"/>
              <w:jc w:val="right"/>
              <w:rPr>
                <w:sz w:val="20"/>
                <w:szCs w:val="20"/>
              </w:rPr>
            </w:pPr>
            <w:r>
              <w:rPr>
                <w:sz w:val="20"/>
                <w:szCs w:val="20"/>
              </w:rPr>
              <w:t>(</w:t>
            </w:r>
            <w:r>
              <w:rPr>
                <w:sz w:val="20"/>
                <w:szCs w:val="20"/>
              </w:rPr>
              <w:t>1</w:t>
            </w:r>
          </w:p>
        </w:tc>
        <w:tc>
          <w:tcPr>
            <w:tcW w:w="0" w:type="auto"/>
            <w:noWrap/>
            <w:vAlign w:val="bottom"/>
            <w:hideMark/>
          </w:tcPr>
          <w:p w14:paraId="0B535F62" w14:textId="77777777" w:rsidR="00000000" w:rsidRDefault="003A1B5D">
            <w:pPr>
              <w:pStyle w:val="a3"/>
              <w:spacing w:before="0" w:beforeAutospacing="0" w:after="0" w:afterAutospacing="0"/>
              <w:rPr>
                <w:sz w:val="20"/>
                <w:szCs w:val="20"/>
              </w:rPr>
            </w:pPr>
            <w:r>
              <w:rPr>
                <w:sz w:val="20"/>
                <w:szCs w:val="20"/>
              </w:rPr>
              <w:t>)</w:t>
            </w:r>
          </w:p>
        </w:tc>
      </w:tr>
      <w:tr w:rsidR="00000000" w14:paraId="6AE65A07" w14:textId="77777777">
        <w:trPr>
          <w:trHeight w:val="200"/>
          <w:tblCellSpacing w:w="15" w:type="dxa"/>
        </w:trPr>
        <w:tc>
          <w:tcPr>
            <w:tcW w:w="0" w:type="auto"/>
            <w:hideMark/>
          </w:tcPr>
          <w:p w14:paraId="577B5CDE" w14:textId="77777777" w:rsidR="00000000" w:rsidRDefault="003A1B5D">
            <w:pPr>
              <w:pStyle w:val="a3"/>
              <w:spacing w:before="0" w:beforeAutospacing="0" w:after="0" w:afterAutospacing="0"/>
              <w:rPr>
                <w:sz w:val="20"/>
                <w:szCs w:val="20"/>
              </w:rPr>
            </w:pPr>
            <w:r>
              <w:rPr>
                <w:sz w:val="20"/>
                <w:szCs w:val="20"/>
              </w:rPr>
              <w:t>Sale of an idled government-leased</w:t>
            </w:r>
            <w:r>
              <w:rPr>
                <w:sz w:val="20"/>
                <w:szCs w:val="20"/>
              </w:rPr>
              <w:br/>
              <w:t>   property in Missour</w:t>
            </w:r>
            <w:r>
              <w:rPr>
                <w:sz w:val="20"/>
                <w:szCs w:val="20"/>
              </w:rPr>
              <w:t>i</w:t>
            </w:r>
          </w:p>
        </w:tc>
        <w:tc>
          <w:tcPr>
            <w:tcW w:w="0" w:type="auto"/>
            <w:vAlign w:val="bottom"/>
            <w:hideMark/>
          </w:tcPr>
          <w:p w14:paraId="32A694D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BA85D3C" w14:textId="77777777" w:rsidR="00000000" w:rsidRDefault="003A1B5D">
            <w:pPr>
              <w:pStyle w:val="a3"/>
              <w:spacing w:before="0" w:beforeAutospacing="0" w:after="0" w:afterAutospacing="0"/>
              <w:jc w:val="center"/>
              <w:rPr>
                <w:sz w:val="20"/>
                <w:szCs w:val="20"/>
              </w:rPr>
            </w:pPr>
            <w:r>
              <w:rPr>
                <w:sz w:val="20"/>
                <w:szCs w:val="20"/>
              </w:rPr>
              <w:t>May 202</w:t>
            </w:r>
            <w:r>
              <w:rPr>
                <w:sz w:val="20"/>
                <w:szCs w:val="20"/>
              </w:rPr>
              <w:t>1</w:t>
            </w:r>
          </w:p>
        </w:tc>
        <w:tc>
          <w:tcPr>
            <w:tcW w:w="0" w:type="auto"/>
            <w:vAlign w:val="bottom"/>
            <w:hideMark/>
          </w:tcPr>
          <w:p w14:paraId="450DA6E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7C9D40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4D7C2AB"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745407D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6BCB3C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049542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82D1502"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348BCF3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2990A2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4277B9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9BC5E31" w14:textId="77777777" w:rsidR="00000000" w:rsidRDefault="003A1B5D">
            <w:pPr>
              <w:pStyle w:val="a3"/>
              <w:spacing w:before="0" w:beforeAutospacing="0" w:after="0" w:afterAutospacing="0"/>
              <w:jc w:val="right"/>
              <w:rPr>
                <w:sz w:val="20"/>
                <w:szCs w:val="20"/>
              </w:rPr>
            </w:pPr>
            <w:r>
              <w:rPr>
                <w:sz w:val="20"/>
                <w:szCs w:val="20"/>
              </w:rPr>
              <w:t>(</w:t>
            </w:r>
            <w:r>
              <w:rPr>
                <w:sz w:val="20"/>
                <w:szCs w:val="20"/>
              </w:rPr>
              <w:t>1</w:t>
            </w:r>
          </w:p>
        </w:tc>
        <w:tc>
          <w:tcPr>
            <w:tcW w:w="0" w:type="auto"/>
            <w:noWrap/>
            <w:vAlign w:val="bottom"/>
            <w:hideMark/>
          </w:tcPr>
          <w:p w14:paraId="3A7642A9"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65E8247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5CB9F4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FA95907" w14:textId="77777777" w:rsidR="00000000" w:rsidRDefault="003A1B5D">
            <w:pPr>
              <w:pStyle w:val="a3"/>
              <w:spacing w:before="0" w:beforeAutospacing="0" w:after="0" w:afterAutospacing="0"/>
              <w:jc w:val="right"/>
              <w:rPr>
                <w:sz w:val="20"/>
                <w:szCs w:val="20"/>
              </w:rPr>
            </w:pPr>
            <w:r>
              <w:rPr>
                <w:sz w:val="20"/>
                <w:szCs w:val="20"/>
              </w:rPr>
              <w:t>(</w:t>
            </w:r>
            <w:r>
              <w:rPr>
                <w:sz w:val="20"/>
                <w:szCs w:val="20"/>
              </w:rPr>
              <w:t>1</w:t>
            </w:r>
          </w:p>
        </w:tc>
        <w:tc>
          <w:tcPr>
            <w:tcW w:w="0" w:type="auto"/>
            <w:noWrap/>
            <w:vAlign w:val="bottom"/>
            <w:hideMark/>
          </w:tcPr>
          <w:p w14:paraId="5EC94845" w14:textId="77777777" w:rsidR="00000000" w:rsidRDefault="003A1B5D">
            <w:pPr>
              <w:pStyle w:val="a3"/>
              <w:spacing w:before="0" w:beforeAutospacing="0" w:after="0" w:afterAutospacing="0"/>
              <w:rPr>
                <w:sz w:val="20"/>
                <w:szCs w:val="20"/>
              </w:rPr>
            </w:pPr>
            <w:r>
              <w:rPr>
                <w:sz w:val="20"/>
                <w:szCs w:val="20"/>
              </w:rPr>
              <w:t>)</w:t>
            </w:r>
          </w:p>
        </w:tc>
      </w:tr>
      <w:tr w:rsidR="00000000" w14:paraId="32D36472" w14:textId="77777777">
        <w:trPr>
          <w:trHeight w:val="200"/>
          <w:tblCellSpacing w:w="15" w:type="dxa"/>
        </w:trPr>
        <w:tc>
          <w:tcPr>
            <w:tcW w:w="0" w:type="auto"/>
            <w:hideMark/>
          </w:tcPr>
          <w:p w14:paraId="2218AC04" w14:textId="77777777" w:rsidR="00000000" w:rsidRDefault="003A1B5D">
            <w:pPr>
              <w:pStyle w:val="a3"/>
              <w:spacing w:before="0" w:beforeAutospacing="0" w:after="0" w:afterAutospacing="0"/>
              <w:rPr>
                <w:sz w:val="20"/>
                <w:szCs w:val="20"/>
              </w:rPr>
            </w:pPr>
            <w:r>
              <w:rPr>
                <w:sz w:val="20"/>
                <w:szCs w:val="20"/>
              </w:rPr>
              <w:t>Sale of two leased properties in</w:t>
            </w:r>
            <w:r>
              <w:rPr>
                <w:sz w:val="20"/>
                <w:szCs w:val="20"/>
              </w:rPr>
              <w:br/>
              <w:t>   Florida and Ohi</w:t>
            </w:r>
            <w:r>
              <w:rPr>
                <w:sz w:val="20"/>
                <w:szCs w:val="20"/>
              </w:rPr>
              <w:t>o</w:t>
            </w:r>
          </w:p>
        </w:tc>
        <w:tc>
          <w:tcPr>
            <w:tcW w:w="0" w:type="auto"/>
            <w:vAlign w:val="bottom"/>
            <w:hideMark/>
          </w:tcPr>
          <w:p w14:paraId="278BD77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AD5CB0B" w14:textId="77777777" w:rsidR="00000000" w:rsidRDefault="003A1B5D">
            <w:pPr>
              <w:pStyle w:val="a3"/>
              <w:spacing w:before="0" w:beforeAutospacing="0" w:after="0" w:afterAutospacing="0"/>
              <w:jc w:val="center"/>
              <w:rPr>
                <w:sz w:val="20"/>
                <w:szCs w:val="20"/>
              </w:rPr>
            </w:pPr>
            <w:r>
              <w:rPr>
                <w:sz w:val="20"/>
                <w:szCs w:val="20"/>
              </w:rPr>
              <w:t>May 202</w:t>
            </w:r>
            <w:r>
              <w:rPr>
                <w:sz w:val="20"/>
                <w:szCs w:val="20"/>
              </w:rPr>
              <w:t>1</w:t>
            </w:r>
          </w:p>
        </w:tc>
        <w:tc>
          <w:tcPr>
            <w:tcW w:w="0" w:type="auto"/>
            <w:vAlign w:val="bottom"/>
            <w:hideMark/>
          </w:tcPr>
          <w:p w14:paraId="36DB448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4E0DF9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1EE5097"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7E96753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D1AA57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24A261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1A3F6D4"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6A40FEE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A7ECBB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D5AEED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48AB95A" w14:textId="77777777" w:rsidR="00000000" w:rsidRDefault="003A1B5D">
            <w:pPr>
              <w:pStyle w:val="a3"/>
              <w:spacing w:before="0" w:beforeAutospacing="0" w:after="0" w:afterAutospacing="0"/>
              <w:jc w:val="right"/>
              <w:rPr>
                <w:sz w:val="20"/>
                <w:szCs w:val="20"/>
              </w:rPr>
            </w:pPr>
            <w:r>
              <w:rPr>
                <w:sz w:val="20"/>
                <w:szCs w:val="20"/>
              </w:rPr>
              <w:t>(</w:t>
            </w:r>
            <w:r>
              <w:rPr>
                <w:sz w:val="20"/>
                <w:szCs w:val="20"/>
              </w:rPr>
              <w:t>2</w:t>
            </w:r>
          </w:p>
        </w:tc>
        <w:tc>
          <w:tcPr>
            <w:tcW w:w="0" w:type="auto"/>
            <w:noWrap/>
            <w:vAlign w:val="bottom"/>
            <w:hideMark/>
          </w:tcPr>
          <w:p w14:paraId="48F59174"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0FD9EE3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694EDC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A73BD4C" w14:textId="77777777" w:rsidR="00000000" w:rsidRDefault="003A1B5D">
            <w:pPr>
              <w:pStyle w:val="a3"/>
              <w:spacing w:before="0" w:beforeAutospacing="0" w:after="0" w:afterAutospacing="0"/>
              <w:jc w:val="right"/>
              <w:rPr>
                <w:sz w:val="20"/>
                <w:szCs w:val="20"/>
              </w:rPr>
            </w:pPr>
            <w:r>
              <w:rPr>
                <w:sz w:val="20"/>
                <w:szCs w:val="20"/>
              </w:rPr>
              <w:t>(</w:t>
            </w:r>
            <w:r>
              <w:rPr>
                <w:sz w:val="20"/>
                <w:szCs w:val="20"/>
              </w:rPr>
              <w:t>2</w:t>
            </w:r>
          </w:p>
        </w:tc>
        <w:tc>
          <w:tcPr>
            <w:tcW w:w="0" w:type="auto"/>
            <w:noWrap/>
            <w:vAlign w:val="bottom"/>
            <w:hideMark/>
          </w:tcPr>
          <w:p w14:paraId="1531CEB3" w14:textId="77777777" w:rsidR="00000000" w:rsidRDefault="003A1B5D">
            <w:pPr>
              <w:pStyle w:val="a3"/>
              <w:spacing w:before="0" w:beforeAutospacing="0" w:after="0" w:afterAutospacing="0"/>
              <w:rPr>
                <w:sz w:val="20"/>
                <w:szCs w:val="20"/>
              </w:rPr>
            </w:pPr>
            <w:r>
              <w:rPr>
                <w:sz w:val="20"/>
                <w:szCs w:val="20"/>
              </w:rPr>
              <w:t>)</w:t>
            </w:r>
          </w:p>
        </w:tc>
      </w:tr>
      <w:tr w:rsidR="00000000" w14:paraId="7C62957E" w14:textId="77777777">
        <w:trPr>
          <w:trHeight w:val="200"/>
          <w:tblCellSpacing w:w="15" w:type="dxa"/>
        </w:trPr>
        <w:tc>
          <w:tcPr>
            <w:tcW w:w="0" w:type="auto"/>
            <w:hideMark/>
          </w:tcPr>
          <w:p w14:paraId="72C144D3" w14:textId="77777777" w:rsidR="00000000" w:rsidRDefault="003A1B5D">
            <w:pPr>
              <w:pStyle w:val="a3"/>
              <w:spacing w:before="0" w:beforeAutospacing="0" w:after="0" w:afterAutospacing="0"/>
              <w:rPr>
                <w:sz w:val="20"/>
                <w:szCs w:val="20"/>
              </w:rPr>
            </w:pPr>
            <w:r>
              <w:rPr>
                <w:sz w:val="20"/>
                <w:szCs w:val="20"/>
              </w:rPr>
              <w:t>Sale of a government-leased</w:t>
            </w:r>
            <w:r>
              <w:rPr>
                <w:sz w:val="20"/>
                <w:szCs w:val="20"/>
              </w:rPr>
              <w:br/>
              <w:t>   property in Marylan</w:t>
            </w:r>
            <w:r>
              <w:rPr>
                <w:sz w:val="20"/>
                <w:szCs w:val="20"/>
              </w:rPr>
              <w:t>d</w:t>
            </w:r>
          </w:p>
        </w:tc>
        <w:tc>
          <w:tcPr>
            <w:tcW w:w="0" w:type="auto"/>
            <w:vAlign w:val="bottom"/>
            <w:hideMark/>
          </w:tcPr>
          <w:p w14:paraId="7B7A439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C7F07B1" w14:textId="77777777" w:rsidR="00000000" w:rsidRDefault="003A1B5D">
            <w:pPr>
              <w:pStyle w:val="a3"/>
              <w:spacing w:before="0" w:beforeAutospacing="0" w:after="0" w:afterAutospacing="0"/>
              <w:jc w:val="center"/>
              <w:rPr>
                <w:sz w:val="20"/>
                <w:szCs w:val="20"/>
              </w:rPr>
            </w:pPr>
            <w:r>
              <w:rPr>
                <w:sz w:val="20"/>
                <w:szCs w:val="20"/>
              </w:rPr>
              <w:t>June 202</w:t>
            </w:r>
            <w:r>
              <w:rPr>
                <w:sz w:val="20"/>
                <w:szCs w:val="20"/>
              </w:rPr>
              <w:t>1</w:t>
            </w:r>
          </w:p>
        </w:tc>
        <w:tc>
          <w:tcPr>
            <w:tcW w:w="0" w:type="auto"/>
            <w:vAlign w:val="bottom"/>
            <w:hideMark/>
          </w:tcPr>
          <w:p w14:paraId="5056C81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C46524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0CF2B50"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46BD546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85C0A6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E07C51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B21F679"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60F9735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CCAECA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FE6B6C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0FE31BB" w14:textId="77777777" w:rsidR="00000000" w:rsidRDefault="003A1B5D">
            <w:pPr>
              <w:pStyle w:val="a3"/>
              <w:spacing w:before="0" w:beforeAutospacing="0" w:after="0" w:afterAutospacing="0"/>
              <w:jc w:val="right"/>
              <w:rPr>
                <w:sz w:val="20"/>
                <w:szCs w:val="20"/>
              </w:rPr>
            </w:pPr>
            <w:r>
              <w:rPr>
                <w:sz w:val="20"/>
                <w:szCs w:val="20"/>
              </w:rPr>
              <w:t>(</w:t>
            </w:r>
            <w:r>
              <w:rPr>
                <w:sz w:val="20"/>
                <w:szCs w:val="20"/>
              </w:rPr>
              <w:t>1</w:t>
            </w:r>
          </w:p>
        </w:tc>
        <w:tc>
          <w:tcPr>
            <w:tcW w:w="0" w:type="auto"/>
            <w:noWrap/>
            <w:vAlign w:val="bottom"/>
            <w:hideMark/>
          </w:tcPr>
          <w:p w14:paraId="32C69326"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0707E5D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508F73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4016245" w14:textId="77777777" w:rsidR="00000000" w:rsidRDefault="003A1B5D">
            <w:pPr>
              <w:pStyle w:val="a3"/>
              <w:spacing w:before="0" w:beforeAutospacing="0" w:after="0" w:afterAutospacing="0"/>
              <w:jc w:val="right"/>
              <w:rPr>
                <w:sz w:val="20"/>
                <w:szCs w:val="20"/>
              </w:rPr>
            </w:pPr>
            <w:r>
              <w:rPr>
                <w:sz w:val="20"/>
                <w:szCs w:val="20"/>
              </w:rPr>
              <w:t>(</w:t>
            </w:r>
            <w:r>
              <w:rPr>
                <w:sz w:val="20"/>
                <w:szCs w:val="20"/>
              </w:rPr>
              <w:t>1</w:t>
            </w:r>
          </w:p>
        </w:tc>
        <w:tc>
          <w:tcPr>
            <w:tcW w:w="0" w:type="auto"/>
            <w:noWrap/>
            <w:vAlign w:val="bottom"/>
            <w:hideMark/>
          </w:tcPr>
          <w:p w14:paraId="5423CC54" w14:textId="77777777" w:rsidR="00000000" w:rsidRDefault="003A1B5D">
            <w:pPr>
              <w:pStyle w:val="a3"/>
              <w:spacing w:before="0" w:beforeAutospacing="0" w:after="0" w:afterAutospacing="0"/>
              <w:rPr>
                <w:sz w:val="20"/>
                <w:szCs w:val="20"/>
              </w:rPr>
            </w:pPr>
            <w:r>
              <w:rPr>
                <w:sz w:val="20"/>
                <w:szCs w:val="20"/>
              </w:rPr>
              <w:t>)</w:t>
            </w:r>
          </w:p>
        </w:tc>
      </w:tr>
      <w:tr w:rsidR="00000000" w14:paraId="348402E2" w14:textId="77777777">
        <w:trPr>
          <w:trHeight w:val="200"/>
          <w:tblCellSpacing w:w="15" w:type="dxa"/>
        </w:trPr>
        <w:tc>
          <w:tcPr>
            <w:tcW w:w="0" w:type="auto"/>
            <w:hideMark/>
          </w:tcPr>
          <w:p w14:paraId="6D0E00F3" w14:textId="77777777" w:rsidR="00000000" w:rsidRDefault="003A1B5D">
            <w:pPr>
              <w:pStyle w:val="a3"/>
              <w:spacing w:before="0" w:beforeAutospacing="0" w:after="0" w:afterAutospacing="0"/>
              <w:rPr>
                <w:sz w:val="20"/>
                <w:szCs w:val="20"/>
              </w:rPr>
            </w:pPr>
            <w:r>
              <w:rPr>
                <w:sz w:val="20"/>
                <w:szCs w:val="20"/>
              </w:rPr>
              <w:t>Sale of an idled property in Pennsylvani</w:t>
            </w:r>
            <w:r>
              <w:rPr>
                <w:sz w:val="20"/>
                <w:szCs w:val="20"/>
              </w:rPr>
              <w:t>a</w:t>
            </w:r>
          </w:p>
        </w:tc>
        <w:tc>
          <w:tcPr>
            <w:tcW w:w="0" w:type="auto"/>
            <w:vAlign w:val="bottom"/>
            <w:hideMark/>
          </w:tcPr>
          <w:p w14:paraId="4D4765F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7204A31" w14:textId="77777777" w:rsidR="00000000" w:rsidRDefault="003A1B5D">
            <w:pPr>
              <w:pStyle w:val="a3"/>
              <w:spacing w:before="0" w:beforeAutospacing="0" w:after="0" w:afterAutospacing="0"/>
              <w:jc w:val="center"/>
              <w:rPr>
                <w:sz w:val="20"/>
                <w:szCs w:val="20"/>
              </w:rPr>
            </w:pPr>
            <w:r>
              <w:rPr>
                <w:sz w:val="20"/>
                <w:szCs w:val="20"/>
              </w:rPr>
              <w:t>June 202</w:t>
            </w:r>
            <w:r>
              <w:rPr>
                <w:sz w:val="20"/>
                <w:szCs w:val="20"/>
              </w:rPr>
              <w:t>1</w:t>
            </w:r>
          </w:p>
        </w:tc>
        <w:tc>
          <w:tcPr>
            <w:tcW w:w="0" w:type="auto"/>
            <w:vAlign w:val="bottom"/>
            <w:hideMark/>
          </w:tcPr>
          <w:p w14:paraId="3CCB04E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38705B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DF3902D"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03EF05D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3C097F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E92F72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71FBEBA"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57E4A43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97C7FC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83E350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5844732" w14:textId="77777777" w:rsidR="00000000" w:rsidRDefault="003A1B5D">
            <w:pPr>
              <w:pStyle w:val="a3"/>
              <w:spacing w:before="0" w:beforeAutospacing="0" w:after="0" w:afterAutospacing="0"/>
              <w:jc w:val="right"/>
              <w:rPr>
                <w:sz w:val="20"/>
                <w:szCs w:val="20"/>
              </w:rPr>
            </w:pPr>
            <w:r>
              <w:rPr>
                <w:sz w:val="20"/>
                <w:szCs w:val="20"/>
              </w:rPr>
              <w:t>(</w:t>
            </w:r>
            <w:r>
              <w:rPr>
                <w:sz w:val="20"/>
                <w:szCs w:val="20"/>
              </w:rPr>
              <w:t>1</w:t>
            </w:r>
          </w:p>
        </w:tc>
        <w:tc>
          <w:tcPr>
            <w:tcW w:w="0" w:type="auto"/>
            <w:noWrap/>
            <w:vAlign w:val="bottom"/>
            <w:hideMark/>
          </w:tcPr>
          <w:p w14:paraId="7EAC2F37"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2E9C39F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A6831E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A4FA38A" w14:textId="77777777" w:rsidR="00000000" w:rsidRDefault="003A1B5D">
            <w:pPr>
              <w:pStyle w:val="a3"/>
              <w:spacing w:before="0" w:beforeAutospacing="0" w:after="0" w:afterAutospacing="0"/>
              <w:jc w:val="right"/>
              <w:rPr>
                <w:sz w:val="20"/>
                <w:szCs w:val="20"/>
              </w:rPr>
            </w:pPr>
            <w:r>
              <w:rPr>
                <w:sz w:val="20"/>
                <w:szCs w:val="20"/>
              </w:rPr>
              <w:t>(</w:t>
            </w:r>
            <w:r>
              <w:rPr>
                <w:sz w:val="20"/>
                <w:szCs w:val="20"/>
              </w:rPr>
              <w:t>1</w:t>
            </w:r>
          </w:p>
        </w:tc>
        <w:tc>
          <w:tcPr>
            <w:tcW w:w="0" w:type="auto"/>
            <w:noWrap/>
            <w:vAlign w:val="bottom"/>
            <w:hideMark/>
          </w:tcPr>
          <w:p w14:paraId="6C41D48C" w14:textId="77777777" w:rsidR="00000000" w:rsidRDefault="003A1B5D">
            <w:pPr>
              <w:pStyle w:val="a3"/>
              <w:spacing w:before="0" w:beforeAutospacing="0" w:after="0" w:afterAutospacing="0"/>
              <w:rPr>
                <w:sz w:val="20"/>
                <w:szCs w:val="20"/>
              </w:rPr>
            </w:pPr>
            <w:r>
              <w:rPr>
                <w:sz w:val="20"/>
                <w:szCs w:val="20"/>
              </w:rPr>
              <w:t>)</w:t>
            </w:r>
          </w:p>
        </w:tc>
      </w:tr>
      <w:tr w:rsidR="00000000" w14:paraId="69BA7494" w14:textId="77777777">
        <w:trPr>
          <w:trHeight w:val="200"/>
          <w:tblCellSpacing w:w="15" w:type="dxa"/>
        </w:trPr>
        <w:tc>
          <w:tcPr>
            <w:tcW w:w="0" w:type="auto"/>
            <w:hideMark/>
          </w:tcPr>
          <w:p w14:paraId="476F740A" w14:textId="77777777" w:rsidR="00000000" w:rsidRDefault="003A1B5D">
            <w:pPr>
              <w:pStyle w:val="a3"/>
              <w:spacing w:before="0" w:beforeAutospacing="0" w:after="0" w:afterAutospacing="0"/>
              <w:rPr>
                <w:sz w:val="20"/>
                <w:szCs w:val="20"/>
              </w:rPr>
            </w:pPr>
            <w:r>
              <w:rPr>
                <w:sz w:val="20"/>
                <w:szCs w:val="20"/>
              </w:rPr>
              <w:t>Termination of GRES partnership (Detroit, Michigan</w:t>
            </w:r>
            <w:r>
              <w:rPr>
                <w:sz w:val="20"/>
                <w:szCs w:val="20"/>
              </w:rPr>
              <w:t>)</w:t>
            </w:r>
          </w:p>
        </w:tc>
        <w:tc>
          <w:tcPr>
            <w:tcW w:w="0" w:type="auto"/>
            <w:vAlign w:val="bottom"/>
            <w:hideMark/>
          </w:tcPr>
          <w:p w14:paraId="19C3789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AF68508" w14:textId="77777777" w:rsidR="00000000" w:rsidRDefault="003A1B5D">
            <w:pPr>
              <w:pStyle w:val="a3"/>
              <w:spacing w:before="0" w:beforeAutospacing="0" w:after="0" w:afterAutospacing="0"/>
              <w:jc w:val="center"/>
              <w:rPr>
                <w:sz w:val="20"/>
                <w:szCs w:val="20"/>
              </w:rPr>
            </w:pPr>
            <w:r>
              <w:rPr>
                <w:sz w:val="20"/>
                <w:szCs w:val="20"/>
              </w:rPr>
              <w:t>Sept 202</w:t>
            </w:r>
            <w:r>
              <w:rPr>
                <w:sz w:val="20"/>
                <w:szCs w:val="20"/>
              </w:rPr>
              <w:t>1</w:t>
            </w:r>
          </w:p>
        </w:tc>
        <w:tc>
          <w:tcPr>
            <w:tcW w:w="0" w:type="auto"/>
            <w:vAlign w:val="bottom"/>
            <w:hideMark/>
          </w:tcPr>
          <w:p w14:paraId="5E5A82F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15FD9C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532BE7F"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66C2FD1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174CF0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936E75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A556CAA"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2A3685D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8BA031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3147B3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3C7D73B" w14:textId="77777777" w:rsidR="00000000" w:rsidRDefault="003A1B5D">
            <w:pPr>
              <w:pStyle w:val="a3"/>
              <w:spacing w:before="0" w:beforeAutospacing="0" w:after="0" w:afterAutospacing="0"/>
              <w:jc w:val="right"/>
              <w:rPr>
                <w:sz w:val="20"/>
                <w:szCs w:val="20"/>
              </w:rPr>
            </w:pPr>
            <w:r>
              <w:rPr>
                <w:sz w:val="20"/>
                <w:szCs w:val="20"/>
              </w:rPr>
              <w:t>(</w:t>
            </w:r>
            <w:r>
              <w:rPr>
                <w:sz w:val="20"/>
                <w:szCs w:val="20"/>
              </w:rPr>
              <w:t>1</w:t>
            </w:r>
          </w:p>
        </w:tc>
        <w:tc>
          <w:tcPr>
            <w:tcW w:w="0" w:type="auto"/>
            <w:noWrap/>
            <w:vAlign w:val="bottom"/>
            <w:hideMark/>
          </w:tcPr>
          <w:p w14:paraId="4498BBA3"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326347D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5C6CA1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6445BF4" w14:textId="77777777" w:rsidR="00000000" w:rsidRDefault="003A1B5D">
            <w:pPr>
              <w:pStyle w:val="a3"/>
              <w:spacing w:before="0" w:beforeAutospacing="0" w:after="0" w:afterAutospacing="0"/>
              <w:jc w:val="right"/>
              <w:rPr>
                <w:sz w:val="20"/>
                <w:szCs w:val="20"/>
              </w:rPr>
            </w:pPr>
            <w:r>
              <w:rPr>
                <w:sz w:val="20"/>
                <w:szCs w:val="20"/>
              </w:rPr>
              <w:t>(</w:t>
            </w:r>
            <w:r>
              <w:rPr>
                <w:sz w:val="20"/>
                <w:szCs w:val="20"/>
              </w:rPr>
              <w:t>1</w:t>
            </w:r>
          </w:p>
        </w:tc>
        <w:tc>
          <w:tcPr>
            <w:tcW w:w="0" w:type="auto"/>
            <w:noWrap/>
            <w:vAlign w:val="bottom"/>
            <w:hideMark/>
          </w:tcPr>
          <w:p w14:paraId="178879EF" w14:textId="77777777" w:rsidR="00000000" w:rsidRDefault="003A1B5D">
            <w:pPr>
              <w:pStyle w:val="a3"/>
              <w:spacing w:before="0" w:beforeAutospacing="0" w:after="0" w:afterAutospacing="0"/>
              <w:rPr>
                <w:sz w:val="20"/>
                <w:szCs w:val="20"/>
              </w:rPr>
            </w:pPr>
            <w:r>
              <w:rPr>
                <w:sz w:val="20"/>
                <w:szCs w:val="20"/>
              </w:rPr>
              <w:t>)</w:t>
            </w:r>
          </w:p>
        </w:tc>
      </w:tr>
      <w:tr w:rsidR="00000000" w14:paraId="6125D873" w14:textId="77777777">
        <w:trPr>
          <w:trHeight w:val="200"/>
          <w:tblCellSpacing w:w="15" w:type="dxa"/>
        </w:trPr>
        <w:tc>
          <w:tcPr>
            <w:tcW w:w="0" w:type="auto"/>
            <w:hideMark/>
          </w:tcPr>
          <w:p w14:paraId="311738CB" w14:textId="77777777" w:rsidR="00000000" w:rsidRDefault="003A1B5D">
            <w:pPr>
              <w:pStyle w:val="a3"/>
              <w:spacing w:before="0" w:beforeAutospacing="0" w:after="0" w:afterAutospacing="0"/>
              <w:rPr>
                <w:sz w:val="20"/>
                <w:szCs w:val="20"/>
              </w:rPr>
            </w:pPr>
            <w:r>
              <w:rPr>
                <w:sz w:val="20"/>
                <w:szCs w:val="20"/>
              </w:rPr>
              <w:t xml:space="preserve">Lease of Northwest New Mexico Correctional </w:t>
            </w:r>
            <w:r>
              <w:rPr>
                <w:sz w:val="20"/>
                <w:szCs w:val="20"/>
              </w:rPr>
              <w:br/>
              <w:t>   Cente</w:t>
            </w:r>
            <w:r>
              <w:rPr>
                <w:sz w:val="20"/>
                <w:szCs w:val="20"/>
              </w:rPr>
              <w:t>r</w:t>
            </w:r>
          </w:p>
        </w:tc>
        <w:tc>
          <w:tcPr>
            <w:tcW w:w="0" w:type="auto"/>
            <w:vAlign w:val="bottom"/>
            <w:hideMark/>
          </w:tcPr>
          <w:p w14:paraId="62EA943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C450554" w14:textId="77777777" w:rsidR="00000000" w:rsidRDefault="003A1B5D">
            <w:pPr>
              <w:pStyle w:val="a3"/>
              <w:spacing w:before="0" w:beforeAutospacing="0" w:after="0" w:afterAutospacing="0"/>
              <w:jc w:val="center"/>
              <w:rPr>
                <w:sz w:val="20"/>
                <w:szCs w:val="20"/>
              </w:rPr>
            </w:pPr>
            <w:r>
              <w:rPr>
                <w:sz w:val="20"/>
                <w:szCs w:val="20"/>
              </w:rPr>
              <w:t>November 202</w:t>
            </w:r>
            <w:r>
              <w:rPr>
                <w:sz w:val="20"/>
                <w:szCs w:val="20"/>
              </w:rPr>
              <w:t>1</w:t>
            </w:r>
          </w:p>
        </w:tc>
        <w:tc>
          <w:tcPr>
            <w:tcW w:w="0" w:type="auto"/>
            <w:vAlign w:val="bottom"/>
            <w:hideMark/>
          </w:tcPr>
          <w:p w14:paraId="5EEA515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E3E562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87D2709" w14:textId="77777777" w:rsidR="00000000" w:rsidRDefault="003A1B5D">
            <w:pPr>
              <w:pStyle w:val="a3"/>
              <w:spacing w:before="0" w:beforeAutospacing="0" w:after="0" w:afterAutospacing="0"/>
              <w:jc w:val="right"/>
              <w:rPr>
                <w:sz w:val="20"/>
                <w:szCs w:val="20"/>
              </w:rPr>
            </w:pPr>
            <w:r>
              <w:rPr>
                <w:sz w:val="20"/>
                <w:szCs w:val="20"/>
              </w:rPr>
              <w:t>(</w:t>
            </w:r>
            <w:r>
              <w:rPr>
                <w:sz w:val="20"/>
                <w:szCs w:val="20"/>
              </w:rPr>
              <w:t>1</w:t>
            </w:r>
          </w:p>
        </w:tc>
        <w:tc>
          <w:tcPr>
            <w:tcW w:w="0" w:type="auto"/>
            <w:noWrap/>
            <w:vAlign w:val="bottom"/>
            <w:hideMark/>
          </w:tcPr>
          <w:p w14:paraId="144F5592"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4292789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828F55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6583B09"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21DD7F7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970D99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958676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F828879" w14:textId="77777777" w:rsidR="00000000" w:rsidRDefault="003A1B5D">
            <w:pPr>
              <w:pStyle w:val="a3"/>
              <w:spacing w:before="0" w:beforeAutospacing="0" w:after="0" w:afterAutospacing="0"/>
              <w:jc w:val="right"/>
              <w:rPr>
                <w:sz w:val="20"/>
                <w:szCs w:val="20"/>
              </w:rPr>
            </w:pPr>
            <w:r>
              <w:rPr>
                <w:sz w:val="20"/>
                <w:szCs w:val="20"/>
              </w:rPr>
              <w:t>1</w:t>
            </w:r>
          </w:p>
        </w:tc>
        <w:tc>
          <w:tcPr>
            <w:tcW w:w="0" w:type="auto"/>
            <w:noWrap/>
            <w:vAlign w:val="bottom"/>
            <w:hideMark/>
          </w:tcPr>
          <w:p w14:paraId="6DBA3F1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D12DA2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747D59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9DB0B3B"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034AA197" w14:textId="77777777" w:rsidR="00000000" w:rsidRDefault="003A1B5D">
            <w:pPr>
              <w:pStyle w:val="a3"/>
              <w:spacing w:before="0" w:beforeAutospacing="0" w:after="0" w:afterAutospacing="0"/>
              <w:rPr>
                <w:sz w:val="20"/>
                <w:szCs w:val="20"/>
              </w:rPr>
            </w:pPr>
            <w:r>
              <w:rPr>
                <w:sz w:val="20"/>
                <w:szCs w:val="20"/>
              </w:rPr>
              <w:t> </w:t>
            </w:r>
          </w:p>
        </w:tc>
      </w:tr>
      <w:tr w:rsidR="00000000" w14:paraId="38BC7403" w14:textId="77777777">
        <w:trPr>
          <w:trHeight w:val="200"/>
          <w:tblCellSpacing w:w="15" w:type="dxa"/>
        </w:trPr>
        <w:tc>
          <w:tcPr>
            <w:tcW w:w="0" w:type="auto"/>
            <w:hideMark/>
          </w:tcPr>
          <w:p w14:paraId="03ED8F45" w14:textId="77777777" w:rsidR="00000000" w:rsidRDefault="003A1B5D">
            <w:pPr>
              <w:pStyle w:val="a3"/>
              <w:spacing w:before="0" w:beforeAutospacing="0" w:after="0" w:afterAutospacing="0"/>
              <w:rPr>
                <w:sz w:val="20"/>
                <w:szCs w:val="20"/>
              </w:rPr>
            </w:pPr>
            <w:r>
              <w:rPr>
                <w:sz w:val="20"/>
                <w:szCs w:val="20"/>
              </w:rPr>
              <w:t>Facilities as of December 31, 202</w:t>
            </w:r>
            <w:r>
              <w:rPr>
                <w:sz w:val="20"/>
                <w:szCs w:val="20"/>
              </w:rPr>
              <w:t>1</w:t>
            </w:r>
          </w:p>
        </w:tc>
        <w:tc>
          <w:tcPr>
            <w:tcW w:w="0" w:type="auto"/>
            <w:vAlign w:val="bottom"/>
            <w:hideMark/>
          </w:tcPr>
          <w:p w14:paraId="4B9E0C3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947F5D3" w14:textId="77777777" w:rsidR="00000000" w:rsidRDefault="003A1B5D">
            <w:pPr>
              <w:pStyle w:val="a3"/>
              <w:spacing w:before="0" w:beforeAutospacing="0" w:after="0" w:afterAutospacing="0"/>
              <w:jc w:val="center"/>
              <w:rPr>
                <w:sz w:val="20"/>
                <w:szCs w:val="20"/>
              </w:rPr>
            </w:pPr>
            <w:r>
              <w:rPr>
                <w:sz w:val="20"/>
                <w:szCs w:val="20"/>
              </w:rPr>
              <w:t> </w:t>
            </w:r>
          </w:p>
        </w:tc>
        <w:tc>
          <w:tcPr>
            <w:tcW w:w="0" w:type="auto"/>
            <w:vAlign w:val="bottom"/>
            <w:hideMark/>
          </w:tcPr>
          <w:p w14:paraId="28AE509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2562F0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F581E7F" w14:textId="77777777" w:rsidR="00000000" w:rsidRDefault="003A1B5D">
            <w:pPr>
              <w:pStyle w:val="a3"/>
              <w:spacing w:before="0" w:beforeAutospacing="0" w:after="0" w:afterAutospacing="0"/>
              <w:jc w:val="right"/>
              <w:rPr>
                <w:sz w:val="20"/>
                <w:szCs w:val="20"/>
              </w:rPr>
            </w:pPr>
            <w:r>
              <w:rPr>
                <w:sz w:val="20"/>
                <w:szCs w:val="20"/>
              </w:rPr>
              <w:t>4</w:t>
            </w:r>
            <w:r>
              <w:rPr>
                <w:sz w:val="20"/>
                <w:szCs w:val="20"/>
              </w:rPr>
              <w:t>6</w:t>
            </w:r>
          </w:p>
        </w:tc>
        <w:tc>
          <w:tcPr>
            <w:tcW w:w="0" w:type="auto"/>
            <w:noWrap/>
            <w:vAlign w:val="bottom"/>
            <w:hideMark/>
          </w:tcPr>
          <w:p w14:paraId="7296FC5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55BD93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FAA038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85724DE" w14:textId="77777777" w:rsidR="00000000" w:rsidRDefault="003A1B5D">
            <w:pPr>
              <w:pStyle w:val="a3"/>
              <w:spacing w:before="0" w:beforeAutospacing="0" w:after="0" w:afterAutospacing="0"/>
              <w:jc w:val="right"/>
              <w:rPr>
                <w:sz w:val="20"/>
                <w:szCs w:val="20"/>
              </w:rPr>
            </w:pPr>
            <w:r>
              <w:rPr>
                <w:sz w:val="20"/>
                <w:szCs w:val="20"/>
              </w:rPr>
              <w:t>2</w:t>
            </w:r>
            <w:r>
              <w:rPr>
                <w:sz w:val="20"/>
                <w:szCs w:val="20"/>
              </w:rPr>
              <w:t>6</w:t>
            </w:r>
          </w:p>
        </w:tc>
        <w:tc>
          <w:tcPr>
            <w:tcW w:w="0" w:type="auto"/>
            <w:noWrap/>
            <w:vAlign w:val="bottom"/>
            <w:hideMark/>
          </w:tcPr>
          <w:p w14:paraId="522E410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3815DF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4FFB8C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161A762" w14:textId="77777777" w:rsidR="00000000" w:rsidRDefault="003A1B5D">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14:paraId="1A5F075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AA9329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8062FE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0692BEF" w14:textId="77777777" w:rsidR="00000000" w:rsidRDefault="003A1B5D">
            <w:pPr>
              <w:pStyle w:val="a3"/>
              <w:spacing w:before="0" w:beforeAutospacing="0" w:after="0" w:afterAutospacing="0"/>
              <w:jc w:val="right"/>
              <w:rPr>
                <w:sz w:val="20"/>
                <w:szCs w:val="20"/>
              </w:rPr>
            </w:pPr>
            <w:r>
              <w:rPr>
                <w:sz w:val="20"/>
                <w:szCs w:val="20"/>
              </w:rPr>
              <w:t>8</w:t>
            </w:r>
            <w:r>
              <w:rPr>
                <w:sz w:val="20"/>
                <w:szCs w:val="20"/>
              </w:rPr>
              <w:t>2</w:t>
            </w:r>
          </w:p>
        </w:tc>
        <w:tc>
          <w:tcPr>
            <w:tcW w:w="0" w:type="auto"/>
            <w:noWrap/>
            <w:vAlign w:val="bottom"/>
            <w:hideMark/>
          </w:tcPr>
          <w:p w14:paraId="5DC70FF8" w14:textId="77777777" w:rsidR="00000000" w:rsidRDefault="003A1B5D">
            <w:pPr>
              <w:pStyle w:val="a3"/>
              <w:spacing w:before="0" w:beforeAutospacing="0" w:after="0" w:afterAutospacing="0"/>
              <w:rPr>
                <w:sz w:val="20"/>
                <w:szCs w:val="20"/>
              </w:rPr>
            </w:pPr>
            <w:r>
              <w:rPr>
                <w:sz w:val="20"/>
                <w:szCs w:val="20"/>
              </w:rPr>
              <w:t> </w:t>
            </w:r>
          </w:p>
        </w:tc>
      </w:tr>
      <w:tr w:rsidR="00000000" w14:paraId="7ADB4686" w14:textId="77777777">
        <w:trPr>
          <w:trHeight w:val="200"/>
          <w:tblCellSpacing w:w="15" w:type="dxa"/>
        </w:trPr>
        <w:tc>
          <w:tcPr>
            <w:tcW w:w="0" w:type="auto"/>
            <w:hideMark/>
          </w:tcPr>
          <w:p w14:paraId="30BB73ED" w14:textId="77777777" w:rsidR="00000000" w:rsidRDefault="003A1B5D">
            <w:pPr>
              <w:pStyle w:val="a3"/>
              <w:spacing w:before="0" w:beforeAutospacing="0" w:after="0" w:afterAutospacing="0"/>
              <w:rPr>
                <w:sz w:val="20"/>
                <w:szCs w:val="20"/>
              </w:rPr>
            </w:pPr>
            <w:r>
              <w:rPr>
                <w:sz w:val="20"/>
                <w:szCs w:val="20"/>
              </w:rPr>
              <w:t>Expiration of a managed-only contract in Indian</w:t>
            </w:r>
            <w:r>
              <w:rPr>
                <w:sz w:val="20"/>
                <w:szCs w:val="20"/>
              </w:rPr>
              <w:t>a</w:t>
            </w:r>
          </w:p>
        </w:tc>
        <w:tc>
          <w:tcPr>
            <w:tcW w:w="0" w:type="auto"/>
            <w:vAlign w:val="bottom"/>
            <w:hideMark/>
          </w:tcPr>
          <w:p w14:paraId="225B26F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DF2795F" w14:textId="77777777" w:rsidR="00000000" w:rsidRDefault="003A1B5D">
            <w:pPr>
              <w:pStyle w:val="a3"/>
              <w:spacing w:before="0" w:beforeAutospacing="0" w:after="0" w:afterAutospacing="0"/>
              <w:jc w:val="center"/>
              <w:rPr>
                <w:sz w:val="20"/>
                <w:szCs w:val="20"/>
              </w:rPr>
            </w:pPr>
            <w:r>
              <w:rPr>
                <w:sz w:val="20"/>
                <w:szCs w:val="20"/>
              </w:rPr>
              <w:t>January 202</w:t>
            </w:r>
            <w:r>
              <w:rPr>
                <w:sz w:val="20"/>
                <w:szCs w:val="20"/>
              </w:rPr>
              <w:t>2</w:t>
            </w:r>
          </w:p>
        </w:tc>
        <w:tc>
          <w:tcPr>
            <w:tcW w:w="0" w:type="auto"/>
            <w:vAlign w:val="bottom"/>
            <w:hideMark/>
          </w:tcPr>
          <w:p w14:paraId="7A26E85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1ACE9C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190BDAD" w14:textId="77777777" w:rsidR="00000000" w:rsidRDefault="003A1B5D">
            <w:pPr>
              <w:pStyle w:val="a3"/>
              <w:spacing w:before="0" w:beforeAutospacing="0" w:after="0" w:afterAutospacing="0"/>
              <w:jc w:val="right"/>
              <w:rPr>
                <w:sz w:val="20"/>
                <w:szCs w:val="20"/>
              </w:rPr>
            </w:pPr>
            <w:r>
              <w:rPr>
                <w:sz w:val="20"/>
                <w:szCs w:val="20"/>
              </w:rPr>
              <w:t>(</w:t>
            </w:r>
            <w:r>
              <w:rPr>
                <w:sz w:val="20"/>
                <w:szCs w:val="20"/>
              </w:rPr>
              <w:t>1</w:t>
            </w:r>
          </w:p>
        </w:tc>
        <w:tc>
          <w:tcPr>
            <w:tcW w:w="0" w:type="auto"/>
            <w:noWrap/>
            <w:vAlign w:val="bottom"/>
            <w:hideMark/>
          </w:tcPr>
          <w:p w14:paraId="48C95589"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6EE351B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1C3D23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0649345"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5D72B19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41464B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D69BA4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C1BBC77"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1F19DB2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DF92A4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AD8C29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8ADBC94" w14:textId="77777777" w:rsidR="00000000" w:rsidRDefault="003A1B5D">
            <w:pPr>
              <w:pStyle w:val="a3"/>
              <w:spacing w:before="0" w:beforeAutospacing="0" w:after="0" w:afterAutospacing="0"/>
              <w:jc w:val="right"/>
              <w:rPr>
                <w:sz w:val="20"/>
                <w:szCs w:val="20"/>
              </w:rPr>
            </w:pPr>
            <w:r>
              <w:rPr>
                <w:sz w:val="20"/>
                <w:szCs w:val="20"/>
              </w:rPr>
              <w:t>(</w:t>
            </w:r>
            <w:r>
              <w:rPr>
                <w:sz w:val="20"/>
                <w:szCs w:val="20"/>
              </w:rPr>
              <w:t>1</w:t>
            </w:r>
          </w:p>
        </w:tc>
        <w:tc>
          <w:tcPr>
            <w:tcW w:w="0" w:type="auto"/>
            <w:noWrap/>
            <w:vAlign w:val="bottom"/>
            <w:hideMark/>
          </w:tcPr>
          <w:p w14:paraId="0C282334" w14:textId="77777777" w:rsidR="00000000" w:rsidRDefault="003A1B5D">
            <w:pPr>
              <w:pStyle w:val="a3"/>
              <w:spacing w:before="0" w:beforeAutospacing="0" w:after="0" w:afterAutospacing="0"/>
              <w:rPr>
                <w:sz w:val="20"/>
                <w:szCs w:val="20"/>
              </w:rPr>
            </w:pPr>
            <w:r>
              <w:rPr>
                <w:sz w:val="20"/>
                <w:szCs w:val="20"/>
              </w:rPr>
              <w:t>)</w:t>
            </w:r>
          </w:p>
        </w:tc>
      </w:tr>
      <w:tr w:rsidR="00000000" w14:paraId="7D259A2E" w14:textId="77777777">
        <w:trPr>
          <w:trHeight w:val="200"/>
          <w:tblCellSpacing w:w="15" w:type="dxa"/>
        </w:trPr>
        <w:tc>
          <w:tcPr>
            <w:tcW w:w="0" w:type="auto"/>
            <w:hideMark/>
          </w:tcPr>
          <w:p w14:paraId="492D6B34" w14:textId="77777777" w:rsidR="00000000" w:rsidRDefault="003A1B5D">
            <w:pPr>
              <w:pStyle w:val="a3"/>
              <w:spacing w:before="0" w:beforeAutospacing="0" w:after="0" w:afterAutospacing="0"/>
              <w:rPr>
                <w:sz w:val="20"/>
                <w:szCs w:val="20"/>
              </w:rPr>
            </w:pPr>
            <w:r>
              <w:rPr>
                <w:sz w:val="20"/>
                <w:szCs w:val="20"/>
              </w:rPr>
              <w:t>Sale of a residential reentry facility in Colorad</w:t>
            </w:r>
            <w:r>
              <w:rPr>
                <w:sz w:val="20"/>
                <w:szCs w:val="20"/>
              </w:rPr>
              <w:t>o</w:t>
            </w:r>
          </w:p>
        </w:tc>
        <w:tc>
          <w:tcPr>
            <w:tcW w:w="0" w:type="auto"/>
            <w:vAlign w:val="bottom"/>
            <w:hideMark/>
          </w:tcPr>
          <w:p w14:paraId="6E7692B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5E754BD" w14:textId="77777777" w:rsidR="00000000" w:rsidRDefault="003A1B5D">
            <w:pPr>
              <w:pStyle w:val="a3"/>
              <w:spacing w:before="0" w:beforeAutospacing="0" w:after="0" w:afterAutospacing="0"/>
              <w:jc w:val="center"/>
              <w:rPr>
                <w:sz w:val="20"/>
                <w:szCs w:val="20"/>
              </w:rPr>
            </w:pPr>
            <w:r>
              <w:rPr>
                <w:sz w:val="20"/>
                <w:szCs w:val="20"/>
              </w:rPr>
              <w:t>February 202</w:t>
            </w:r>
            <w:r>
              <w:rPr>
                <w:sz w:val="20"/>
                <w:szCs w:val="20"/>
              </w:rPr>
              <w:t>2</w:t>
            </w:r>
          </w:p>
        </w:tc>
        <w:tc>
          <w:tcPr>
            <w:tcW w:w="0" w:type="auto"/>
            <w:vAlign w:val="bottom"/>
            <w:hideMark/>
          </w:tcPr>
          <w:p w14:paraId="26AAC3F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02D4E8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52B2CF2"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446822D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A0CB18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403365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A48D7EA" w14:textId="77777777" w:rsidR="00000000" w:rsidRDefault="003A1B5D">
            <w:pPr>
              <w:pStyle w:val="a3"/>
              <w:spacing w:before="0" w:beforeAutospacing="0" w:after="0" w:afterAutospacing="0"/>
              <w:jc w:val="right"/>
              <w:rPr>
                <w:sz w:val="20"/>
                <w:szCs w:val="20"/>
              </w:rPr>
            </w:pPr>
            <w:r>
              <w:rPr>
                <w:sz w:val="20"/>
                <w:szCs w:val="20"/>
              </w:rPr>
              <w:t>(</w:t>
            </w:r>
            <w:r>
              <w:rPr>
                <w:sz w:val="20"/>
                <w:szCs w:val="20"/>
              </w:rPr>
              <w:t>1</w:t>
            </w:r>
          </w:p>
        </w:tc>
        <w:tc>
          <w:tcPr>
            <w:tcW w:w="0" w:type="auto"/>
            <w:noWrap/>
            <w:vAlign w:val="bottom"/>
            <w:hideMark/>
          </w:tcPr>
          <w:p w14:paraId="278FEED8"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57CAAF3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5B05CD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9E5B297"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6C011D9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1D87EA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97E7B1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4451FB0" w14:textId="77777777" w:rsidR="00000000" w:rsidRDefault="003A1B5D">
            <w:pPr>
              <w:pStyle w:val="a3"/>
              <w:spacing w:before="0" w:beforeAutospacing="0" w:after="0" w:afterAutospacing="0"/>
              <w:jc w:val="right"/>
              <w:rPr>
                <w:sz w:val="20"/>
                <w:szCs w:val="20"/>
              </w:rPr>
            </w:pPr>
            <w:r>
              <w:rPr>
                <w:sz w:val="20"/>
                <w:szCs w:val="20"/>
              </w:rPr>
              <w:t>(</w:t>
            </w:r>
            <w:r>
              <w:rPr>
                <w:sz w:val="20"/>
                <w:szCs w:val="20"/>
              </w:rPr>
              <w:t>1</w:t>
            </w:r>
          </w:p>
        </w:tc>
        <w:tc>
          <w:tcPr>
            <w:tcW w:w="0" w:type="auto"/>
            <w:noWrap/>
            <w:vAlign w:val="bottom"/>
            <w:hideMark/>
          </w:tcPr>
          <w:p w14:paraId="5ADD76DB" w14:textId="77777777" w:rsidR="00000000" w:rsidRDefault="003A1B5D">
            <w:pPr>
              <w:pStyle w:val="a3"/>
              <w:spacing w:before="0" w:beforeAutospacing="0" w:after="0" w:afterAutospacing="0"/>
              <w:rPr>
                <w:sz w:val="20"/>
                <w:szCs w:val="20"/>
              </w:rPr>
            </w:pPr>
            <w:r>
              <w:rPr>
                <w:sz w:val="20"/>
                <w:szCs w:val="20"/>
              </w:rPr>
              <w:t>)</w:t>
            </w:r>
          </w:p>
        </w:tc>
      </w:tr>
      <w:tr w:rsidR="00000000" w14:paraId="5B44AA99" w14:textId="77777777">
        <w:trPr>
          <w:trHeight w:val="200"/>
          <w:tblCellSpacing w:w="15" w:type="dxa"/>
        </w:trPr>
        <w:tc>
          <w:tcPr>
            <w:tcW w:w="0" w:type="auto"/>
            <w:hideMark/>
          </w:tcPr>
          <w:p w14:paraId="2698C2C2" w14:textId="77777777" w:rsidR="00000000" w:rsidRDefault="003A1B5D">
            <w:pPr>
              <w:pStyle w:val="a3"/>
              <w:spacing w:before="0" w:beforeAutospacing="0" w:after="0" w:afterAutospacing="0"/>
              <w:rPr>
                <w:sz w:val="20"/>
                <w:szCs w:val="20"/>
              </w:rPr>
            </w:pPr>
            <w:r>
              <w:rPr>
                <w:sz w:val="20"/>
                <w:szCs w:val="20"/>
              </w:rPr>
              <w:t>Sale of a residential reentry facility in Colorad</w:t>
            </w:r>
            <w:r>
              <w:rPr>
                <w:sz w:val="20"/>
                <w:szCs w:val="20"/>
              </w:rPr>
              <w:t>o</w:t>
            </w:r>
          </w:p>
        </w:tc>
        <w:tc>
          <w:tcPr>
            <w:tcW w:w="0" w:type="auto"/>
            <w:vAlign w:val="bottom"/>
            <w:hideMark/>
          </w:tcPr>
          <w:p w14:paraId="4D74639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51E87C2" w14:textId="77777777" w:rsidR="00000000" w:rsidRDefault="003A1B5D">
            <w:pPr>
              <w:pStyle w:val="a3"/>
              <w:spacing w:before="0" w:beforeAutospacing="0" w:after="0" w:afterAutospacing="0"/>
              <w:jc w:val="center"/>
              <w:rPr>
                <w:sz w:val="20"/>
                <w:szCs w:val="20"/>
              </w:rPr>
            </w:pPr>
            <w:r>
              <w:rPr>
                <w:sz w:val="20"/>
                <w:szCs w:val="20"/>
              </w:rPr>
              <w:t>March 202</w:t>
            </w:r>
            <w:r>
              <w:rPr>
                <w:sz w:val="20"/>
                <w:szCs w:val="20"/>
              </w:rPr>
              <w:t>2</w:t>
            </w:r>
          </w:p>
        </w:tc>
        <w:tc>
          <w:tcPr>
            <w:tcW w:w="0" w:type="auto"/>
            <w:vAlign w:val="bottom"/>
            <w:hideMark/>
          </w:tcPr>
          <w:p w14:paraId="7F4ACB6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36A3BE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D88248B"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7AEEC16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47FB07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1A1A9D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1FE3496" w14:textId="77777777" w:rsidR="00000000" w:rsidRDefault="003A1B5D">
            <w:pPr>
              <w:pStyle w:val="a3"/>
              <w:spacing w:before="0" w:beforeAutospacing="0" w:after="0" w:afterAutospacing="0"/>
              <w:jc w:val="right"/>
              <w:rPr>
                <w:sz w:val="20"/>
                <w:szCs w:val="20"/>
              </w:rPr>
            </w:pPr>
            <w:r>
              <w:rPr>
                <w:sz w:val="20"/>
                <w:szCs w:val="20"/>
              </w:rPr>
              <w:t>(</w:t>
            </w:r>
            <w:r>
              <w:rPr>
                <w:sz w:val="20"/>
                <w:szCs w:val="20"/>
              </w:rPr>
              <w:t>1</w:t>
            </w:r>
          </w:p>
        </w:tc>
        <w:tc>
          <w:tcPr>
            <w:tcW w:w="0" w:type="auto"/>
            <w:noWrap/>
            <w:vAlign w:val="bottom"/>
            <w:hideMark/>
          </w:tcPr>
          <w:p w14:paraId="20344C44"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115E842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2008F8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A8F1333"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7DE0476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01FCC8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EF7158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8031512" w14:textId="77777777" w:rsidR="00000000" w:rsidRDefault="003A1B5D">
            <w:pPr>
              <w:pStyle w:val="a3"/>
              <w:spacing w:before="0" w:beforeAutospacing="0" w:after="0" w:afterAutospacing="0"/>
              <w:jc w:val="right"/>
              <w:rPr>
                <w:sz w:val="20"/>
                <w:szCs w:val="20"/>
              </w:rPr>
            </w:pPr>
            <w:r>
              <w:rPr>
                <w:sz w:val="20"/>
                <w:szCs w:val="20"/>
              </w:rPr>
              <w:t>(</w:t>
            </w:r>
            <w:r>
              <w:rPr>
                <w:sz w:val="20"/>
                <w:szCs w:val="20"/>
              </w:rPr>
              <w:t>1</w:t>
            </w:r>
          </w:p>
        </w:tc>
        <w:tc>
          <w:tcPr>
            <w:tcW w:w="0" w:type="auto"/>
            <w:noWrap/>
            <w:vAlign w:val="bottom"/>
            <w:hideMark/>
          </w:tcPr>
          <w:p w14:paraId="594C32C6" w14:textId="77777777" w:rsidR="00000000" w:rsidRDefault="003A1B5D">
            <w:pPr>
              <w:pStyle w:val="a3"/>
              <w:spacing w:before="0" w:beforeAutospacing="0" w:after="0" w:afterAutospacing="0"/>
              <w:rPr>
                <w:sz w:val="20"/>
                <w:szCs w:val="20"/>
              </w:rPr>
            </w:pPr>
            <w:r>
              <w:rPr>
                <w:sz w:val="20"/>
                <w:szCs w:val="20"/>
              </w:rPr>
              <w:t>)</w:t>
            </w:r>
          </w:p>
        </w:tc>
      </w:tr>
      <w:tr w:rsidR="00000000" w14:paraId="7A54248D" w14:textId="77777777">
        <w:trPr>
          <w:trHeight w:val="200"/>
          <w:tblCellSpacing w:w="15" w:type="dxa"/>
        </w:trPr>
        <w:tc>
          <w:tcPr>
            <w:tcW w:w="0" w:type="auto"/>
            <w:hideMark/>
          </w:tcPr>
          <w:p w14:paraId="74519329" w14:textId="77777777" w:rsidR="00000000" w:rsidRDefault="003A1B5D">
            <w:pPr>
              <w:pStyle w:val="a3"/>
              <w:spacing w:before="0" w:beforeAutospacing="0" w:after="0" w:afterAutospacing="0"/>
              <w:rPr>
                <w:sz w:val="20"/>
                <w:szCs w:val="20"/>
              </w:rPr>
            </w:pPr>
            <w:r>
              <w:rPr>
                <w:sz w:val="20"/>
                <w:szCs w:val="20"/>
              </w:rPr>
              <w:t>Sale of two leased community corrections facilities</w:t>
            </w:r>
            <w:r>
              <w:rPr>
                <w:sz w:val="20"/>
                <w:szCs w:val="20"/>
              </w:rPr>
              <w:br/>
              <w:t>    in Californi</w:t>
            </w:r>
            <w:r>
              <w:rPr>
                <w:sz w:val="20"/>
                <w:szCs w:val="20"/>
              </w:rPr>
              <w:t>a</w:t>
            </w:r>
          </w:p>
        </w:tc>
        <w:tc>
          <w:tcPr>
            <w:tcW w:w="0" w:type="auto"/>
            <w:vAlign w:val="bottom"/>
            <w:hideMark/>
          </w:tcPr>
          <w:p w14:paraId="7887751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FA3F474" w14:textId="77777777" w:rsidR="00000000" w:rsidRDefault="003A1B5D">
            <w:pPr>
              <w:pStyle w:val="a3"/>
              <w:spacing w:before="0" w:beforeAutospacing="0" w:after="0" w:afterAutospacing="0"/>
              <w:jc w:val="center"/>
              <w:rPr>
                <w:sz w:val="20"/>
                <w:szCs w:val="20"/>
              </w:rPr>
            </w:pPr>
            <w:r>
              <w:rPr>
                <w:sz w:val="20"/>
                <w:szCs w:val="20"/>
              </w:rPr>
              <w:t>July 202</w:t>
            </w:r>
            <w:r>
              <w:rPr>
                <w:sz w:val="20"/>
                <w:szCs w:val="20"/>
              </w:rPr>
              <w:t>2</w:t>
            </w:r>
          </w:p>
        </w:tc>
        <w:tc>
          <w:tcPr>
            <w:tcW w:w="0" w:type="auto"/>
            <w:vAlign w:val="bottom"/>
            <w:hideMark/>
          </w:tcPr>
          <w:p w14:paraId="4FE6052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66031C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362C196"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2EA981F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7EBBEE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A07FD3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F89D12A"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752A1C3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B89294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8020ED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1FF4968" w14:textId="77777777" w:rsidR="00000000" w:rsidRDefault="003A1B5D">
            <w:pPr>
              <w:pStyle w:val="a3"/>
              <w:spacing w:before="0" w:beforeAutospacing="0" w:after="0" w:afterAutospacing="0"/>
              <w:jc w:val="right"/>
              <w:rPr>
                <w:sz w:val="20"/>
                <w:szCs w:val="20"/>
              </w:rPr>
            </w:pPr>
            <w:r>
              <w:rPr>
                <w:sz w:val="20"/>
                <w:szCs w:val="20"/>
              </w:rPr>
              <w:t>(</w:t>
            </w:r>
            <w:r>
              <w:rPr>
                <w:sz w:val="20"/>
                <w:szCs w:val="20"/>
              </w:rPr>
              <w:t>2</w:t>
            </w:r>
          </w:p>
        </w:tc>
        <w:tc>
          <w:tcPr>
            <w:tcW w:w="0" w:type="auto"/>
            <w:noWrap/>
            <w:vAlign w:val="bottom"/>
            <w:hideMark/>
          </w:tcPr>
          <w:p w14:paraId="49B000AF"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0017149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07E991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3C4AB5A" w14:textId="77777777" w:rsidR="00000000" w:rsidRDefault="003A1B5D">
            <w:pPr>
              <w:pStyle w:val="a3"/>
              <w:spacing w:before="0" w:beforeAutospacing="0" w:after="0" w:afterAutospacing="0"/>
              <w:jc w:val="right"/>
              <w:rPr>
                <w:sz w:val="20"/>
                <w:szCs w:val="20"/>
              </w:rPr>
            </w:pPr>
            <w:r>
              <w:rPr>
                <w:sz w:val="20"/>
                <w:szCs w:val="20"/>
              </w:rPr>
              <w:t>(</w:t>
            </w:r>
            <w:r>
              <w:rPr>
                <w:sz w:val="20"/>
                <w:szCs w:val="20"/>
              </w:rPr>
              <w:t>2</w:t>
            </w:r>
          </w:p>
        </w:tc>
        <w:tc>
          <w:tcPr>
            <w:tcW w:w="0" w:type="auto"/>
            <w:noWrap/>
            <w:vAlign w:val="bottom"/>
            <w:hideMark/>
          </w:tcPr>
          <w:p w14:paraId="0AEE7D93" w14:textId="77777777" w:rsidR="00000000" w:rsidRDefault="003A1B5D">
            <w:pPr>
              <w:pStyle w:val="a3"/>
              <w:spacing w:before="0" w:beforeAutospacing="0" w:after="0" w:afterAutospacing="0"/>
              <w:rPr>
                <w:sz w:val="20"/>
                <w:szCs w:val="20"/>
              </w:rPr>
            </w:pPr>
            <w:r>
              <w:rPr>
                <w:sz w:val="20"/>
                <w:szCs w:val="20"/>
              </w:rPr>
              <w:t>)</w:t>
            </w:r>
          </w:p>
        </w:tc>
      </w:tr>
      <w:tr w:rsidR="00000000" w14:paraId="69CE15C6" w14:textId="77777777">
        <w:trPr>
          <w:trHeight w:val="200"/>
          <w:tblCellSpacing w:w="15" w:type="dxa"/>
        </w:trPr>
        <w:tc>
          <w:tcPr>
            <w:tcW w:w="0" w:type="auto"/>
            <w:vAlign w:val="bottom"/>
            <w:hideMark/>
          </w:tcPr>
          <w:p w14:paraId="090B1F40" w14:textId="77777777" w:rsidR="00000000" w:rsidRDefault="003A1B5D">
            <w:pPr>
              <w:pStyle w:val="a3"/>
              <w:spacing w:before="0" w:beforeAutospacing="0" w:after="0" w:afterAutospacing="0"/>
              <w:rPr>
                <w:sz w:val="20"/>
                <w:szCs w:val="20"/>
              </w:rPr>
            </w:pPr>
            <w:r>
              <w:rPr>
                <w:b/>
                <w:bCs/>
                <w:sz w:val="20"/>
                <w:szCs w:val="20"/>
              </w:rPr>
              <w:t>Facilities as of September 30, 202</w:t>
            </w:r>
            <w:r>
              <w:rPr>
                <w:b/>
                <w:bCs/>
                <w:sz w:val="20"/>
                <w:szCs w:val="20"/>
              </w:rPr>
              <w:t>2</w:t>
            </w:r>
          </w:p>
        </w:tc>
        <w:tc>
          <w:tcPr>
            <w:tcW w:w="0" w:type="auto"/>
            <w:vAlign w:val="bottom"/>
            <w:hideMark/>
          </w:tcPr>
          <w:p w14:paraId="0ABA8EA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1FE68B1" w14:textId="77777777" w:rsidR="00000000" w:rsidRDefault="003A1B5D">
            <w:pPr>
              <w:pStyle w:val="a3"/>
              <w:spacing w:before="0" w:beforeAutospacing="0" w:after="0" w:afterAutospacing="0"/>
              <w:jc w:val="center"/>
              <w:rPr>
                <w:sz w:val="20"/>
                <w:szCs w:val="20"/>
              </w:rPr>
            </w:pPr>
            <w:r>
              <w:rPr>
                <w:sz w:val="20"/>
                <w:szCs w:val="20"/>
              </w:rPr>
              <w:t> </w:t>
            </w:r>
          </w:p>
        </w:tc>
        <w:tc>
          <w:tcPr>
            <w:tcW w:w="0" w:type="auto"/>
            <w:vAlign w:val="bottom"/>
            <w:hideMark/>
          </w:tcPr>
          <w:p w14:paraId="08031C9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A6D12A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571F1FA" w14:textId="77777777" w:rsidR="00000000" w:rsidRDefault="003A1B5D">
            <w:pPr>
              <w:pStyle w:val="a3"/>
              <w:spacing w:before="0" w:beforeAutospacing="0" w:after="0" w:afterAutospacing="0"/>
              <w:jc w:val="right"/>
              <w:rPr>
                <w:sz w:val="20"/>
                <w:szCs w:val="20"/>
              </w:rPr>
            </w:pPr>
            <w:r>
              <w:rPr>
                <w:b/>
                <w:bCs/>
                <w:sz w:val="20"/>
                <w:szCs w:val="20"/>
              </w:rPr>
              <w:t>4</w:t>
            </w:r>
            <w:r>
              <w:rPr>
                <w:b/>
                <w:bCs/>
                <w:sz w:val="20"/>
                <w:szCs w:val="20"/>
              </w:rPr>
              <w:t>5</w:t>
            </w:r>
          </w:p>
        </w:tc>
        <w:tc>
          <w:tcPr>
            <w:tcW w:w="0" w:type="auto"/>
            <w:noWrap/>
            <w:vAlign w:val="bottom"/>
            <w:hideMark/>
          </w:tcPr>
          <w:p w14:paraId="3F5CE52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9CFE12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6FCB8A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843EC2E" w14:textId="77777777" w:rsidR="00000000" w:rsidRDefault="003A1B5D">
            <w:pPr>
              <w:pStyle w:val="a3"/>
              <w:spacing w:before="0" w:beforeAutospacing="0" w:after="0" w:afterAutospacing="0"/>
              <w:jc w:val="right"/>
              <w:rPr>
                <w:sz w:val="20"/>
                <w:szCs w:val="20"/>
              </w:rPr>
            </w:pPr>
            <w:r>
              <w:rPr>
                <w:b/>
                <w:bCs/>
                <w:sz w:val="20"/>
                <w:szCs w:val="20"/>
              </w:rPr>
              <w:t>2</w:t>
            </w:r>
            <w:r>
              <w:rPr>
                <w:b/>
                <w:bCs/>
                <w:sz w:val="20"/>
                <w:szCs w:val="20"/>
              </w:rPr>
              <w:t>4</w:t>
            </w:r>
          </w:p>
        </w:tc>
        <w:tc>
          <w:tcPr>
            <w:tcW w:w="0" w:type="auto"/>
            <w:noWrap/>
            <w:vAlign w:val="bottom"/>
            <w:hideMark/>
          </w:tcPr>
          <w:p w14:paraId="30C8659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2ED691C"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38E60D3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C950F94" w14:textId="77777777" w:rsidR="00000000" w:rsidRDefault="003A1B5D">
            <w:pPr>
              <w:pStyle w:val="a3"/>
              <w:spacing w:before="0" w:beforeAutospacing="0" w:after="0" w:afterAutospacing="0"/>
              <w:jc w:val="right"/>
              <w:rPr>
                <w:sz w:val="20"/>
                <w:szCs w:val="20"/>
              </w:rPr>
            </w:pPr>
            <w:r>
              <w:rPr>
                <w:b/>
                <w:bCs/>
                <w:sz w:val="20"/>
                <w:szCs w:val="20"/>
              </w:rPr>
              <w:t>8</w:t>
            </w:r>
          </w:p>
        </w:tc>
        <w:tc>
          <w:tcPr>
            <w:tcW w:w="0" w:type="auto"/>
            <w:noWrap/>
            <w:vAlign w:val="bottom"/>
            <w:hideMark/>
          </w:tcPr>
          <w:p w14:paraId="2D83877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9F1C7D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B8B44A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8D50564" w14:textId="77777777" w:rsidR="00000000" w:rsidRDefault="003A1B5D">
            <w:pPr>
              <w:pStyle w:val="a3"/>
              <w:spacing w:before="0" w:beforeAutospacing="0" w:after="0" w:afterAutospacing="0"/>
              <w:jc w:val="right"/>
              <w:rPr>
                <w:sz w:val="20"/>
                <w:szCs w:val="20"/>
              </w:rPr>
            </w:pPr>
            <w:r>
              <w:rPr>
                <w:b/>
                <w:bCs/>
                <w:sz w:val="20"/>
                <w:szCs w:val="20"/>
              </w:rPr>
              <w:t>7</w:t>
            </w:r>
            <w:r>
              <w:rPr>
                <w:b/>
                <w:bCs/>
                <w:sz w:val="20"/>
                <w:szCs w:val="20"/>
              </w:rPr>
              <w:t>7</w:t>
            </w:r>
          </w:p>
        </w:tc>
        <w:tc>
          <w:tcPr>
            <w:tcW w:w="0" w:type="auto"/>
            <w:noWrap/>
            <w:vAlign w:val="bottom"/>
            <w:hideMark/>
          </w:tcPr>
          <w:p w14:paraId="4F3CC7E9" w14:textId="77777777" w:rsidR="00000000" w:rsidRDefault="003A1B5D">
            <w:pPr>
              <w:pStyle w:val="a3"/>
              <w:spacing w:before="0" w:beforeAutospacing="0" w:after="0" w:afterAutospacing="0"/>
              <w:rPr>
                <w:sz w:val="20"/>
                <w:szCs w:val="20"/>
              </w:rPr>
            </w:pPr>
            <w:r>
              <w:rPr>
                <w:sz w:val="20"/>
                <w:szCs w:val="20"/>
              </w:rPr>
              <w:t> </w:t>
            </w:r>
          </w:p>
        </w:tc>
      </w:tr>
    </w:tbl>
    <w:p w14:paraId="22264EDC" w14:textId="77777777" w:rsidR="00000000" w:rsidRDefault="003A1B5D">
      <w:pPr>
        <w:pStyle w:val="a3"/>
        <w:spacing w:before="0" w:beforeAutospacing="0" w:after="0" w:afterAutospacing="0"/>
        <w:rPr>
          <w:sz w:val="20"/>
          <w:szCs w:val="20"/>
        </w:rPr>
      </w:pPr>
      <w:r>
        <w:rPr>
          <w:sz w:val="20"/>
          <w:szCs w:val="20"/>
        </w:rPr>
        <w:t> </w:t>
      </w:r>
    </w:p>
    <w:p w14:paraId="32AC000D" w14:textId="77777777" w:rsidR="00000000" w:rsidRDefault="003A1B5D">
      <w:pPr>
        <w:pStyle w:val="a3"/>
        <w:spacing w:before="160" w:beforeAutospacing="0" w:after="0" w:afterAutospacing="0"/>
        <w:jc w:val="both"/>
        <w:rPr>
          <w:sz w:val="20"/>
          <w:szCs w:val="20"/>
        </w:rPr>
      </w:pPr>
      <w:r>
        <w:rPr>
          <w:b/>
          <w:bCs/>
          <w:sz w:val="20"/>
          <w:szCs w:val="20"/>
        </w:rPr>
        <w:t>Three and Nine Months Ended September 30, 2022 Compared to the Three and Nine Months Ended September 30, 202</w:t>
      </w:r>
      <w:r>
        <w:rPr>
          <w:b/>
          <w:bCs/>
          <w:sz w:val="20"/>
          <w:szCs w:val="20"/>
        </w:rPr>
        <w:t>1</w:t>
      </w:r>
    </w:p>
    <w:p w14:paraId="0B8ABA0F" w14:textId="77777777" w:rsidR="00000000" w:rsidRDefault="003A1B5D">
      <w:pPr>
        <w:pStyle w:val="a3"/>
        <w:spacing w:before="120" w:beforeAutospacing="0" w:after="0" w:afterAutospacing="0"/>
        <w:jc w:val="both"/>
        <w:rPr>
          <w:sz w:val="20"/>
          <w:szCs w:val="20"/>
        </w:rPr>
      </w:pPr>
      <w:r>
        <w:rPr>
          <w:sz w:val="20"/>
          <w:szCs w:val="20"/>
        </w:rPr>
        <w:t>Net income was $68.3 million, or $0.58 per diluted share, for the three months ended September 30, 2022, compared with net income of $30.0 million</w:t>
      </w:r>
      <w:r>
        <w:rPr>
          <w:sz w:val="20"/>
          <w:szCs w:val="20"/>
        </w:rPr>
        <w:t xml:space="preserve">, or $0.25 per diluted share, for the three months ended September 30, 2021. Net income was $97.9 million, or $0.82 per diluted share, for the nine months ended September 30, 2022, compared with a net loss of $79.9 million, or $0.67 per diluted share, for </w:t>
      </w:r>
      <w:r>
        <w:rPr>
          <w:sz w:val="20"/>
          <w:szCs w:val="20"/>
        </w:rPr>
        <w:t>the nine months ended September 30, 2021. Financial results for the three months ended September 30, 2022 reflected an $83.8 million gain on the sale of real estate assets, $0.8 million of expenses associated with debt repayments and refinancing transactio</w:t>
      </w:r>
      <w:r>
        <w:rPr>
          <w:sz w:val="20"/>
          <w:szCs w:val="20"/>
        </w:rPr>
        <w:t>ns, as well as $3.5 million of asset impairments. Financial results for the nine months ended September 30, 2022 reflected an $87.1 million gain on the sale of real estate assets, $7.6 million of expenses associated with debt repayments and refinancing tra</w:t>
      </w:r>
      <w:r>
        <w:rPr>
          <w:sz w:val="20"/>
          <w:szCs w:val="20"/>
        </w:rPr>
        <w:t>nsactions, $3.5 million of asset impairments, and $1.9 million associated with shareholder litigation expense. Collectively, these special items were partially offset by an income tax expense of $21.0 million and $19.5 million during the three and nine mon</w:t>
      </w:r>
      <w:r>
        <w:rPr>
          <w:sz w:val="20"/>
          <w:szCs w:val="20"/>
        </w:rPr>
        <w:t>ths ended September 30, 2022, respectively, associated with these special items</w:t>
      </w:r>
      <w:r>
        <w:rPr>
          <w:sz w:val="20"/>
          <w:szCs w:val="20"/>
        </w:rPr>
        <w:t>.</w:t>
      </w:r>
      <w:r>
        <w:rPr>
          <w:sz w:val="20"/>
          <w:szCs w:val="20"/>
        </w:rPr>
        <w:t xml:space="preserve"> </w:t>
      </w:r>
    </w:p>
    <w:p w14:paraId="641081ED" w14:textId="77777777" w:rsidR="00000000" w:rsidRDefault="003A1B5D">
      <w:pPr>
        <w:pStyle w:val="a3"/>
        <w:spacing w:before="240" w:beforeAutospacing="0" w:after="0" w:afterAutospacing="0"/>
        <w:jc w:val="center"/>
        <w:rPr>
          <w:sz w:val="20"/>
          <w:szCs w:val="20"/>
        </w:rPr>
      </w:pPr>
      <w:r>
        <w:rPr>
          <w:sz w:val="20"/>
          <w:szCs w:val="20"/>
        </w:rPr>
        <w:t>2</w:t>
      </w:r>
      <w:r>
        <w:rPr>
          <w:sz w:val="20"/>
          <w:szCs w:val="20"/>
        </w:rPr>
        <w:t>4</w:t>
      </w:r>
    </w:p>
    <w:p w14:paraId="68554EF1" w14:textId="77777777" w:rsidR="00000000" w:rsidRDefault="003A1B5D">
      <w:pPr>
        <w:rPr>
          <w:rFonts w:eastAsia="Times New Roman"/>
        </w:rPr>
      </w:pPr>
      <w:r>
        <w:rPr>
          <w:rFonts w:eastAsia="Times New Roman"/>
        </w:rPr>
        <w:pict w14:anchorId="4057067F">
          <v:rect id="_x0000_i1050" style="width:0;height:1.5pt" o:hralign="center" o:hrstd="t" o:hr="t" fillcolor="#a0a0a0" stroked="f"/>
        </w:pict>
      </w:r>
    </w:p>
    <w:p w14:paraId="2BC25855" w14:textId="77777777" w:rsidR="00000000" w:rsidRDefault="003A1B5D">
      <w:pPr>
        <w:pStyle w:val="a3"/>
        <w:spacing w:before="0" w:beforeAutospacing="0" w:after="0" w:afterAutospacing="0"/>
        <w:rPr>
          <w:sz w:val="20"/>
          <w:szCs w:val="20"/>
        </w:rPr>
      </w:pPr>
      <w:r>
        <w:rPr>
          <w:sz w:val="20"/>
          <w:szCs w:val="20"/>
        </w:rPr>
        <w:t> </w:t>
      </w:r>
    </w:p>
    <w:p w14:paraId="59C3741E" w14:textId="77777777" w:rsidR="00000000" w:rsidRDefault="003A1B5D">
      <w:pPr>
        <w:pStyle w:val="a3"/>
        <w:spacing w:before="120" w:beforeAutospacing="0" w:after="0" w:afterAutospacing="0"/>
        <w:jc w:val="both"/>
        <w:rPr>
          <w:sz w:val="20"/>
          <w:szCs w:val="20"/>
        </w:rPr>
      </w:pPr>
      <w:r>
        <w:rPr>
          <w:sz w:val="20"/>
          <w:szCs w:val="20"/>
        </w:rPr>
        <w:t>Financial results for the three and nine months ended September 30, 2021 reflected $5.2 million and $9.4 million, respectively, of a</w:t>
      </w:r>
      <w:r>
        <w:rPr>
          <w:sz w:val="20"/>
          <w:szCs w:val="20"/>
        </w:rPr>
        <w:t>sset impairments. Financial results for the nine months ended September 30, 2021 also reflected $52.2 million of expenses associated with debt repayments and refinancing transactions, $54.3 million of charges related to the settlement agreement reached dur</w:t>
      </w:r>
      <w:r>
        <w:rPr>
          <w:sz w:val="20"/>
          <w:szCs w:val="20"/>
        </w:rPr>
        <w:t>ing April 2021 in connection with shareholder litigation, and $2.4 million of incremental expenses directly associated with COVID-19 (reflected in operating expenses), partially offset by a gain on the sale of real estate assets amounting to $38.8 million.</w:t>
      </w:r>
      <w:r>
        <w:rPr>
          <w:sz w:val="20"/>
          <w:szCs w:val="20"/>
        </w:rPr>
        <w:t xml:space="preserve"> Collectively, these special items were partially offset by an income tax benefit of $1.4 million and $19.7 million during the three and nine months ended September 30, 2021, respectively, associated with these special items. In addition, financial results</w:t>
      </w:r>
      <w:r>
        <w:rPr>
          <w:sz w:val="20"/>
          <w:szCs w:val="20"/>
        </w:rPr>
        <w:t xml:space="preserve"> for the nine months ended September 30, 2021, included an income tax charge of $128.7 million, including $114.2 million for income taxes associated with the change in corporate tax structure and other special tax items</w:t>
      </w:r>
      <w:r>
        <w:rPr>
          <w:sz w:val="20"/>
          <w:szCs w:val="20"/>
        </w:rPr>
        <w:t>.</w:t>
      </w:r>
      <w:r>
        <w:rPr>
          <w:sz w:val="20"/>
          <w:szCs w:val="20"/>
        </w:rPr>
        <w:t xml:space="preserve"> </w:t>
      </w:r>
    </w:p>
    <w:p w14:paraId="3A4A886D" w14:textId="77777777" w:rsidR="00000000" w:rsidRDefault="003A1B5D">
      <w:pPr>
        <w:pStyle w:val="a3"/>
        <w:spacing w:before="360" w:beforeAutospacing="0" w:after="0" w:afterAutospacing="0"/>
        <w:jc w:val="both"/>
        <w:rPr>
          <w:sz w:val="20"/>
          <w:szCs w:val="20"/>
        </w:rPr>
      </w:pPr>
      <w:r>
        <w:rPr>
          <w:b/>
          <w:bCs/>
          <w:sz w:val="20"/>
          <w:szCs w:val="20"/>
        </w:rPr>
        <w:t>Our Current Operation</w:t>
      </w:r>
      <w:r>
        <w:rPr>
          <w:b/>
          <w:bCs/>
          <w:sz w:val="20"/>
          <w:szCs w:val="20"/>
        </w:rPr>
        <w:t>s</w:t>
      </w:r>
    </w:p>
    <w:p w14:paraId="58609C28" w14:textId="77777777" w:rsidR="00000000" w:rsidRDefault="003A1B5D">
      <w:pPr>
        <w:pStyle w:val="a3"/>
        <w:spacing w:before="120" w:beforeAutospacing="0" w:after="0" w:afterAutospacing="0"/>
        <w:jc w:val="both"/>
        <w:rPr>
          <w:sz w:val="20"/>
          <w:szCs w:val="20"/>
        </w:rPr>
      </w:pPr>
      <w:r>
        <w:rPr>
          <w:sz w:val="20"/>
          <w:szCs w:val="20"/>
        </w:rPr>
        <w:t>Our ongoing</w:t>
      </w:r>
      <w:r>
        <w:rPr>
          <w:sz w:val="20"/>
          <w:szCs w:val="20"/>
        </w:rPr>
        <w:t xml:space="preserve"> operations are organized into three principal business segments</w:t>
      </w:r>
      <w:r>
        <w:rPr>
          <w:sz w:val="20"/>
          <w:szCs w:val="20"/>
        </w:rPr>
        <w:t>:</w:t>
      </w:r>
    </w:p>
    <w:p w14:paraId="0D538D37" w14:textId="77777777" w:rsidR="00000000" w:rsidRDefault="003A1B5D">
      <w:pPr>
        <w:jc w:val="both"/>
        <w:divId w:val="1576747894"/>
        <w:rPr>
          <w:rFonts w:eastAsia="Times New Roman"/>
        </w:rPr>
      </w:pPr>
      <w:r>
        <w:rPr>
          <w:rFonts w:eastAsia="Times New Roman"/>
          <w:sz w:val="20"/>
          <w:szCs w:val="20"/>
        </w:rPr>
        <w:t>•</w:t>
      </w:r>
    </w:p>
    <w:p w14:paraId="595D32EC" w14:textId="77777777" w:rsidR="00000000" w:rsidRDefault="003A1B5D">
      <w:pPr>
        <w:jc w:val="both"/>
        <w:divId w:val="147019401"/>
        <w:rPr>
          <w:rFonts w:eastAsia="Times New Roman"/>
        </w:rPr>
      </w:pPr>
      <w:r>
        <w:rPr>
          <w:rFonts w:eastAsia="Times New Roman"/>
          <w:sz w:val="20"/>
          <w:szCs w:val="20"/>
        </w:rPr>
        <w:t>CoreCivic Safety segment, consisting of the 45 correctional and detention facilities that are owned, or controlled via a long-term lease, and managed by CoreCivic, as well as those correct</w:t>
      </w:r>
      <w:r>
        <w:rPr>
          <w:rFonts w:eastAsia="Times New Roman"/>
          <w:sz w:val="20"/>
          <w:szCs w:val="20"/>
        </w:rPr>
        <w:t>ional and detention facilities owned by third parties but managed by CoreCivic. CoreCivic Safety also includes the operating results of our subsidiary that provides transportation services to governmental agencies, TransCor America, LLC, or TransCor</w:t>
      </w:r>
      <w:r>
        <w:rPr>
          <w:rFonts w:eastAsia="Times New Roman"/>
          <w:sz w:val="20"/>
          <w:szCs w:val="20"/>
        </w:rPr>
        <w:t>.</w:t>
      </w:r>
    </w:p>
    <w:p w14:paraId="67776D8F" w14:textId="77777777" w:rsidR="00000000" w:rsidRDefault="003A1B5D">
      <w:pPr>
        <w:jc w:val="both"/>
        <w:divId w:val="535891996"/>
        <w:rPr>
          <w:rFonts w:eastAsia="Times New Roman"/>
        </w:rPr>
      </w:pPr>
      <w:r>
        <w:rPr>
          <w:rFonts w:eastAsia="Times New Roman"/>
          <w:sz w:val="20"/>
          <w:szCs w:val="20"/>
        </w:rPr>
        <w:t>•</w:t>
      </w:r>
    </w:p>
    <w:p w14:paraId="6BB30161" w14:textId="77777777" w:rsidR="00000000" w:rsidRDefault="003A1B5D">
      <w:pPr>
        <w:jc w:val="both"/>
        <w:divId w:val="588852615"/>
        <w:rPr>
          <w:rFonts w:eastAsia="Times New Roman"/>
        </w:rPr>
      </w:pPr>
      <w:r>
        <w:rPr>
          <w:rFonts w:eastAsia="Times New Roman"/>
          <w:sz w:val="20"/>
          <w:szCs w:val="20"/>
        </w:rPr>
        <w:t>CoreCivic Community segment, consisting of the 24 residential reentry centers that are owned, or controlled via a long-term lease, and managed by CoreCivic. CoreCivic Community also includes the operating results of our electronic monitoring and case manag</w:t>
      </w:r>
      <w:r>
        <w:rPr>
          <w:rFonts w:eastAsia="Times New Roman"/>
          <w:sz w:val="20"/>
          <w:szCs w:val="20"/>
        </w:rPr>
        <w:t>ement services</w:t>
      </w:r>
      <w:r>
        <w:rPr>
          <w:rFonts w:eastAsia="Times New Roman"/>
          <w:sz w:val="20"/>
          <w:szCs w:val="20"/>
        </w:rPr>
        <w:t>.</w:t>
      </w:r>
    </w:p>
    <w:p w14:paraId="4D48DECC" w14:textId="77777777" w:rsidR="00000000" w:rsidRDefault="003A1B5D">
      <w:pPr>
        <w:jc w:val="both"/>
        <w:divId w:val="1576352552"/>
        <w:rPr>
          <w:rFonts w:eastAsia="Times New Roman"/>
        </w:rPr>
      </w:pPr>
      <w:r>
        <w:rPr>
          <w:rFonts w:eastAsia="Times New Roman"/>
          <w:sz w:val="20"/>
          <w:szCs w:val="20"/>
        </w:rPr>
        <w:t>•</w:t>
      </w:r>
    </w:p>
    <w:p w14:paraId="7F981BFC" w14:textId="77777777" w:rsidR="00000000" w:rsidRDefault="003A1B5D">
      <w:pPr>
        <w:jc w:val="both"/>
        <w:divId w:val="458763296"/>
        <w:rPr>
          <w:rFonts w:eastAsia="Times New Roman"/>
        </w:rPr>
      </w:pPr>
      <w:r>
        <w:rPr>
          <w:rFonts w:eastAsia="Times New Roman"/>
          <w:sz w:val="20"/>
          <w:szCs w:val="20"/>
        </w:rPr>
        <w:t>CoreCivic Properties segment, consisting of the 8 real estate properties owned by CoreCivic for lease to third parties and used by government agencies</w:t>
      </w:r>
      <w:r>
        <w:rPr>
          <w:rFonts w:eastAsia="Times New Roman"/>
          <w:sz w:val="20"/>
          <w:szCs w:val="20"/>
        </w:rPr>
        <w:t>.</w:t>
      </w:r>
    </w:p>
    <w:p w14:paraId="097697A0" w14:textId="77777777" w:rsidR="00000000" w:rsidRDefault="003A1B5D">
      <w:pPr>
        <w:pStyle w:val="a3"/>
        <w:spacing w:before="0" w:beforeAutospacing="0" w:after="0" w:afterAutospacing="0"/>
        <w:rPr>
          <w:sz w:val="20"/>
          <w:szCs w:val="20"/>
        </w:rPr>
      </w:pPr>
      <w:r>
        <w:rPr>
          <w:sz w:val="20"/>
          <w:szCs w:val="20"/>
        </w:rPr>
        <w:t> </w:t>
      </w:r>
    </w:p>
    <w:p w14:paraId="25A37905" w14:textId="77777777" w:rsidR="00000000" w:rsidRDefault="003A1B5D">
      <w:pPr>
        <w:pStyle w:val="a3"/>
        <w:spacing w:before="40" w:beforeAutospacing="0" w:after="0" w:afterAutospacing="0"/>
        <w:jc w:val="both"/>
        <w:rPr>
          <w:sz w:val="20"/>
          <w:szCs w:val="20"/>
        </w:rPr>
      </w:pPr>
      <w:r>
        <w:rPr>
          <w:sz w:val="20"/>
          <w:szCs w:val="20"/>
        </w:rPr>
        <w:t>For the three and nine months ended September 30, 2022 and 2021, our total segment n</w:t>
      </w:r>
      <w:r>
        <w:rPr>
          <w:sz w:val="20"/>
          <w:szCs w:val="20"/>
        </w:rPr>
        <w:t>et operating income, which we define as facility revenue (including interest income associated with finance leases) less operating expenses, was divided among our three business segments as follows</w:t>
      </w:r>
      <w:r>
        <w:rPr>
          <w:sz w:val="20"/>
          <w:szCs w:val="20"/>
        </w:rPr>
        <w:t>:</w:t>
      </w:r>
    </w:p>
    <w:p w14:paraId="0B666885" w14:textId="77777777" w:rsidR="00000000" w:rsidRDefault="003A1B5D">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614"/>
        <w:gridCol w:w="110"/>
        <w:gridCol w:w="110"/>
        <w:gridCol w:w="795"/>
        <w:gridCol w:w="260"/>
        <w:gridCol w:w="110"/>
        <w:gridCol w:w="110"/>
        <w:gridCol w:w="701"/>
        <w:gridCol w:w="227"/>
        <w:gridCol w:w="110"/>
        <w:gridCol w:w="110"/>
        <w:gridCol w:w="795"/>
        <w:gridCol w:w="260"/>
        <w:gridCol w:w="110"/>
        <w:gridCol w:w="110"/>
        <w:gridCol w:w="701"/>
        <w:gridCol w:w="242"/>
      </w:tblGrid>
      <w:tr w:rsidR="00000000" w14:paraId="5F036684" w14:textId="77777777">
        <w:trPr>
          <w:tblCellSpacing w:w="15" w:type="dxa"/>
        </w:trPr>
        <w:tc>
          <w:tcPr>
            <w:tcW w:w="1946" w:type="pct"/>
            <w:vAlign w:val="center"/>
            <w:hideMark/>
          </w:tcPr>
          <w:p w14:paraId="72C47687" w14:textId="77777777" w:rsidR="00000000" w:rsidRDefault="003A1B5D">
            <w:pPr>
              <w:rPr>
                <w:sz w:val="20"/>
                <w:szCs w:val="20"/>
              </w:rPr>
            </w:pPr>
          </w:p>
        </w:tc>
        <w:tc>
          <w:tcPr>
            <w:tcW w:w="50" w:type="pct"/>
            <w:vAlign w:val="center"/>
            <w:hideMark/>
          </w:tcPr>
          <w:p w14:paraId="76040C6E" w14:textId="77777777" w:rsidR="00000000" w:rsidRDefault="003A1B5D">
            <w:pPr>
              <w:rPr>
                <w:rFonts w:eastAsia="Times New Roman"/>
                <w:sz w:val="20"/>
                <w:szCs w:val="20"/>
              </w:rPr>
            </w:pPr>
          </w:p>
        </w:tc>
        <w:tc>
          <w:tcPr>
            <w:tcW w:w="50" w:type="pct"/>
            <w:vAlign w:val="center"/>
            <w:hideMark/>
          </w:tcPr>
          <w:p w14:paraId="145DCDAD" w14:textId="77777777" w:rsidR="00000000" w:rsidRDefault="003A1B5D">
            <w:pPr>
              <w:rPr>
                <w:rFonts w:eastAsia="Times New Roman"/>
                <w:sz w:val="20"/>
                <w:szCs w:val="20"/>
              </w:rPr>
            </w:pPr>
          </w:p>
        </w:tc>
        <w:tc>
          <w:tcPr>
            <w:tcW w:w="646" w:type="pct"/>
            <w:vAlign w:val="center"/>
            <w:hideMark/>
          </w:tcPr>
          <w:p w14:paraId="6DA8271C" w14:textId="77777777" w:rsidR="00000000" w:rsidRDefault="003A1B5D">
            <w:pPr>
              <w:rPr>
                <w:rFonts w:eastAsia="Times New Roman"/>
                <w:sz w:val="20"/>
                <w:szCs w:val="20"/>
              </w:rPr>
            </w:pPr>
          </w:p>
        </w:tc>
        <w:tc>
          <w:tcPr>
            <w:tcW w:w="50" w:type="pct"/>
            <w:vAlign w:val="center"/>
            <w:hideMark/>
          </w:tcPr>
          <w:p w14:paraId="66F13F07" w14:textId="77777777" w:rsidR="00000000" w:rsidRDefault="003A1B5D">
            <w:pPr>
              <w:rPr>
                <w:rFonts w:eastAsia="Times New Roman"/>
                <w:sz w:val="20"/>
                <w:szCs w:val="20"/>
              </w:rPr>
            </w:pPr>
          </w:p>
        </w:tc>
        <w:tc>
          <w:tcPr>
            <w:tcW w:w="50" w:type="pct"/>
            <w:vAlign w:val="center"/>
            <w:hideMark/>
          </w:tcPr>
          <w:p w14:paraId="500BD213" w14:textId="77777777" w:rsidR="00000000" w:rsidRDefault="003A1B5D">
            <w:pPr>
              <w:rPr>
                <w:rFonts w:eastAsia="Times New Roman"/>
                <w:sz w:val="20"/>
                <w:szCs w:val="20"/>
              </w:rPr>
            </w:pPr>
          </w:p>
        </w:tc>
        <w:tc>
          <w:tcPr>
            <w:tcW w:w="50" w:type="pct"/>
            <w:vAlign w:val="center"/>
            <w:hideMark/>
          </w:tcPr>
          <w:p w14:paraId="7086F745" w14:textId="77777777" w:rsidR="00000000" w:rsidRDefault="003A1B5D">
            <w:pPr>
              <w:rPr>
                <w:rFonts w:eastAsia="Times New Roman"/>
                <w:sz w:val="20"/>
                <w:szCs w:val="20"/>
              </w:rPr>
            </w:pPr>
          </w:p>
        </w:tc>
        <w:tc>
          <w:tcPr>
            <w:tcW w:w="579" w:type="pct"/>
            <w:vAlign w:val="center"/>
            <w:hideMark/>
          </w:tcPr>
          <w:p w14:paraId="04C90024" w14:textId="77777777" w:rsidR="00000000" w:rsidRDefault="003A1B5D">
            <w:pPr>
              <w:rPr>
                <w:rFonts w:eastAsia="Times New Roman"/>
                <w:sz w:val="20"/>
                <w:szCs w:val="20"/>
              </w:rPr>
            </w:pPr>
          </w:p>
        </w:tc>
        <w:tc>
          <w:tcPr>
            <w:tcW w:w="50" w:type="pct"/>
            <w:vAlign w:val="center"/>
            <w:hideMark/>
          </w:tcPr>
          <w:p w14:paraId="2E17121D" w14:textId="77777777" w:rsidR="00000000" w:rsidRDefault="003A1B5D">
            <w:pPr>
              <w:rPr>
                <w:rFonts w:eastAsia="Times New Roman"/>
                <w:sz w:val="20"/>
                <w:szCs w:val="20"/>
              </w:rPr>
            </w:pPr>
          </w:p>
        </w:tc>
        <w:tc>
          <w:tcPr>
            <w:tcW w:w="50" w:type="pct"/>
            <w:vAlign w:val="center"/>
            <w:hideMark/>
          </w:tcPr>
          <w:p w14:paraId="461E9C61" w14:textId="77777777" w:rsidR="00000000" w:rsidRDefault="003A1B5D">
            <w:pPr>
              <w:rPr>
                <w:rFonts w:eastAsia="Times New Roman"/>
                <w:sz w:val="20"/>
                <w:szCs w:val="20"/>
              </w:rPr>
            </w:pPr>
          </w:p>
        </w:tc>
        <w:tc>
          <w:tcPr>
            <w:tcW w:w="50" w:type="pct"/>
            <w:vAlign w:val="center"/>
            <w:hideMark/>
          </w:tcPr>
          <w:p w14:paraId="1F6217C5" w14:textId="77777777" w:rsidR="00000000" w:rsidRDefault="003A1B5D">
            <w:pPr>
              <w:rPr>
                <w:rFonts w:eastAsia="Times New Roman"/>
                <w:sz w:val="20"/>
                <w:szCs w:val="20"/>
              </w:rPr>
            </w:pPr>
          </w:p>
        </w:tc>
        <w:tc>
          <w:tcPr>
            <w:tcW w:w="646" w:type="pct"/>
            <w:vAlign w:val="center"/>
            <w:hideMark/>
          </w:tcPr>
          <w:p w14:paraId="1136B4F0" w14:textId="77777777" w:rsidR="00000000" w:rsidRDefault="003A1B5D">
            <w:pPr>
              <w:rPr>
                <w:rFonts w:eastAsia="Times New Roman"/>
                <w:sz w:val="20"/>
                <w:szCs w:val="20"/>
              </w:rPr>
            </w:pPr>
          </w:p>
        </w:tc>
        <w:tc>
          <w:tcPr>
            <w:tcW w:w="50" w:type="pct"/>
            <w:vAlign w:val="center"/>
            <w:hideMark/>
          </w:tcPr>
          <w:p w14:paraId="7AC822E4" w14:textId="77777777" w:rsidR="00000000" w:rsidRDefault="003A1B5D">
            <w:pPr>
              <w:rPr>
                <w:rFonts w:eastAsia="Times New Roman"/>
                <w:sz w:val="20"/>
                <w:szCs w:val="20"/>
              </w:rPr>
            </w:pPr>
          </w:p>
        </w:tc>
        <w:tc>
          <w:tcPr>
            <w:tcW w:w="50" w:type="pct"/>
            <w:vAlign w:val="center"/>
            <w:hideMark/>
          </w:tcPr>
          <w:p w14:paraId="6AEF7E82" w14:textId="77777777" w:rsidR="00000000" w:rsidRDefault="003A1B5D">
            <w:pPr>
              <w:rPr>
                <w:rFonts w:eastAsia="Times New Roman"/>
                <w:sz w:val="20"/>
                <w:szCs w:val="20"/>
              </w:rPr>
            </w:pPr>
          </w:p>
        </w:tc>
        <w:tc>
          <w:tcPr>
            <w:tcW w:w="50" w:type="pct"/>
            <w:vAlign w:val="center"/>
            <w:hideMark/>
          </w:tcPr>
          <w:p w14:paraId="00D540D5" w14:textId="77777777" w:rsidR="00000000" w:rsidRDefault="003A1B5D">
            <w:pPr>
              <w:rPr>
                <w:rFonts w:eastAsia="Times New Roman"/>
                <w:sz w:val="20"/>
                <w:szCs w:val="20"/>
              </w:rPr>
            </w:pPr>
          </w:p>
        </w:tc>
        <w:tc>
          <w:tcPr>
            <w:tcW w:w="579" w:type="pct"/>
            <w:vAlign w:val="center"/>
            <w:hideMark/>
          </w:tcPr>
          <w:p w14:paraId="1024EBBF" w14:textId="77777777" w:rsidR="00000000" w:rsidRDefault="003A1B5D">
            <w:pPr>
              <w:rPr>
                <w:rFonts w:eastAsia="Times New Roman"/>
                <w:sz w:val="20"/>
                <w:szCs w:val="20"/>
              </w:rPr>
            </w:pPr>
          </w:p>
        </w:tc>
        <w:tc>
          <w:tcPr>
            <w:tcW w:w="50" w:type="pct"/>
            <w:vAlign w:val="center"/>
            <w:hideMark/>
          </w:tcPr>
          <w:p w14:paraId="7374B2FC" w14:textId="77777777" w:rsidR="00000000" w:rsidRDefault="003A1B5D">
            <w:pPr>
              <w:rPr>
                <w:rFonts w:eastAsia="Times New Roman"/>
                <w:sz w:val="20"/>
                <w:szCs w:val="20"/>
              </w:rPr>
            </w:pPr>
          </w:p>
        </w:tc>
      </w:tr>
      <w:tr w:rsidR="00000000" w14:paraId="7201983C" w14:textId="77777777">
        <w:trPr>
          <w:trHeight w:val="160"/>
          <w:tblCellSpacing w:w="15" w:type="dxa"/>
        </w:trPr>
        <w:tc>
          <w:tcPr>
            <w:tcW w:w="0" w:type="auto"/>
            <w:vAlign w:val="bottom"/>
            <w:hideMark/>
          </w:tcPr>
          <w:p w14:paraId="2080CD04"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0845DDFC"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7B61C39E" w14:textId="77777777" w:rsidR="00000000" w:rsidRDefault="003A1B5D">
            <w:pPr>
              <w:pStyle w:val="a3"/>
              <w:spacing w:before="0" w:beforeAutospacing="0" w:after="0" w:afterAutospacing="0"/>
              <w:jc w:val="center"/>
              <w:rPr>
                <w:sz w:val="16"/>
                <w:szCs w:val="16"/>
              </w:rPr>
            </w:pPr>
            <w:r>
              <w:rPr>
                <w:b/>
                <w:bCs/>
                <w:sz w:val="16"/>
                <w:szCs w:val="16"/>
              </w:rPr>
              <w:t xml:space="preserve">For the Three Months Ended </w:t>
            </w:r>
            <w:r>
              <w:rPr>
                <w:b/>
                <w:bCs/>
                <w:sz w:val="16"/>
                <w:szCs w:val="16"/>
              </w:rPr>
              <w:br/>
              <w:t>September 30</w:t>
            </w:r>
            <w:r>
              <w:rPr>
                <w:b/>
                <w:bCs/>
                <w:sz w:val="16"/>
                <w:szCs w:val="16"/>
              </w:rPr>
              <w:t>,</w:t>
            </w:r>
          </w:p>
        </w:tc>
        <w:tc>
          <w:tcPr>
            <w:tcW w:w="0" w:type="auto"/>
            <w:vAlign w:val="bottom"/>
            <w:hideMark/>
          </w:tcPr>
          <w:p w14:paraId="709A71A4"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70069A7C"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48617544" w14:textId="77777777" w:rsidR="00000000" w:rsidRDefault="003A1B5D">
            <w:pPr>
              <w:pStyle w:val="a3"/>
              <w:spacing w:before="0" w:beforeAutospacing="0" w:after="0" w:afterAutospacing="0"/>
              <w:jc w:val="center"/>
              <w:rPr>
                <w:sz w:val="16"/>
                <w:szCs w:val="16"/>
              </w:rPr>
            </w:pPr>
            <w:r>
              <w:rPr>
                <w:b/>
                <w:bCs/>
                <w:sz w:val="16"/>
                <w:szCs w:val="16"/>
              </w:rPr>
              <w:t xml:space="preserve">For the Nine Months Ended </w:t>
            </w:r>
            <w:r>
              <w:rPr>
                <w:b/>
                <w:bCs/>
                <w:sz w:val="16"/>
                <w:szCs w:val="16"/>
              </w:rPr>
              <w:br/>
              <w:t>September 30</w:t>
            </w:r>
            <w:r>
              <w:rPr>
                <w:b/>
                <w:bCs/>
                <w:sz w:val="16"/>
                <w:szCs w:val="16"/>
              </w:rPr>
              <w:t>,</w:t>
            </w:r>
          </w:p>
        </w:tc>
        <w:tc>
          <w:tcPr>
            <w:tcW w:w="0" w:type="auto"/>
            <w:vAlign w:val="bottom"/>
            <w:hideMark/>
          </w:tcPr>
          <w:p w14:paraId="5DDC9309"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275080BA" w14:textId="77777777">
        <w:trPr>
          <w:trHeight w:val="160"/>
          <w:tblCellSpacing w:w="15" w:type="dxa"/>
        </w:trPr>
        <w:tc>
          <w:tcPr>
            <w:tcW w:w="0" w:type="auto"/>
            <w:vAlign w:val="bottom"/>
            <w:hideMark/>
          </w:tcPr>
          <w:p w14:paraId="423A1914"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49E0E1AB"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33E28F3"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12B5C53A"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625BF877"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D57E87C"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307ED588"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0CD29F3F"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733E964"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6D8D48F6"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603508F1"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DA4DDE4"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68E15396"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6BE62B2B" w14:textId="77777777">
        <w:trPr>
          <w:trHeight w:val="200"/>
          <w:tblCellSpacing w:w="15" w:type="dxa"/>
        </w:trPr>
        <w:tc>
          <w:tcPr>
            <w:tcW w:w="0" w:type="auto"/>
            <w:hideMark/>
          </w:tcPr>
          <w:p w14:paraId="5667343D" w14:textId="77777777" w:rsidR="00000000" w:rsidRDefault="003A1B5D">
            <w:pPr>
              <w:pStyle w:val="a3"/>
              <w:spacing w:before="0" w:beforeAutospacing="0" w:after="0" w:afterAutospacing="0"/>
              <w:rPr>
                <w:sz w:val="20"/>
                <w:szCs w:val="20"/>
              </w:rPr>
            </w:pPr>
            <w:r>
              <w:rPr>
                <w:b/>
                <w:bCs/>
                <w:sz w:val="20"/>
                <w:szCs w:val="20"/>
              </w:rPr>
              <w:t>Segment</w:t>
            </w:r>
            <w:r>
              <w:rPr>
                <w:b/>
                <w:bCs/>
                <w:sz w:val="20"/>
                <w:szCs w:val="20"/>
              </w:rPr>
              <w:t>:</w:t>
            </w:r>
          </w:p>
        </w:tc>
        <w:tc>
          <w:tcPr>
            <w:tcW w:w="0" w:type="auto"/>
            <w:vAlign w:val="bottom"/>
            <w:hideMark/>
          </w:tcPr>
          <w:p w14:paraId="504BEBBD"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0B9F9ADD"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0504C4AA"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2F95FF6" w14:textId="77777777" w:rsidR="00000000" w:rsidRDefault="003A1B5D">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3E32EAB"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4D8228D7"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1565AE54"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78DD8768"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65A09824"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CF9848D" w14:textId="77777777" w:rsidR="00000000" w:rsidRDefault="003A1B5D">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B5F0F81"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38E2B27D" w14:textId="77777777" w:rsidR="00000000" w:rsidRDefault="003A1B5D">
            <w:pPr>
              <w:pStyle w:val="a3"/>
              <w:spacing w:before="0" w:beforeAutospacing="0" w:after="0" w:afterAutospacing="0"/>
              <w:jc w:val="right"/>
              <w:rPr>
                <w:sz w:val="20"/>
                <w:szCs w:val="20"/>
              </w:rPr>
            </w:pPr>
            <w:r>
              <w:rPr>
                <w:sz w:val="20"/>
                <w:szCs w:val="20"/>
              </w:rPr>
              <w:t> </w:t>
            </w:r>
          </w:p>
        </w:tc>
      </w:tr>
      <w:tr w:rsidR="00000000" w14:paraId="53765286" w14:textId="77777777">
        <w:trPr>
          <w:trHeight w:val="200"/>
          <w:tblCellSpacing w:w="15" w:type="dxa"/>
        </w:trPr>
        <w:tc>
          <w:tcPr>
            <w:tcW w:w="0" w:type="auto"/>
            <w:hideMark/>
          </w:tcPr>
          <w:p w14:paraId="7812EE94" w14:textId="77777777" w:rsidR="00000000" w:rsidRDefault="003A1B5D">
            <w:pPr>
              <w:pStyle w:val="a3"/>
              <w:spacing w:before="0" w:beforeAutospacing="0" w:after="0" w:afterAutospacing="0"/>
              <w:ind w:left="200"/>
              <w:rPr>
                <w:sz w:val="20"/>
                <w:szCs w:val="20"/>
              </w:rPr>
            </w:pPr>
            <w:r>
              <w:rPr>
                <w:sz w:val="20"/>
                <w:szCs w:val="20"/>
              </w:rPr>
              <w:t>Safet</w:t>
            </w:r>
            <w:r>
              <w:rPr>
                <w:sz w:val="20"/>
                <w:szCs w:val="20"/>
              </w:rPr>
              <w:t>y</w:t>
            </w:r>
          </w:p>
        </w:tc>
        <w:tc>
          <w:tcPr>
            <w:tcW w:w="0" w:type="auto"/>
            <w:vAlign w:val="bottom"/>
            <w:hideMark/>
          </w:tcPr>
          <w:p w14:paraId="09579B9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0F8415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EEEEEB5" w14:textId="77777777" w:rsidR="00000000" w:rsidRDefault="003A1B5D">
            <w:pPr>
              <w:pStyle w:val="a3"/>
              <w:spacing w:before="0" w:beforeAutospacing="0" w:after="0" w:afterAutospacing="0"/>
              <w:jc w:val="right"/>
              <w:rPr>
                <w:sz w:val="20"/>
                <w:szCs w:val="20"/>
              </w:rPr>
            </w:pPr>
            <w:r>
              <w:rPr>
                <w:b/>
                <w:bCs/>
                <w:sz w:val="20"/>
                <w:szCs w:val="20"/>
              </w:rPr>
              <w:t>82.</w:t>
            </w:r>
            <w:r>
              <w:rPr>
                <w:b/>
                <w:bCs/>
                <w:sz w:val="20"/>
                <w:szCs w:val="20"/>
              </w:rPr>
              <w:t>5</w:t>
            </w:r>
          </w:p>
        </w:tc>
        <w:tc>
          <w:tcPr>
            <w:tcW w:w="0" w:type="auto"/>
            <w:noWrap/>
            <w:vAlign w:val="bottom"/>
            <w:hideMark/>
          </w:tcPr>
          <w:p w14:paraId="3F4882A0"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5BC81681"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26143FA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1DB0657" w14:textId="77777777" w:rsidR="00000000" w:rsidRDefault="003A1B5D">
            <w:pPr>
              <w:pStyle w:val="a3"/>
              <w:spacing w:before="0" w:beforeAutospacing="0" w:after="0" w:afterAutospacing="0"/>
              <w:jc w:val="right"/>
              <w:rPr>
                <w:sz w:val="20"/>
                <w:szCs w:val="20"/>
              </w:rPr>
            </w:pPr>
            <w:r>
              <w:rPr>
                <w:sz w:val="20"/>
                <w:szCs w:val="20"/>
              </w:rPr>
              <w:t>86.</w:t>
            </w:r>
            <w:r>
              <w:rPr>
                <w:sz w:val="20"/>
                <w:szCs w:val="20"/>
              </w:rPr>
              <w:t>8</w:t>
            </w:r>
          </w:p>
        </w:tc>
        <w:tc>
          <w:tcPr>
            <w:tcW w:w="0" w:type="auto"/>
            <w:noWrap/>
            <w:vAlign w:val="bottom"/>
            <w:hideMark/>
          </w:tcPr>
          <w:p w14:paraId="7A8F3089"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6245FE9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243D1D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ED55AA0" w14:textId="77777777" w:rsidR="00000000" w:rsidRDefault="003A1B5D">
            <w:pPr>
              <w:pStyle w:val="a3"/>
              <w:spacing w:before="0" w:beforeAutospacing="0" w:after="0" w:afterAutospacing="0"/>
              <w:jc w:val="right"/>
              <w:rPr>
                <w:sz w:val="20"/>
                <w:szCs w:val="20"/>
              </w:rPr>
            </w:pPr>
            <w:r>
              <w:rPr>
                <w:b/>
                <w:bCs/>
                <w:sz w:val="20"/>
                <w:szCs w:val="20"/>
              </w:rPr>
              <w:t>83.</w:t>
            </w:r>
            <w:r>
              <w:rPr>
                <w:b/>
                <w:bCs/>
                <w:sz w:val="20"/>
                <w:szCs w:val="20"/>
              </w:rPr>
              <w:t>5</w:t>
            </w:r>
          </w:p>
        </w:tc>
        <w:tc>
          <w:tcPr>
            <w:tcW w:w="0" w:type="auto"/>
            <w:noWrap/>
            <w:vAlign w:val="bottom"/>
            <w:hideMark/>
          </w:tcPr>
          <w:p w14:paraId="0A029733"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206F48BC"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6846198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44E49F3" w14:textId="77777777" w:rsidR="00000000" w:rsidRDefault="003A1B5D">
            <w:pPr>
              <w:pStyle w:val="a3"/>
              <w:spacing w:before="0" w:beforeAutospacing="0" w:after="0" w:afterAutospacing="0"/>
              <w:jc w:val="right"/>
              <w:rPr>
                <w:sz w:val="20"/>
                <w:szCs w:val="20"/>
              </w:rPr>
            </w:pPr>
            <w:r>
              <w:rPr>
                <w:sz w:val="20"/>
                <w:szCs w:val="20"/>
              </w:rPr>
              <w:t>85.</w:t>
            </w:r>
            <w:r>
              <w:rPr>
                <w:sz w:val="20"/>
                <w:szCs w:val="20"/>
              </w:rPr>
              <w:t>0</w:t>
            </w:r>
          </w:p>
        </w:tc>
        <w:tc>
          <w:tcPr>
            <w:tcW w:w="0" w:type="auto"/>
            <w:noWrap/>
            <w:vAlign w:val="bottom"/>
            <w:hideMark/>
          </w:tcPr>
          <w:p w14:paraId="2A77DD6C" w14:textId="77777777" w:rsidR="00000000" w:rsidRDefault="003A1B5D">
            <w:pPr>
              <w:pStyle w:val="a3"/>
              <w:spacing w:before="0" w:beforeAutospacing="0" w:after="0" w:afterAutospacing="0"/>
              <w:rPr>
                <w:sz w:val="20"/>
                <w:szCs w:val="20"/>
              </w:rPr>
            </w:pPr>
            <w:r>
              <w:rPr>
                <w:sz w:val="20"/>
                <w:szCs w:val="20"/>
              </w:rPr>
              <w:t>%</w:t>
            </w:r>
          </w:p>
        </w:tc>
      </w:tr>
      <w:tr w:rsidR="00000000" w14:paraId="0BFC608C" w14:textId="77777777">
        <w:trPr>
          <w:trHeight w:val="200"/>
          <w:tblCellSpacing w:w="15" w:type="dxa"/>
        </w:trPr>
        <w:tc>
          <w:tcPr>
            <w:tcW w:w="0" w:type="auto"/>
            <w:hideMark/>
          </w:tcPr>
          <w:p w14:paraId="7D48B3CB" w14:textId="77777777" w:rsidR="00000000" w:rsidRDefault="003A1B5D">
            <w:pPr>
              <w:pStyle w:val="a3"/>
              <w:spacing w:before="0" w:beforeAutospacing="0" w:after="0" w:afterAutospacing="0"/>
              <w:ind w:left="200"/>
              <w:rPr>
                <w:sz w:val="20"/>
                <w:szCs w:val="20"/>
              </w:rPr>
            </w:pPr>
            <w:r>
              <w:rPr>
                <w:sz w:val="20"/>
                <w:szCs w:val="20"/>
              </w:rPr>
              <w:t>Communit</w:t>
            </w:r>
            <w:r>
              <w:rPr>
                <w:sz w:val="20"/>
                <w:szCs w:val="20"/>
              </w:rPr>
              <w:t>y</w:t>
            </w:r>
          </w:p>
        </w:tc>
        <w:tc>
          <w:tcPr>
            <w:tcW w:w="0" w:type="auto"/>
            <w:vAlign w:val="bottom"/>
            <w:hideMark/>
          </w:tcPr>
          <w:p w14:paraId="6926802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50E8F4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A9AE14C" w14:textId="77777777" w:rsidR="00000000" w:rsidRDefault="003A1B5D">
            <w:pPr>
              <w:pStyle w:val="a3"/>
              <w:spacing w:before="0" w:beforeAutospacing="0" w:after="0" w:afterAutospacing="0"/>
              <w:jc w:val="right"/>
              <w:rPr>
                <w:sz w:val="20"/>
                <w:szCs w:val="20"/>
              </w:rPr>
            </w:pPr>
            <w:r>
              <w:rPr>
                <w:b/>
                <w:bCs/>
                <w:sz w:val="20"/>
                <w:szCs w:val="20"/>
              </w:rPr>
              <w:t>4.</w:t>
            </w:r>
            <w:r>
              <w:rPr>
                <w:b/>
                <w:bCs/>
                <w:sz w:val="20"/>
                <w:szCs w:val="20"/>
              </w:rPr>
              <w:t>4</w:t>
            </w:r>
          </w:p>
        </w:tc>
        <w:tc>
          <w:tcPr>
            <w:tcW w:w="0" w:type="auto"/>
            <w:noWrap/>
            <w:vAlign w:val="bottom"/>
            <w:hideMark/>
          </w:tcPr>
          <w:p w14:paraId="42C1DFED"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22B84D3C"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1377AAE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0E31010" w14:textId="77777777" w:rsidR="00000000" w:rsidRDefault="003A1B5D">
            <w:pPr>
              <w:pStyle w:val="a3"/>
              <w:spacing w:before="0" w:beforeAutospacing="0" w:after="0" w:afterAutospacing="0"/>
              <w:jc w:val="right"/>
              <w:rPr>
                <w:sz w:val="20"/>
                <w:szCs w:val="20"/>
              </w:rPr>
            </w:pPr>
            <w:r>
              <w:rPr>
                <w:sz w:val="20"/>
                <w:szCs w:val="20"/>
              </w:rPr>
              <w:t>3.</w:t>
            </w:r>
            <w:r>
              <w:rPr>
                <w:sz w:val="20"/>
                <w:szCs w:val="20"/>
              </w:rPr>
              <w:t>8</w:t>
            </w:r>
          </w:p>
        </w:tc>
        <w:tc>
          <w:tcPr>
            <w:tcW w:w="0" w:type="auto"/>
            <w:noWrap/>
            <w:vAlign w:val="bottom"/>
            <w:hideMark/>
          </w:tcPr>
          <w:p w14:paraId="51EC3AF6"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6E9EC0A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B5216A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73C80F3" w14:textId="77777777" w:rsidR="00000000" w:rsidRDefault="003A1B5D">
            <w:pPr>
              <w:pStyle w:val="a3"/>
              <w:spacing w:before="0" w:beforeAutospacing="0" w:after="0" w:afterAutospacing="0"/>
              <w:jc w:val="right"/>
              <w:rPr>
                <w:sz w:val="20"/>
                <w:szCs w:val="20"/>
              </w:rPr>
            </w:pPr>
            <w:r>
              <w:rPr>
                <w:b/>
                <w:bCs/>
                <w:sz w:val="20"/>
                <w:szCs w:val="20"/>
              </w:rPr>
              <w:t>4.</w:t>
            </w:r>
            <w:r>
              <w:rPr>
                <w:b/>
                <w:bCs/>
                <w:sz w:val="20"/>
                <w:szCs w:val="20"/>
              </w:rPr>
              <w:t>0</w:t>
            </w:r>
          </w:p>
        </w:tc>
        <w:tc>
          <w:tcPr>
            <w:tcW w:w="0" w:type="auto"/>
            <w:noWrap/>
            <w:vAlign w:val="bottom"/>
            <w:hideMark/>
          </w:tcPr>
          <w:p w14:paraId="672BDA85"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186AFE0E"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5BA11B7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EA80098" w14:textId="77777777" w:rsidR="00000000" w:rsidRDefault="003A1B5D">
            <w:pPr>
              <w:pStyle w:val="a3"/>
              <w:spacing w:before="0" w:beforeAutospacing="0" w:after="0" w:afterAutospacing="0"/>
              <w:jc w:val="right"/>
              <w:rPr>
                <w:sz w:val="20"/>
                <w:szCs w:val="20"/>
              </w:rPr>
            </w:pPr>
            <w:r>
              <w:rPr>
                <w:sz w:val="20"/>
                <w:szCs w:val="20"/>
              </w:rPr>
              <w:t>3.</w:t>
            </w:r>
            <w:r>
              <w:rPr>
                <w:sz w:val="20"/>
                <w:szCs w:val="20"/>
              </w:rPr>
              <w:t>2</w:t>
            </w:r>
          </w:p>
        </w:tc>
        <w:tc>
          <w:tcPr>
            <w:tcW w:w="0" w:type="auto"/>
            <w:noWrap/>
            <w:vAlign w:val="bottom"/>
            <w:hideMark/>
          </w:tcPr>
          <w:p w14:paraId="1E2BA8ED" w14:textId="77777777" w:rsidR="00000000" w:rsidRDefault="003A1B5D">
            <w:pPr>
              <w:pStyle w:val="a3"/>
              <w:spacing w:before="0" w:beforeAutospacing="0" w:after="0" w:afterAutospacing="0"/>
              <w:rPr>
                <w:sz w:val="20"/>
                <w:szCs w:val="20"/>
              </w:rPr>
            </w:pPr>
            <w:r>
              <w:rPr>
                <w:sz w:val="20"/>
                <w:szCs w:val="20"/>
              </w:rPr>
              <w:t>%</w:t>
            </w:r>
          </w:p>
        </w:tc>
      </w:tr>
      <w:tr w:rsidR="00000000" w14:paraId="341B881E" w14:textId="77777777">
        <w:trPr>
          <w:trHeight w:val="200"/>
          <w:tblCellSpacing w:w="15" w:type="dxa"/>
        </w:trPr>
        <w:tc>
          <w:tcPr>
            <w:tcW w:w="0" w:type="auto"/>
            <w:hideMark/>
          </w:tcPr>
          <w:p w14:paraId="6C10832B" w14:textId="77777777" w:rsidR="00000000" w:rsidRDefault="003A1B5D">
            <w:pPr>
              <w:pStyle w:val="a3"/>
              <w:spacing w:before="0" w:beforeAutospacing="0" w:after="0" w:afterAutospacing="0"/>
              <w:ind w:left="200"/>
              <w:rPr>
                <w:sz w:val="20"/>
                <w:szCs w:val="20"/>
              </w:rPr>
            </w:pPr>
            <w:r>
              <w:rPr>
                <w:sz w:val="20"/>
                <w:szCs w:val="20"/>
              </w:rPr>
              <w:t>Propertie</w:t>
            </w:r>
            <w:r>
              <w:rPr>
                <w:sz w:val="20"/>
                <w:szCs w:val="20"/>
              </w:rPr>
              <w:t>s</w:t>
            </w:r>
          </w:p>
        </w:tc>
        <w:tc>
          <w:tcPr>
            <w:tcW w:w="0" w:type="auto"/>
            <w:vAlign w:val="bottom"/>
            <w:hideMark/>
          </w:tcPr>
          <w:p w14:paraId="5084FE2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9182AC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F2D64F0" w14:textId="77777777" w:rsidR="00000000" w:rsidRDefault="003A1B5D">
            <w:pPr>
              <w:pStyle w:val="a3"/>
              <w:spacing w:before="0" w:beforeAutospacing="0" w:after="0" w:afterAutospacing="0"/>
              <w:jc w:val="right"/>
              <w:rPr>
                <w:sz w:val="20"/>
                <w:szCs w:val="20"/>
              </w:rPr>
            </w:pPr>
            <w:r>
              <w:rPr>
                <w:b/>
                <w:bCs/>
                <w:sz w:val="20"/>
                <w:szCs w:val="20"/>
              </w:rPr>
              <w:t>13.</w:t>
            </w:r>
            <w:r>
              <w:rPr>
                <w:b/>
                <w:bCs/>
                <w:sz w:val="20"/>
                <w:szCs w:val="20"/>
              </w:rPr>
              <w:t>1</w:t>
            </w:r>
          </w:p>
        </w:tc>
        <w:tc>
          <w:tcPr>
            <w:tcW w:w="0" w:type="auto"/>
            <w:noWrap/>
            <w:vAlign w:val="bottom"/>
            <w:hideMark/>
          </w:tcPr>
          <w:p w14:paraId="1B862CD2"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057241C5"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0B51CF0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C7F01D3" w14:textId="77777777" w:rsidR="00000000" w:rsidRDefault="003A1B5D">
            <w:pPr>
              <w:pStyle w:val="a3"/>
              <w:spacing w:before="0" w:beforeAutospacing="0" w:after="0" w:afterAutospacing="0"/>
              <w:jc w:val="right"/>
              <w:rPr>
                <w:sz w:val="20"/>
                <w:szCs w:val="20"/>
              </w:rPr>
            </w:pPr>
            <w:r>
              <w:rPr>
                <w:sz w:val="20"/>
                <w:szCs w:val="20"/>
              </w:rPr>
              <w:t>9.</w:t>
            </w:r>
            <w:r>
              <w:rPr>
                <w:sz w:val="20"/>
                <w:szCs w:val="20"/>
              </w:rPr>
              <w:t>4</w:t>
            </w:r>
          </w:p>
        </w:tc>
        <w:tc>
          <w:tcPr>
            <w:tcW w:w="0" w:type="auto"/>
            <w:noWrap/>
            <w:vAlign w:val="bottom"/>
            <w:hideMark/>
          </w:tcPr>
          <w:p w14:paraId="0F75D8CB"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370A8EC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B1365F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23C9FFC" w14:textId="77777777" w:rsidR="00000000" w:rsidRDefault="003A1B5D">
            <w:pPr>
              <w:pStyle w:val="a3"/>
              <w:spacing w:before="0" w:beforeAutospacing="0" w:after="0" w:afterAutospacing="0"/>
              <w:jc w:val="right"/>
              <w:rPr>
                <w:sz w:val="20"/>
                <w:szCs w:val="20"/>
              </w:rPr>
            </w:pPr>
            <w:r>
              <w:rPr>
                <w:b/>
                <w:bCs/>
                <w:sz w:val="20"/>
                <w:szCs w:val="20"/>
              </w:rPr>
              <w:t>12.</w:t>
            </w:r>
            <w:r>
              <w:rPr>
                <w:b/>
                <w:bCs/>
                <w:sz w:val="20"/>
                <w:szCs w:val="20"/>
              </w:rPr>
              <w:t>5</w:t>
            </w:r>
          </w:p>
        </w:tc>
        <w:tc>
          <w:tcPr>
            <w:tcW w:w="0" w:type="auto"/>
            <w:noWrap/>
            <w:vAlign w:val="bottom"/>
            <w:hideMark/>
          </w:tcPr>
          <w:p w14:paraId="0AD250CE"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4172A289"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65D2485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F2E4B5C" w14:textId="77777777" w:rsidR="00000000" w:rsidRDefault="003A1B5D">
            <w:pPr>
              <w:pStyle w:val="a3"/>
              <w:spacing w:before="0" w:beforeAutospacing="0" w:after="0" w:afterAutospacing="0"/>
              <w:jc w:val="right"/>
              <w:rPr>
                <w:sz w:val="20"/>
                <w:szCs w:val="20"/>
              </w:rPr>
            </w:pPr>
            <w:r>
              <w:rPr>
                <w:sz w:val="20"/>
                <w:szCs w:val="20"/>
              </w:rPr>
              <w:t>11.</w:t>
            </w:r>
            <w:r>
              <w:rPr>
                <w:sz w:val="20"/>
                <w:szCs w:val="20"/>
              </w:rPr>
              <w:t>8</w:t>
            </w:r>
          </w:p>
        </w:tc>
        <w:tc>
          <w:tcPr>
            <w:tcW w:w="0" w:type="auto"/>
            <w:noWrap/>
            <w:vAlign w:val="bottom"/>
            <w:hideMark/>
          </w:tcPr>
          <w:p w14:paraId="3E0DD7C5" w14:textId="77777777" w:rsidR="00000000" w:rsidRDefault="003A1B5D">
            <w:pPr>
              <w:pStyle w:val="a3"/>
              <w:spacing w:before="0" w:beforeAutospacing="0" w:after="0" w:afterAutospacing="0"/>
              <w:rPr>
                <w:sz w:val="20"/>
                <w:szCs w:val="20"/>
              </w:rPr>
            </w:pPr>
            <w:r>
              <w:rPr>
                <w:sz w:val="20"/>
                <w:szCs w:val="20"/>
              </w:rPr>
              <w:t>%</w:t>
            </w:r>
          </w:p>
        </w:tc>
      </w:tr>
    </w:tbl>
    <w:p w14:paraId="1F41C1CA" w14:textId="77777777" w:rsidR="00000000" w:rsidRDefault="003A1B5D">
      <w:pPr>
        <w:pStyle w:val="a3"/>
        <w:spacing w:before="0" w:beforeAutospacing="0" w:after="0" w:afterAutospacing="0"/>
        <w:rPr>
          <w:sz w:val="20"/>
          <w:szCs w:val="20"/>
        </w:rPr>
      </w:pPr>
      <w:r>
        <w:rPr>
          <w:sz w:val="20"/>
          <w:szCs w:val="20"/>
        </w:rPr>
        <w:t> </w:t>
      </w:r>
    </w:p>
    <w:p w14:paraId="38B42286" w14:textId="77777777" w:rsidR="00000000" w:rsidRDefault="003A1B5D">
      <w:pPr>
        <w:pStyle w:val="a3"/>
        <w:spacing w:before="120" w:beforeAutospacing="0" w:after="0" w:afterAutospacing="0"/>
        <w:jc w:val="both"/>
        <w:rPr>
          <w:sz w:val="20"/>
          <w:szCs w:val="20"/>
        </w:rPr>
      </w:pPr>
      <w:r>
        <w:rPr>
          <w:b/>
          <w:bCs/>
          <w:i/>
          <w:iCs/>
          <w:sz w:val="20"/>
          <w:szCs w:val="20"/>
        </w:rPr>
        <w:t>Facility Operation</w:t>
      </w:r>
      <w:r>
        <w:rPr>
          <w:b/>
          <w:bCs/>
          <w:i/>
          <w:iCs/>
          <w:sz w:val="20"/>
          <w:szCs w:val="20"/>
        </w:rPr>
        <w:t>s</w:t>
      </w:r>
    </w:p>
    <w:p w14:paraId="719D34BC" w14:textId="77777777" w:rsidR="00000000" w:rsidRDefault="003A1B5D">
      <w:pPr>
        <w:pStyle w:val="a3"/>
        <w:spacing w:before="120" w:beforeAutospacing="0" w:after="0" w:afterAutospacing="0"/>
        <w:jc w:val="both"/>
        <w:rPr>
          <w:sz w:val="20"/>
          <w:szCs w:val="20"/>
        </w:rPr>
      </w:pPr>
      <w:r>
        <w:rPr>
          <w:sz w:val="20"/>
          <w:szCs w:val="20"/>
        </w:rPr>
        <w:t>A key performance indicator we use to measure the revenue and expenses associated with the operation of the correctional, detention, and residential reentry facilities we own or manage is expressed in terms of a compensated man-day, which represents the re</w:t>
      </w:r>
      <w:r>
        <w:rPr>
          <w:sz w:val="20"/>
          <w:szCs w:val="20"/>
        </w:rPr>
        <w:t xml:space="preserve">venue we generate and expenses we incur for one offender for one calendar day. Revenue and expenses per compensated man-day are computed by dividing facility revenue and expenses by the total number of compensated man-days during the period. A compensated </w:t>
      </w:r>
      <w:r>
        <w:rPr>
          <w:sz w:val="20"/>
          <w:szCs w:val="20"/>
        </w:rPr>
        <w:t>man-day represents a calendar day for which we are paid for the occupancy of an offender. We believe the measurement is useful because we are compensated for operating and managing facilities at an offender per diem rate based upon actual or minimum guaran</w:t>
      </w:r>
      <w:r>
        <w:rPr>
          <w:sz w:val="20"/>
          <w:szCs w:val="20"/>
        </w:rPr>
        <w:t>teed occupancy levels. We also measure our costs on a per compensated man-day basis, which is largely dependent upon the number of offenders we accommodate. Further, per compensated man-day measurements are also used to estimate our potential profitability</w:t>
      </w:r>
      <w:r>
        <w:rPr>
          <w:sz w:val="20"/>
          <w:szCs w:val="20"/>
        </w:rPr>
        <w:t xml:space="preserve"> based on certain occupancy levels relative to design capacity. Revenue and expenses per compensated man-day for all of the correctional, detention, an</w:t>
      </w:r>
      <w:r>
        <w:rPr>
          <w:sz w:val="20"/>
          <w:szCs w:val="20"/>
        </w:rPr>
        <w:t>d</w:t>
      </w:r>
      <w:r>
        <w:rPr>
          <w:sz w:val="20"/>
          <w:szCs w:val="20"/>
        </w:rPr>
        <w:t xml:space="preserve"> </w:t>
      </w:r>
    </w:p>
    <w:p w14:paraId="36FD0A22" w14:textId="77777777" w:rsidR="00000000" w:rsidRDefault="003A1B5D">
      <w:pPr>
        <w:pStyle w:val="a3"/>
        <w:spacing w:before="240" w:beforeAutospacing="0" w:after="0" w:afterAutospacing="0"/>
        <w:jc w:val="center"/>
        <w:rPr>
          <w:sz w:val="20"/>
          <w:szCs w:val="20"/>
        </w:rPr>
      </w:pPr>
      <w:r>
        <w:rPr>
          <w:sz w:val="20"/>
          <w:szCs w:val="20"/>
        </w:rPr>
        <w:t>2</w:t>
      </w:r>
      <w:r>
        <w:rPr>
          <w:sz w:val="20"/>
          <w:szCs w:val="20"/>
        </w:rPr>
        <w:t>5</w:t>
      </w:r>
    </w:p>
    <w:p w14:paraId="247A7B51" w14:textId="77777777" w:rsidR="00000000" w:rsidRDefault="003A1B5D">
      <w:pPr>
        <w:rPr>
          <w:rFonts w:eastAsia="Times New Roman"/>
        </w:rPr>
      </w:pPr>
      <w:r>
        <w:rPr>
          <w:rFonts w:eastAsia="Times New Roman"/>
        </w:rPr>
        <w:pict w14:anchorId="65A10BC7">
          <v:rect id="_x0000_i1051" style="width:0;height:1.5pt" o:hralign="center" o:hrstd="t" o:hr="t" fillcolor="#a0a0a0" stroked="f"/>
        </w:pict>
      </w:r>
    </w:p>
    <w:p w14:paraId="09D9986A" w14:textId="77777777" w:rsidR="00000000" w:rsidRDefault="003A1B5D">
      <w:pPr>
        <w:pStyle w:val="a3"/>
        <w:spacing w:before="0" w:beforeAutospacing="0" w:after="0" w:afterAutospacing="0"/>
        <w:rPr>
          <w:sz w:val="20"/>
          <w:szCs w:val="20"/>
        </w:rPr>
      </w:pPr>
      <w:r>
        <w:rPr>
          <w:sz w:val="20"/>
          <w:szCs w:val="20"/>
        </w:rPr>
        <w:t> </w:t>
      </w:r>
    </w:p>
    <w:p w14:paraId="7BB8C0A5" w14:textId="77777777" w:rsidR="00000000" w:rsidRDefault="003A1B5D">
      <w:pPr>
        <w:pStyle w:val="a3"/>
        <w:spacing w:before="120" w:beforeAutospacing="0" w:after="0" w:afterAutospacing="0"/>
        <w:jc w:val="both"/>
        <w:rPr>
          <w:sz w:val="20"/>
          <w:szCs w:val="20"/>
        </w:rPr>
      </w:pPr>
      <w:r>
        <w:rPr>
          <w:sz w:val="20"/>
          <w:szCs w:val="20"/>
        </w:rPr>
        <w:t>residential reentry facilities placed into service that we o</w:t>
      </w:r>
      <w:r>
        <w:rPr>
          <w:sz w:val="20"/>
          <w:szCs w:val="20"/>
        </w:rPr>
        <w:t>wned or managed, exclusive of those held for lease, and for TransCor were as follows for the three and nine months ended September 30, 2022 and 2021</w:t>
      </w:r>
      <w:r>
        <w:rPr>
          <w:sz w:val="20"/>
          <w:szCs w:val="20"/>
        </w:rPr>
        <w:t>:</w:t>
      </w:r>
    </w:p>
    <w:p w14:paraId="79C3653C" w14:textId="77777777" w:rsidR="00000000" w:rsidRDefault="003A1B5D">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66"/>
        <w:gridCol w:w="110"/>
        <w:gridCol w:w="160"/>
        <w:gridCol w:w="610"/>
        <w:gridCol w:w="260"/>
        <w:gridCol w:w="110"/>
        <w:gridCol w:w="160"/>
        <w:gridCol w:w="610"/>
        <w:gridCol w:w="227"/>
        <w:gridCol w:w="110"/>
        <w:gridCol w:w="160"/>
        <w:gridCol w:w="610"/>
        <w:gridCol w:w="260"/>
        <w:gridCol w:w="110"/>
        <w:gridCol w:w="160"/>
        <w:gridCol w:w="610"/>
        <w:gridCol w:w="242"/>
      </w:tblGrid>
      <w:tr w:rsidR="00000000" w14:paraId="40A122C1" w14:textId="77777777">
        <w:trPr>
          <w:tblCellSpacing w:w="15" w:type="dxa"/>
        </w:trPr>
        <w:tc>
          <w:tcPr>
            <w:tcW w:w="2469" w:type="pct"/>
            <w:vAlign w:val="center"/>
            <w:hideMark/>
          </w:tcPr>
          <w:p w14:paraId="580FB332" w14:textId="77777777" w:rsidR="00000000" w:rsidRDefault="003A1B5D">
            <w:pPr>
              <w:rPr>
                <w:sz w:val="20"/>
                <w:szCs w:val="20"/>
              </w:rPr>
            </w:pPr>
          </w:p>
        </w:tc>
        <w:tc>
          <w:tcPr>
            <w:tcW w:w="59" w:type="pct"/>
            <w:vAlign w:val="center"/>
            <w:hideMark/>
          </w:tcPr>
          <w:p w14:paraId="6D5A5D81" w14:textId="77777777" w:rsidR="00000000" w:rsidRDefault="003A1B5D">
            <w:pPr>
              <w:rPr>
                <w:rFonts w:eastAsia="Times New Roman"/>
                <w:sz w:val="20"/>
                <w:szCs w:val="20"/>
              </w:rPr>
            </w:pPr>
          </w:p>
        </w:tc>
        <w:tc>
          <w:tcPr>
            <w:tcW w:w="50" w:type="pct"/>
            <w:vAlign w:val="center"/>
            <w:hideMark/>
          </w:tcPr>
          <w:p w14:paraId="3EC1FD9F" w14:textId="77777777" w:rsidR="00000000" w:rsidRDefault="003A1B5D">
            <w:pPr>
              <w:rPr>
                <w:rFonts w:eastAsia="Times New Roman"/>
                <w:sz w:val="20"/>
                <w:szCs w:val="20"/>
              </w:rPr>
            </w:pPr>
          </w:p>
        </w:tc>
        <w:tc>
          <w:tcPr>
            <w:tcW w:w="469" w:type="pct"/>
            <w:vAlign w:val="center"/>
            <w:hideMark/>
          </w:tcPr>
          <w:p w14:paraId="332B9BFF" w14:textId="77777777" w:rsidR="00000000" w:rsidRDefault="003A1B5D">
            <w:pPr>
              <w:rPr>
                <w:rFonts w:eastAsia="Times New Roman"/>
                <w:sz w:val="20"/>
                <w:szCs w:val="20"/>
              </w:rPr>
            </w:pPr>
          </w:p>
        </w:tc>
        <w:tc>
          <w:tcPr>
            <w:tcW w:w="50" w:type="pct"/>
            <w:vAlign w:val="center"/>
            <w:hideMark/>
          </w:tcPr>
          <w:p w14:paraId="2B0C5A4F" w14:textId="77777777" w:rsidR="00000000" w:rsidRDefault="003A1B5D">
            <w:pPr>
              <w:rPr>
                <w:rFonts w:eastAsia="Times New Roman"/>
                <w:sz w:val="20"/>
                <w:szCs w:val="20"/>
              </w:rPr>
            </w:pPr>
          </w:p>
        </w:tc>
        <w:tc>
          <w:tcPr>
            <w:tcW w:w="59" w:type="pct"/>
            <w:vAlign w:val="center"/>
            <w:hideMark/>
          </w:tcPr>
          <w:p w14:paraId="13F145EB" w14:textId="77777777" w:rsidR="00000000" w:rsidRDefault="003A1B5D">
            <w:pPr>
              <w:rPr>
                <w:rFonts w:eastAsia="Times New Roman"/>
                <w:sz w:val="20"/>
                <w:szCs w:val="20"/>
              </w:rPr>
            </w:pPr>
          </w:p>
        </w:tc>
        <w:tc>
          <w:tcPr>
            <w:tcW w:w="50" w:type="pct"/>
            <w:vAlign w:val="center"/>
            <w:hideMark/>
          </w:tcPr>
          <w:p w14:paraId="2A140B35" w14:textId="77777777" w:rsidR="00000000" w:rsidRDefault="003A1B5D">
            <w:pPr>
              <w:rPr>
                <w:rFonts w:eastAsia="Times New Roman"/>
                <w:sz w:val="20"/>
                <w:szCs w:val="20"/>
              </w:rPr>
            </w:pPr>
          </w:p>
        </w:tc>
        <w:tc>
          <w:tcPr>
            <w:tcW w:w="476" w:type="pct"/>
            <w:vAlign w:val="center"/>
            <w:hideMark/>
          </w:tcPr>
          <w:p w14:paraId="5DFECAFE" w14:textId="77777777" w:rsidR="00000000" w:rsidRDefault="003A1B5D">
            <w:pPr>
              <w:rPr>
                <w:rFonts w:eastAsia="Times New Roman"/>
                <w:sz w:val="20"/>
                <w:szCs w:val="20"/>
              </w:rPr>
            </w:pPr>
          </w:p>
        </w:tc>
        <w:tc>
          <w:tcPr>
            <w:tcW w:w="50" w:type="pct"/>
            <w:vAlign w:val="center"/>
            <w:hideMark/>
          </w:tcPr>
          <w:p w14:paraId="12BE4AD7" w14:textId="77777777" w:rsidR="00000000" w:rsidRDefault="003A1B5D">
            <w:pPr>
              <w:rPr>
                <w:rFonts w:eastAsia="Times New Roman"/>
                <w:sz w:val="20"/>
                <w:szCs w:val="20"/>
              </w:rPr>
            </w:pPr>
          </w:p>
        </w:tc>
        <w:tc>
          <w:tcPr>
            <w:tcW w:w="59" w:type="pct"/>
            <w:vAlign w:val="center"/>
            <w:hideMark/>
          </w:tcPr>
          <w:p w14:paraId="2949E868" w14:textId="77777777" w:rsidR="00000000" w:rsidRDefault="003A1B5D">
            <w:pPr>
              <w:rPr>
                <w:rFonts w:eastAsia="Times New Roman"/>
                <w:sz w:val="20"/>
                <w:szCs w:val="20"/>
              </w:rPr>
            </w:pPr>
          </w:p>
        </w:tc>
        <w:tc>
          <w:tcPr>
            <w:tcW w:w="50" w:type="pct"/>
            <w:vAlign w:val="center"/>
            <w:hideMark/>
          </w:tcPr>
          <w:p w14:paraId="1365B081" w14:textId="77777777" w:rsidR="00000000" w:rsidRDefault="003A1B5D">
            <w:pPr>
              <w:rPr>
                <w:rFonts w:eastAsia="Times New Roman"/>
                <w:sz w:val="20"/>
                <w:szCs w:val="20"/>
              </w:rPr>
            </w:pPr>
          </w:p>
        </w:tc>
        <w:tc>
          <w:tcPr>
            <w:tcW w:w="469" w:type="pct"/>
            <w:vAlign w:val="center"/>
            <w:hideMark/>
          </w:tcPr>
          <w:p w14:paraId="3F310CB8" w14:textId="77777777" w:rsidR="00000000" w:rsidRDefault="003A1B5D">
            <w:pPr>
              <w:rPr>
                <w:rFonts w:eastAsia="Times New Roman"/>
                <w:sz w:val="20"/>
                <w:szCs w:val="20"/>
              </w:rPr>
            </w:pPr>
          </w:p>
        </w:tc>
        <w:tc>
          <w:tcPr>
            <w:tcW w:w="50" w:type="pct"/>
            <w:vAlign w:val="center"/>
            <w:hideMark/>
          </w:tcPr>
          <w:p w14:paraId="57C1D019" w14:textId="77777777" w:rsidR="00000000" w:rsidRDefault="003A1B5D">
            <w:pPr>
              <w:rPr>
                <w:rFonts w:eastAsia="Times New Roman"/>
                <w:sz w:val="20"/>
                <w:szCs w:val="20"/>
              </w:rPr>
            </w:pPr>
          </w:p>
        </w:tc>
        <w:tc>
          <w:tcPr>
            <w:tcW w:w="59" w:type="pct"/>
            <w:vAlign w:val="center"/>
            <w:hideMark/>
          </w:tcPr>
          <w:p w14:paraId="41594671" w14:textId="77777777" w:rsidR="00000000" w:rsidRDefault="003A1B5D">
            <w:pPr>
              <w:rPr>
                <w:rFonts w:eastAsia="Times New Roman"/>
                <w:sz w:val="20"/>
                <w:szCs w:val="20"/>
              </w:rPr>
            </w:pPr>
          </w:p>
        </w:tc>
        <w:tc>
          <w:tcPr>
            <w:tcW w:w="50" w:type="pct"/>
            <w:vAlign w:val="center"/>
            <w:hideMark/>
          </w:tcPr>
          <w:p w14:paraId="18F04474" w14:textId="77777777" w:rsidR="00000000" w:rsidRDefault="003A1B5D">
            <w:pPr>
              <w:rPr>
                <w:rFonts w:eastAsia="Times New Roman"/>
                <w:sz w:val="20"/>
                <w:szCs w:val="20"/>
              </w:rPr>
            </w:pPr>
          </w:p>
        </w:tc>
        <w:tc>
          <w:tcPr>
            <w:tcW w:w="476" w:type="pct"/>
            <w:vAlign w:val="center"/>
            <w:hideMark/>
          </w:tcPr>
          <w:p w14:paraId="547EE317" w14:textId="77777777" w:rsidR="00000000" w:rsidRDefault="003A1B5D">
            <w:pPr>
              <w:rPr>
                <w:rFonts w:eastAsia="Times New Roman"/>
                <w:sz w:val="20"/>
                <w:szCs w:val="20"/>
              </w:rPr>
            </w:pPr>
          </w:p>
        </w:tc>
        <w:tc>
          <w:tcPr>
            <w:tcW w:w="50" w:type="pct"/>
            <w:vAlign w:val="center"/>
            <w:hideMark/>
          </w:tcPr>
          <w:p w14:paraId="22DAD81A" w14:textId="77777777" w:rsidR="00000000" w:rsidRDefault="003A1B5D">
            <w:pPr>
              <w:rPr>
                <w:rFonts w:eastAsia="Times New Roman"/>
                <w:sz w:val="20"/>
                <w:szCs w:val="20"/>
              </w:rPr>
            </w:pPr>
          </w:p>
        </w:tc>
      </w:tr>
      <w:tr w:rsidR="00000000" w14:paraId="4A98E09E" w14:textId="77777777">
        <w:trPr>
          <w:trHeight w:val="160"/>
          <w:tblCellSpacing w:w="15" w:type="dxa"/>
        </w:trPr>
        <w:tc>
          <w:tcPr>
            <w:tcW w:w="0" w:type="auto"/>
            <w:vAlign w:val="bottom"/>
            <w:hideMark/>
          </w:tcPr>
          <w:p w14:paraId="00BF20A1"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3F538426" w14:textId="77777777" w:rsidR="00000000" w:rsidRDefault="003A1B5D">
            <w:pPr>
              <w:pStyle w:val="a3"/>
              <w:spacing w:before="0" w:beforeAutospacing="0" w:after="0" w:afterAutospacing="0"/>
              <w:rPr>
                <w:sz w:val="16"/>
                <w:szCs w:val="16"/>
              </w:rPr>
            </w:pPr>
            <w:r>
              <w:rPr>
                <w:sz w:val="16"/>
                <w:szCs w:val="16"/>
              </w:rPr>
              <w:t> </w:t>
            </w:r>
          </w:p>
        </w:tc>
        <w:tc>
          <w:tcPr>
            <w:tcW w:w="0" w:type="auto"/>
            <w:gridSpan w:val="6"/>
            <w:vAlign w:val="bottom"/>
            <w:hideMark/>
          </w:tcPr>
          <w:p w14:paraId="02018079" w14:textId="77777777" w:rsidR="00000000" w:rsidRDefault="003A1B5D">
            <w:pPr>
              <w:pStyle w:val="a3"/>
              <w:spacing w:before="0" w:beforeAutospacing="0" w:after="0" w:afterAutospacing="0"/>
              <w:jc w:val="center"/>
              <w:rPr>
                <w:sz w:val="16"/>
                <w:szCs w:val="16"/>
              </w:rPr>
            </w:pPr>
            <w:r>
              <w:rPr>
                <w:b/>
                <w:bCs/>
                <w:sz w:val="16"/>
                <w:szCs w:val="16"/>
              </w:rPr>
              <w:t xml:space="preserve">For the Three Months Ended </w:t>
            </w:r>
            <w:r>
              <w:rPr>
                <w:b/>
                <w:bCs/>
                <w:sz w:val="16"/>
                <w:szCs w:val="16"/>
              </w:rPr>
              <w:br/>
              <w:t>September 30</w:t>
            </w:r>
            <w:r>
              <w:rPr>
                <w:b/>
                <w:bCs/>
                <w:sz w:val="16"/>
                <w:szCs w:val="16"/>
              </w:rPr>
              <w:t>,</w:t>
            </w:r>
          </w:p>
        </w:tc>
        <w:tc>
          <w:tcPr>
            <w:tcW w:w="0" w:type="auto"/>
            <w:vAlign w:val="bottom"/>
            <w:hideMark/>
          </w:tcPr>
          <w:p w14:paraId="0EAA58A8"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3817EF70" w14:textId="77777777" w:rsidR="00000000" w:rsidRDefault="003A1B5D">
            <w:pPr>
              <w:pStyle w:val="a3"/>
              <w:spacing w:before="0" w:beforeAutospacing="0" w:after="0" w:afterAutospacing="0"/>
              <w:rPr>
                <w:sz w:val="16"/>
                <w:szCs w:val="16"/>
              </w:rPr>
            </w:pPr>
            <w:r>
              <w:rPr>
                <w:sz w:val="16"/>
                <w:szCs w:val="16"/>
              </w:rPr>
              <w:t> </w:t>
            </w:r>
          </w:p>
        </w:tc>
        <w:tc>
          <w:tcPr>
            <w:tcW w:w="0" w:type="auto"/>
            <w:gridSpan w:val="6"/>
            <w:vAlign w:val="bottom"/>
            <w:hideMark/>
          </w:tcPr>
          <w:p w14:paraId="09497455" w14:textId="77777777" w:rsidR="00000000" w:rsidRDefault="003A1B5D">
            <w:pPr>
              <w:pStyle w:val="a3"/>
              <w:spacing w:before="0" w:beforeAutospacing="0" w:after="0" w:afterAutospacing="0"/>
              <w:jc w:val="center"/>
              <w:rPr>
                <w:sz w:val="16"/>
                <w:szCs w:val="16"/>
              </w:rPr>
            </w:pPr>
            <w:r>
              <w:rPr>
                <w:b/>
                <w:bCs/>
                <w:sz w:val="16"/>
                <w:szCs w:val="16"/>
              </w:rPr>
              <w:t xml:space="preserve">For the Nine Months Ended </w:t>
            </w:r>
            <w:r>
              <w:rPr>
                <w:b/>
                <w:bCs/>
                <w:sz w:val="16"/>
                <w:szCs w:val="16"/>
              </w:rPr>
              <w:br/>
              <w:t>September 30</w:t>
            </w:r>
            <w:r>
              <w:rPr>
                <w:b/>
                <w:bCs/>
                <w:sz w:val="16"/>
                <w:szCs w:val="16"/>
              </w:rPr>
              <w:t>,</w:t>
            </w:r>
          </w:p>
        </w:tc>
        <w:tc>
          <w:tcPr>
            <w:tcW w:w="0" w:type="auto"/>
            <w:vAlign w:val="bottom"/>
            <w:hideMark/>
          </w:tcPr>
          <w:p w14:paraId="62008FC8"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43A51BC2" w14:textId="77777777">
        <w:trPr>
          <w:trHeight w:val="160"/>
          <w:tblCellSpacing w:w="15" w:type="dxa"/>
        </w:trPr>
        <w:tc>
          <w:tcPr>
            <w:tcW w:w="0" w:type="auto"/>
            <w:vAlign w:val="bottom"/>
            <w:hideMark/>
          </w:tcPr>
          <w:p w14:paraId="65EDFBFE"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75E91D01"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0B0AB87C"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554301C"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79C66B73"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4C150D58"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5EADB877"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498AA2B8"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66913F7D"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6D3D85A9"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6C3D89C5"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0FDB41A1"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69718917"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703A82F2" w14:textId="77777777">
        <w:trPr>
          <w:trHeight w:val="200"/>
          <w:tblCellSpacing w:w="15" w:type="dxa"/>
        </w:trPr>
        <w:tc>
          <w:tcPr>
            <w:tcW w:w="0" w:type="auto"/>
            <w:hideMark/>
          </w:tcPr>
          <w:p w14:paraId="3026CA9A" w14:textId="77777777" w:rsidR="00000000" w:rsidRDefault="003A1B5D">
            <w:pPr>
              <w:pStyle w:val="a3"/>
              <w:spacing w:before="0" w:beforeAutospacing="0" w:after="0" w:afterAutospacing="0"/>
              <w:rPr>
                <w:sz w:val="20"/>
                <w:szCs w:val="20"/>
              </w:rPr>
            </w:pPr>
            <w:r>
              <w:rPr>
                <w:sz w:val="20"/>
                <w:szCs w:val="20"/>
              </w:rPr>
              <w:t>Revenue per compensated man-da</w:t>
            </w:r>
            <w:r>
              <w:rPr>
                <w:sz w:val="20"/>
                <w:szCs w:val="20"/>
              </w:rPr>
              <w:t>y</w:t>
            </w:r>
          </w:p>
        </w:tc>
        <w:tc>
          <w:tcPr>
            <w:tcW w:w="0" w:type="auto"/>
            <w:vAlign w:val="bottom"/>
            <w:hideMark/>
          </w:tcPr>
          <w:p w14:paraId="5B3749B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313CE2A"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59D9158C" w14:textId="77777777" w:rsidR="00000000" w:rsidRDefault="003A1B5D">
            <w:pPr>
              <w:pStyle w:val="a3"/>
              <w:spacing w:before="0" w:beforeAutospacing="0" w:after="0" w:afterAutospacing="0"/>
              <w:jc w:val="right"/>
              <w:rPr>
                <w:sz w:val="20"/>
                <w:szCs w:val="20"/>
              </w:rPr>
            </w:pPr>
            <w:r>
              <w:rPr>
                <w:b/>
                <w:bCs/>
                <w:sz w:val="20"/>
                <w:szCs w:val="20"/>
              </w:rPr>
              <w:t>93.2</w:t>
            </w:r>
            <w:r>
              <w:rPr>
                <w:b/>
                <w:bCs/>
                <w:sz w:val="20"/>
                <w:szCs w:val="20"/>
              </w:rPr>
              <w:t>0</w:t>
            </w:r>
          </w:p>
        </w:tc>
        <w:tc>
          <w:tcPr>
            <w:tcW w:w="0" w:type="auto"/>
            <w:noWrap/>
            <w:vAlign w:val="bottom"/>
            <w:hideMark/>
          </w:tcPr>
          <w:p w14:paraId="781C721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6522BE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96B42D1"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32EF162E" w14:textId="77777777" w:rsidR="00000000" w:rsidRDefault="003A1B5D">
            <w:pPr>
              <w:pStyle w:val="a3"/>
              <w:spacing w:before="0" w:beforeAutospacing="0" w:after="0" w:afterAutospacing="0"/>
              <w:jc w:val="right"/>
              <w:rPr>
                <w:sz w:val="20"/>
                <w:szCs w:val="20"/>
              </w:rPr>
            </w:pPr>
            <w:r>
              <w:rPr>
                <w:sz w:val="20"/>
                <w:szCs w:val="20"/>
              </w:rPr>
              <w:t>90.0</w:t>
            </w:r>
            <w:r>
              <w:rPr>
                <w:sz w:val="20"/>
                <w:szCs w:val="20"/>
              </w:rPr>
              <w:t>2</w:t>
            </w:r>
          </w:p>
        </w:tc>
        <w:tc>
          <w:tcPr>
            <w:tcW w:w="0" w:type="auto"/>
            <w:noWrap/>
            <w:vAlign w:val="bottom"/>
            <w:hideMark/>
          </w:tcPr>
          <w:p w14:paraId="1932BCC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A80DE8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CE4EE41"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059502F7" w14:textId="77777777" w:rsidR="00000000" w:rsidRDefault="003A1B5D">
            <w:pPr>
              <w:pStyle w:val="a3"/>
              <w:spacing w:before="0" w:beforeAutospacing="0" w:after="0" w:afterAutospacing="0"/>
              <w:jc w:val="right"/>
              <w:rPr>
                <w:sz w:val="20"/>
                <w:szCs w:val="20"/>
              </w:rPr>
            </w:pPr>
            <w:r>
              <w:rPr>
                <w:b/>
                <w:bCs/>
                <w:sz w:val="20"/>
                <w:szCs w:val="20"/>
              </w:rPr>
              <w:t>92.8</w:t>
            </w:r>
            <w:r>
              <w:rPr>
                <w:b/>
                <w:bCs/>
                <w:sz w:val="20"/>
                <w:szCs w:val="20"/>
              </w:rPr>
              <w:t>6</w:t>
            </w:r>
          </w:p>
        </w:tc>
        <w:tc>
          <w:tcPr>
            <w:tcW w:w="0" w:type="auto"/>
            <w:noWrap/>
            <w:vAlign w:val="bottom"/>
            <w:hideMark/>
          </w:tcPr>
          <w:p w14:paraId="409F7EE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1D4D84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D79427B"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4FF82EBE" w14:textId="77777777" w:rsidR="00000000" w:rsidRDefault="003A1B5D">
            <w:pPr>
              <w:pStyle w:val="a3"/>
              <w:spacing w:before="0" w:beforeAutospacing="0" w:after="0" w:afterAutospacing="0"/>
              <w:jc w:val="right"/>
              <w:rPr>
                <w:sz w:val="20"/>
                <w:szCs w:val="20"/>
              </w:rPr>
            </w:pPr>
            <w:r>
              <w:rPr>
                <w:sz w:val="20"/>
                <w:szCs w:val="20"/>
              </w:rPr>
              <w:t>89.7</w:t>
            </w:r>
            <w:r>
              <w:rPr>
                <w:sz w:val="20"/>
                <w:szCs w:val="20"/>
              </w:rPr>
              <w:t>4</w:t>
            </w:r>
          </w:p>
        </w:tc>
        <w:tc>
          <w:tcPr>
            <w:tcW w:w="0" w:type="auto"/>
            <w:noWrap/>
            <w:vAlign w:val="bottom"/>
            <w:hideMark/>
          </w:tcPr>
          <w:p w14:paraId="7F26027D" w14:textId="77777777" w:rsidR="00000000" w:rsidRDefault="003A1B5D">
            <w:pPr>
              <w:pStyle w:val="a3"/>
              <w:spacing w:before="0" w:beforeAutospacing="0" w:after="0" w:afterAutospacing="0"/>
              <w:rPr>
                <w:sz w:val="20"/>
                <w:szCs w:val="20"/>
              </w:rPr>
            </w:pPr>
            <w:r>
              <w:rPr>
                <w:sz w:val="20"/>
                <w:szCs w:val="20"/>
              </w:rPr>
              <w:t> </w:t>
            </w:r>
          </w:p>
        </w:tc>
      </w:tr>
      <w:tr w:rsidR="00000000" w14:paraId="36345377" w14:textId="77777777">
        <w:trPr>
          <w:trHeight w:val="200"/>
          <w:tblCellSpacing w:w="15" w:type="dxa"/>
        </w:trPr>
        <w:tc>
          <w:tcPr>
            <w:tcW w:w="0" w:type="auto"/>
            <w:hideMark/>
          </w:tcPr>
          <w:p w14:paraId="0FBE82C4" w14:textId="77777777" w:rsidR="00000000" w:rsidRDefault="003A1B5D">
            <w:pPr>
              <w:pStyle w:val="a3"/>
              <w:spacing w:before="0" w:beforeAutospacing="0" w:after="0" w:afterAutospacing="0"/>
              <w:rPr>
                <w:sz w:val="20"/>
                <w:szCs w:val="20"/>
              </w:rPr>
            </w:pPr>
            <w:r>
              <w:rPr>
                <w:sz w:val="20"/>
                <w:szCs w:val="20"/>
              </w:rPr>
              <w:t>Operating expenses per compensated man-day</w:t>
            </w:r>
            <w:r>
              <w:rPr>
                <w:sz w:val="20"/>
                <w:szCs w:val="20"/>
              </w:rPr>
              <w:t>:</w:t>
            </w:r>
          </w:p>
        </w:tc>
        <w:tc>
          <w:tcPr>
            <w:tcW w:w="0" w:type="auto"/>
            <w:vAlign w:val="bottom"/>
            <w:hideMark/>
          </w:tcPr>
          <w:p w14:paraId="1AAB4EA1"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38F43D85"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0CE8F8A7"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6097D045"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3B1DCA59"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00E885AA"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735C6940"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3B3EB9AF"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70663022"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1B518615"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2191A5AD"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6B8DB3B7" w14:textId="77777777" w:rsidR="00000000" w:rsidRDefault="003A1B5D">
            <w:pPr>
              <w:pStyle w:val="a3"/>
              <w:spacing w:before="0" w:beforeAutospacing="0" w:after="0" w:afterAutospacing="0"/>
              <w:jc w:val="right"/>
              <w:rPr>
                <w:sz w:val="20"/>
                <w:szCs w:val="20"/>
              </w:rPr>
            </w:pPr>
            <w:r>
              <w:rPr>
                <w:sz w:val="20"/>
                <w:szCs w:val="20"/>
              </w:rPr>
              <w:t> </w:t>
            </w:r>
          </w:p>
        </w:tc>
      </w:tr>
      <w:tr w:rsidR="00000000" w14:paraId="737062DE" w14:textId="77777777">
        <w:trPr>
          <w:trHeight w:val="200"/>
          <w:tblCellSpacing w:w="15" w:type="dxa"/>
        </w:trPr>
        <w:tc>
          <w:tcPr>
            <w:tcW w:w="0" w:type="auto"/>
            <w:hideMark/>
          </w:tcPr>
          <w:p w14:paraId="1072C9EF" w14:textId="77777777" w:rsidR="00000000" w:rsidRDefault="003A1B5D">
            <w:pPr>
              <w:pStyle w:val="a3"/>
              <w:spacing w:before="0" w:beforeAutospacing="0" w:after="0" w:afterAutospacing="0"/>
              <w:ind w:left="200"/>
              <w:rPr>
                <w:sz w:val="20"/>
                <w:szCs w:val="20"/>
              </w:rPr>
            </w:pPr>
            <w:r>
              <w:rPr>
                <w:sz w:val="20"/>
                <w:szCs w:val="20"/>
              </w:rPr>
              <w:t>Fixed expens</w:t>
            </w:r>
            <w:r>
              <w:rPr>
                <w:sz w:val="20"/>
                <w:szCs w:val="20"/>
              </w:rPr>
              <w:t>e</w:t>
            </w:r>
          </w:p>
        </w:tc>
        <w:tc>
          <w:tcPr>
            <w:tcW w:w="0" w:type="auto"/>
            <w:vAlign w:val="bottom"/>
            <w:hideMark/>
          </w:tcPr>
          <w:p w14:paraId="1EB9972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0E8E8B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234B91B" w14:textId="77777777" w:rsidR="00000000" w:rsidRDefault="003A1B5D">
            <w:pPr>
              <w:pStyle w:val="a3"/>
              <w:spacing w:before="0" w:beforeAutospacing="0" w:after="0" w:afterAutospacing="0"/>
              <w:jc w:val="right"/>
              <w:rPr>
                <w:sz w:val="20"/>
                <w:szCs w:val="20"/>
              </w:rPr>
            </w:pPr>
            <w:r>
              <w:rPr>
                <w:b/>
                <w:bCs/>
                <w:sz w:val="20"/>
                <w:szCs w:val="20"/>
              </w:rPr>
              <w:t>53.1</w:t>
            </w:r>
            <w:r>
              <w:rPr>
                <w:b/>
                <w:bCs/>
                <w:sz w:val="20"/>
                <w:szCs w:val="20"/>
              </w:rPr>
              <w:t>0</w:t>
            </w:r>
          </w:p>
        </w:tc>
        <w:tc>
          <w:tcPr>
            <w:tcW w:w="0" w:type="auto"/>
            <w:noWrap/>
            <w:vAlign w:val="bottom"/>
            <w:hideMark/>
          </w:tcPr>
          <w:p w14:paraId="0BAE079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E6704D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130F6F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E7FDD58" w14:textId="77777777" w:rsidR="00000000" w:rsidRDefault="003A1B5D">
            <w:pPr>
              <w:pStyle w:val="a3"/>
              <w:spacing w:before="0" w:beforeAutospacing="0" w:after="0" w:afterAutospacing="0"/>
              <w:jc w:val="right"/>
              <w:rPr>
                <w:sz w:val="20"/>
                <w:szCs w:val="20"/>
              </w:rPr>
            </w:pPr>
            <w:r>
              <w:rPr>
                <w:sz w:val="20"/>
                <w:szCs w:val="20"/>
              </w:rPr>
              <w:t>47.7</w:t>
            </w:r>
            <w:r>
              <w:rPr>
                <w:sz w:val="20"/>
                <w:szCs w:val="20"/>
              </w:rPr>
              <w:t>0</w:t>
            </w:r>
          </w:p>
        </w:tc>
        <w:tc>
          <w:tcPr>
            <w:tcW w:w="0" w:type="auto"/>
            <w:noWrap/>
            <w:vAlign w:val="bottom"/>
            <w:hideMark/>
          </w:tcPr>
          <w:p w14:paraId="5A5B2A7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67A267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721DB3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8E404A0" w14:textId="77777777" w:rsidR="00000000" w:rsidRDefault="003A1B5D">
            <w:pPr>
              <w:pStyle w:val="a3"/>
              <w:spacing w:before="0" w:beforeAutospacing="0" w:after="0" w:afterAutospacing="0"/>
              <w:jc w:val="right"/>
              <w:rPr>
                <w:sz w:val="20"/>
                <w:szCs w:val="20"/>
              </w:rPr>
            </w:pPr>
            <w:r>
              <w:rPr>
                <w:b/>
                <w:bCs/>
                <w:sz w:val="20"/>
                <w:szCs w:val="20"/>
              </w:rPr>
              <w:t>51.6</w:t>
            </w:r>
            <w:r>
              <w:rPr>
                <w:b/>
                <w:bCs/>
                <w:sz w:val="20"/>
                <w:szCs w:val="20"/>
              </w:rPr>
              <w:t>2</w:t>
            </w:r>
          </w:p>
        </w:tc>
        <w:tc>
          <w:tcPr>
            <w:tcW w:w="0" w:type="auto"/>
            <w:noWrap/>
            <w:vAlign w:val="bottom"/>
            <w:hideMark/>
          </w:tcPr>
          <w:p w14:paraId="5E92760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3C7710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5478B4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4B81BE9" w14:textId="77777777" w:rsidR="00000000" w:rsidRDefault="003A1B5D">
            <w:pPr>
              <w:pStyle w:val="a3"/>
              <w:spacing w:before="0" w:beforeAutospacing="0" w:after="0" w:afterAutospacing="0"/>
              <w:jc w:val="right"/>
              <w:rPr>
                <w:sz w:val="20"/>
                <w:szCs w:val="20"/>
              </w:rPr>
            </w:pPr>
            <w:r>
              <w:rPr>
                <w:sz w:val="20"/>
                <w:szCs w:val="20"/>
              </w:rPr>
              <w:t>48.0</w:t>
            </w:r>
            <w:r>
              <w:rPr>
                <w:sz w:val="20"/>
                <w:szCs w:val="20"/>
              </w:rPr>
              <w:t>8</w:t>
            </w:r>
          </w:p>
        </w:tc>
        <w:tc>
          <w:tcPr>
            <w:tcW w:w="0" w:type="auto"/>
            <w:noWrap/>
            <w:vAlign w:val="bottom"/>
            <w:hideMark/>
          </w:tcPr>
          <w:p w14:paraId="461374B0" w14:textId="77777777" w:rsidR="00000000" w:rsidRDefault="003A1B5D">
            <w:pPr>
              <w:pStyle w:val="a3"/>
              <w:spacing w:before="0" w:beforeAutospacing="0" w:after="0" w:afterAutospacing="0"/>
              <w:rPr>
                <w:sz w:val="20"/>
                <w:szCs w:val="20"/>
              </w:rPr>
            </w:pPr>
            <w:r>
              <w:rPr>
                <w:sz w:val="20"/>
                <w:szCs w:val="20"/>
              </w:rPr>
              <w:t> </w:t>
            </w:r>
          </w:p>
        </w:tc>
      </w:tr>
      <w:tr w:rsidR="00000000" w14:paraId="2B55F266" w14:textId="77777777">
        <w:trPr>
          <w:trHeight w:val="200"/>
          <w:tblCellSpacing w:w="15" w:type="dxa"/>
        </w:trPr>
        <w:tc>
          <w:tcPr>
            <w:tcW w:w="0" w:type="auto"/>
            <w:hideMark/>
          </w:tcPr>
          <w:p w14:paraId="398DE42C" w14:textId="77777777" w:rsidR="00000000" w:rsidRDefault="003A1B5D">
            <w:pPr>
              <w:pStyle w:val="a3"/>
              <w:spacing w:before="0" w:beforeAutospacing="0" w:after="0" w:afterAutospacing="0"/>
              <w:ind w:left="200"/>
              <w:rPr>
                <w:sz w:val="20"/>
                <w:szCs w:val="20"/>
              </w:rPr>
            </w:pPr>
            <w:r>
              <w:rPr>
                <w:sz w:val="20"/>
                <w:szCs w:val="20"/>
              </w:rPr>
              <w:t>Variable expens</w:t>
            </w:r>
            <w:r>
              <w:rPr>
                <w:sz w:val="20"/>
                <w:szCs w:val="20"/>
              </w:rPr>
              <w:t>e</w:t>
            </w:r>
          </w:p>
        </w:tc>
        <w:tc>
          <w:tcPr>
            <w:tcW w:w="0" w:type="auto"/>
            <w:vAlign w:val="bottom"/>
            <w:hideMark/>
          </w:tcPr>
          <w:p w14:paraId="137739D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FF2960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871F808" w14:textId="77777777" w:rsidR="00000000" w:rsidRDefault="003A1B5D">
            <w:pPr>
              <w:pStyle w:val="a3"/>
              <w:spacing w:before="0" w:beforeAutospacing="0" w:after="0" w:afterAutospacing="0"/>
              <w:jc w:val="right"/>
              <w:rPr>
                <w:sz w:val="20"/>
                <w:szCs w:val="20"/>
              </w:rPr>
            </w:pPr>
            <w:r>
              <w:rPr>
                <w:b/>
                <w:bCs/>
                <w:sz w:val="20"/>
                <w:szCs w:val="20"/>
              </w:rPr>
              <w:t>22.1</w:t>
            </w:r>
            <w:r>
              <w:rPr>
                <w:b/>
                <w:bCs/>
                <w:sz w:val="20"/>
                <w:szCs w:val="20"/>
              </w:rPr>
              <w:t>8</w:t>
            </w:r>
          </w:p>
        </w:tc>
        <w:tc>
          <w:tcPr>
            <w:tcW w:w="0" w:type="auto"/>
            <w:noWrap/>
            <w:vAlign w:val="bottom"/>
            <w:hideMark/>
          </w:tcPr>
          <w:p w14:paraId="4745504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92599E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28EBC5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8DB3122" w14:textId="77777777" w:rsidR="00000000" w:rsidRDefault="003A1B5D">
            <w:pPr>
              <w:pStyle w:val="a3"/>
              <w:spacing w:before="0" w:beforeAutospacing="0" w:after="0" w:afterAutospacing="0"/>
              <w:jc w:val="right"/>
              <w:rPr>
                <w:sz w:val="20"/>
                <w:szCs w:val="20"/>
              </w:rPr>
            </w:pPr>
            <w:r>
              <w:rPr>
                <w:sz w:val="20"/>
                <w:szCs w:val="20"/>
              </w:rPr>
              <w:t>17.8</w:t>
            </w:r>
            <w:r>
              <w:rPr>
                <w:sz w:val="20"/>
                <w:szCs w:val="20"/>
              </w:rPr>
              <w:t>4</w:t>
            </w:r>
          </w:p>
        </w:tc>
        <w:tc>
          <w:tcPr>
            <w:tcW w:w="0" w:type="auto"/>
            <w:noWrap/>
            <w:vAlign w:val="bottom"/>
            <w:hideMark/>
          </w:tcPr>
          <w:p w14:paraId="0BF8F10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843167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0C1E8A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A069665" w14:textId="77777777" w:rsidR="00000000" w:rsidRDefault="003A1B5D">
            <w:pPr>
              <w:pStyle w:val="a3"/>
              <w:spacing w:before="0" w:beforeAutospacing="0" w:after="0" w:afterAutospacing="0"/>
              <w:jc w:val="right"/>
              <w:rPr>
                <w:sz w:val="20"/>
                <w:szCs w:val="20"/>
              </w:rPr>
            </w:pPr>
            <w:r>
              <w:rPr>
                <w:b/>
                <w:bCs/>
                <w:sz w:val="20"/>
                <w:szCs w:val="20"/>
              </w:rPr>
              <w:t>21.4</w:t>
            </w:r>
            <w:r>
              <w:rPr>
                <w:b/>
                <w:bCs/>
                <w:sz w:val="20"/>
                <w:szCs w:val="20"/>
              </w:rPr>
              <w:t>7</w:t>
            </w:r>
          </w:p>
        </w:tc>
        <w:tc>
          <w:tcPr>
            <w:tcW w:w="0" w:type="auto"/>
            <w:noWrap/>
            <w:vAlign w:val="bottom"/>
            <w:hideMark/>
          </w:tcPr>
          <w:p w14:paraId="49C4912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5019E0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A1814A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8DC7D7F" w14:textId="77777777" w:rsidR="00000000" w:rsidRDefault="003A1B5D">
            <w:pPr>
              <w:pStyle w:val="a3"/>
              <w:spacing w:before="0" w:beforeAutospacing="0" w:after="0" w:afterAutospacing="0"/>
              <w:jc w:val="right"/>
              <w:rPr>
                <w:sz w:val="20"/>
                <w:szCs w:val="20"/>
              </w:rPr>
            </w:pPr>
            <w:r>
              <w:rPr>
                <w:sz w:val="20"/>
                <w:szCs w:val="20"/>
              </w:rPr>
              <w:t>17.9</w:t>
            </w:r>
            <w:r>
              <w:rPr>
                <w:sz w:val="20"/>
                <w:szCs w:val="20"/>
              </w:rPr>
              <w:t>6</w:t>
            </w:r>
          </w:p>
        </w:tc>
        <w:tc>
          <w:tcPr>
            <w:tcW w:w="0" w:type="auto"/>
            <w:noWrap/>
            <w:vAlign w:val="bottom"/>
            <w:hideMark/>
          </w:tcPr>
          <w:p w14:paraId="0DC72152" w14:textId="77777777" w:rsidR="00000000" w:rsidRDefault="003A1B5D">
            <w:pPr>
              <w:pStyle w:val="a3"/>
              <w:spacing w:before="0" w:beforeAutospacing="0" w:after="0" w:afterAutospacing="0"/>
              <w:rPr>
                <w:sz w:val="20"/>
                <w:szCs w:val="20"/>
              </w:rPr>
            </w:pPr>
            <w:r>
              <w:rPr>
                <w:sz w:val="20"/>
                <w:szCs w:val="20"/>
              </w:rPr>
              <w:t> </w:t>
            </w:r>
          </w:p>
        </w:tc>
      </w:tr>
      <w:tr w:rsidR="00000000" w14:paraId="31BFEEC8" w14:textId="77777777">
        <w:trPr>
          <w:trHeight w:val="200"/>
          <w:tblCellSpacing w:w="15" w:type="dxa"/>
        </w:trPr>
        <w:tc>
          <w:tcPr>
            <w:tcW w:w="0" w:type="auto"/>
            <w:hideMark/>
          </w:tcPr>
          <w:p w14:paraId="1B4101F5" w14:textId="77777777" w:rsidR="00000000" w:rsidRDefault="003A1B5D">
            <w:pPr>
              <w:pStyle w:val="a3"/>
              <w:spacing w:before="0" w:beforeAutospacing="0" w:after="0" w:afterAutospacing="0"/>
              <w:ind w:left="400"/>
              <w:rPr>
                <w:sz w:val="20"/>
                <w:szCs w:val="20"/>
              </w:rPr>
            </w:pPr>
            <w:r>
              <w:rPr>
                <w:sz w:val="20"/>
                <w:szCs w:val="20"/>
              </w:rPr>
              <w:t>Tota</w:t>
            </w:r>
            <w:r>
              <w:rPr>
                <w:sz w:val="20"/>
                <w:szCs w:val="20"/>
              </w:rPr>
              <w:t>l</w:t>
            </w:r>
          </w:p>
        </w:tc>
        <w:tc>
          <w:tcPr>
            <w:tcW w:w="0" w:type="auto"/>
            <w:vAlign w:val="bottom"/>
            <w:hideMark/>
          </w:tcPr>
          <w:p w14:paraId="27F4D1B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61F59A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BBEA678" w14:textId="77777777" w:rsidR="00000000" w:rsidRDefault="003A1B5D">
            <w:pPr>
              <w:pStyle w:val="a3"/>
              <w:spacing w:before="0" w:beforeAutospacing="0" w:after="0" w:afterAutospacing="0"/>
              <w:jc w:val="right"/>
              <w:rPr>
                <w:sz w:val="20"/>
                <w:szCs w:val="20"/>
              </w:rPr>
            </w:pPr>
            <w:r>
              <w:rPr>
                <w:b/>
                <w:bCs/>
                <w:sz w:val="20"/>
                <w:szCs w:val="20"/>
              </w:rPr>
              <w:t>75.2</w:t>
            </w:r>
            <w:r>
              <w:rPr>
                <w:b/>
                <w:bCs/>
                <w:sz w:val="20"/>
                <w:szCs w:val="20"/>
              </w:rPr>
              <w:t>8</w:t>
            </w:r>
          </w:p>
        </w:tc>
        <w:tc>
          <w:tcPr>
            <w:tcW w:w="0" w:type="auto"/>
            <w:noWrap/>
            <w:vAlign w:val="bottom"/>
            <w:hideMark/>
          </w:tcPr>
          <w:p w14:paraId="4C0524E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C66A86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95797D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068E8E7" w14:textId="77777777" w:rsidR="00000000" w:rsidRDefault="003A1B5D">
            <w:pPr>
              <w:pStyle w:val="a3"/>
              <w:spacing w:before="0" w:beforeAutospacing="0" w:after="0" w:afterAutospacing="0"/>
              <w:jc w:val="right"/>
              <w:rPr>
                <w:sz w:val="20"/>
                <w:szCs w:val="20"/>
              </w:rPr>
            </w:pPr>
            <w:r>
              <w:rPr>
                <w:sz w:val="20"/>
                <w:szCs w:val="20"/>
              </w:rPr>
              <w:t>65.5</w:t>
            </w:r>
            <w:r>
              <w:rPr>
                <w:sz w:val="20"/>
                <w:szCs w:val="20"/>
              </w:rPr>
              <w:t>4</w:t>
            </w:r>
          </w:p>
        </w:tc>
        <w:tc>
          <w:tcPr>
            <w:tcW w:w="0" w:type="auto"/>
            <w:noWrap/>
            <w:vAlign w:val="bottom"/>
            <w:hideMark/>
          </w:tcPr>
          <w:p w14:paraId="53BB989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ED8EAC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2B40FC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0CD9784" w14:textId="77777777" w:rsidR="00000000" w:rsidRDefault="003A1B5D">
            <w:pPr>
              <w:pStyle w:val="a3"/>
              <w:spacing w:before="0" w:beforeAutospacing="0" w:after="0" w:afterAutospacing="0"/>
              <w:jc w:val="right"/>
              <w:rPr>
                <w:sz w:val="20"/>
                <w:szCs w:val="20"/>
              </w:rPr>
            </w:pPr>
            <w:r>
              <w:rPr>
                <w:b/>
                <w:bCs/>
                <w:sz w:val="20"/>
                <w:szCs w:val="20"/>
              </w:rPr>
              <w:t>73.0</w:t>
            </w:r>
            <w:r>
              <w:rPr>
                <w:b/>
                <w:bCs/>
                <w:sz w:val="20"/>
                <w:szCs w:val="20"/>
              </w:rPr>
              <w:t>9</w:t>
            </w:r>
          </w:p>
        </w:tc>
        <w:tc>
          <w:tcPr>
            <w:tcW w:w="0" w:type="auto"/>
            <w:noWrap/>
            <w:vAlign w:val="bottom"/>
            <w:hideMark/>
          </w:tcPr>
          <w:p w14:paraId="3A3A571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B2C6A7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1FD584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F2FADBA" w14:textId="77777777" w:rsidR="00000000" w:rsidRDefault="003A1B5D">
            <w:pPr>
              <w:pStyle w:val="a3"/>
              <w:spacing w:before="0" w:beforeAutospacing="0" w:after="0" w:afterAutospacing="0"/>
              <w:jc w:val="right"/>
              <w:rPr>
                <w:sz w:val="20"/>
                <w:szCs w:val="20"/>
              </w:rPr>
            </w:pPr>
            <w:r>
              <w:rPr>
                <w:sz w:val="20"/>
                <w:szCs w:val="20"/>
              </w:rPr>
              <w:t>66.0</w:t>
            </w:r>
            <w:r>
              <w:rPr>
                <w:sz w:val="20"/>
                <w:szCs w:val="20"/>
              </w:rPr>
              <w:t>4</w:t>
            </w:r>
          </w:p>
        </w:tc>
        <w:tc>
          <w:tcPr>
            <w:tcW w:w="0" w:type="auto"/>
            <w:noWrap/>
            <w:vAlign w:val="bottom"/>
            <w:hideMark/>
          </w:tcPr>
          <w:p w14:paraId="33287291" w14:textId="77777777" w:rsidR="00000000" w:rsidRDefault="003A1B5D">
            <w:pPr>
              <w:pStyle w:val="a3"/>
              <w:spacing w:before="0" w:beforeAutospacing="0" w:after="0" w:afterAutospacing="0"/>
              <w:rPr>
                <w:sz w:val="20"/>
                <w:szCs w:val="20"/>
              </w:rPr>
            </w:pPr>
            <w:r>
              <w:rPr>
                <w:sz w:val="20"/>
                <w:szCs w:val="20"/>
              </w:rPr>
              <w:t> </w:t>
            </w:r>
          </w:p>
        </w:tc>
      </w:tr>
      <w:tr w:rsidR="00000000" w14:paraId="768F99DA" w14:textId="77777777">
        <w:trPr>
          <w:trHeight w:val="200"/>
          <w:tblCellSpacing w:w="15" w:type="dxa"/>
        </w:trPr>
        <w:tc>
          <w:tcPr>
            <w:tcW w:w="0" w:type="auto"/>
            <w:hideMark/>
          </w:tcPr>
          <w:p w14:paraId="2B383AC9" w14:textId="77777777" w:rsidR="00000000" w:rsidRDefault="003A1B5D">
            <w:pPr>
              <w:pStyle w:val="a3"/>
              <w:spacing w:before="0" w:beforeAutospacing="0" w:after="0" w:afterAutospacing="0"/>
              <w:rPr>
                <w:sz w:val="20"/>
                <w:szCs w:val="20"/>
              </w:rPr>
            </w:pPr>
            <w:r>
              <w:rPr>
                <w:sz w:val="20"/>
                <w:szCs w:val="20"/>
              </w:rPr>
              <w:t>Operating income per compensated man-da</w:t>
            </w:r>
            <w:r>
              <w:rPr>
                <w:sz w:val="20"/>
                <w:szCs w:val="20"/>
              </w:rPr>
              <w:t>y</w:t>
            </w:r>
          </w:p>
        </w:tc>
        <w:tc>
          <w:tcPr>
            <w:tcW w:w="0" w:type="auto"/>
            <w:vAlign w:val="bottom"/>
            <w:hideMark/>
          </w:tcPr>
          <w:p w14:paraId="2733F97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FF6899A"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000988FB" w14:textId="77777777" w:rsidR="00000000" w:rsidRDefault="003A1B5D">
            <w:pPr>
              <w:pStyle w:val="a3"/>
              <w:spacing w:before="0" w:beforeAutospacing="0" w:after="0" w:afterAutospacing="0"/>
              <w:jc w:val="right"/>
              <w:rPr>
                <w:sz w:val="20"/>
                <w:szCs w:val="20"/>
              </w:rPr>
            </w:pPr>
            <w:r>
              <w:rPr>
                <w:b/>
                <w:bCs/>
                <w:sz w:val="20"/>
                <w:szCs w:val="20"/>
              </w:rPr>
              <w:t>17.9</w:t>
            </w:r>
            <w:r>
              <w:rPr>
                <w:b/>
                <w:bCs/>
                <w:sz w:val="20"/>
                <w:szCs w:val="20"/>
              </w:rPr>
              <w:t>2</w:t>
            </w:r>
          </w:p>
        </w:tc>
        <w:tc>
          <w:tcPr>
            <w:tcW w:w="0" w:type="auto"/>
            <w:noWrap/>
            <w:vAlign w:val="bottom"/>
            <w:hideMark/>
          </w:tcPr>
          <w:p w14:paraId="08D8A2D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9EC82B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15EFE0B"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34449462" w14:textId="77777777" w:rsidR="00000000" w:rsidRDefault="003A1B5D">
            <w:pPr>
              <w:pStyle w:val="a3"/>
              <w:spacing w:before="0" w:beforeAutospacing="0" w:after="0" w:afterAutospacing="0"/>
              <w:jc w:val="right"/>
              <w:rPr>
                <w:sz w:val="20"/>
                <w:szCs w:val="20"/>
              </w:rPr>
            </w:pPr>
            <w:r>
              <w:rPr>
                <w:sz w:val="20"/>
                <w:szCs w:val="20"/>
              </w:rPr>
              <w:t>24.4</w:t>
            </w:r>
            <w:r>
              <w:rPr>
                <w:sz w:val="20"/>
                <w:szCs w:val="20"/>
              </w:rPr>
              <w:t>8</w:t>
            </w:r>
          </w:p>
        </w:tc>
        <w:tc>
          <w:tcPr>
            <w:tcW w:w="0" w:type="auto"/>
            <w:noWrap/>
            <w:vAlign w:val="bottom"/>
            <w:hideMark/>
          </w:tcPr>
          <w:p w14:paraId="45FD49C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103EB9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E70BF24"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36619B06" w14:textId="77777777" w:rsidR="00000000" w:rsidRDefault="003A1B5D">
            <w:pPr>
              <w:pStyle w:val="a3"/>
              <w:spacing w:before="0" w:beforeAutospacing="0" w:after="0" w:afterAutospacing="0"/>
              <w:jc w:val="right"/>
              <w:rPr>
                <w:sz w:val="20"/>
                <w:szCs w:val="20"/>
              </w:rPr>
            </w:pPr>
            <w:r>
              <w:rPr>
                <w:b/>
                <w:bCs/>
                <w:sz w:val="20"/>
                <w:szCs w:val="20"/>
              </w:rPr>
              <w:t>19.7</w:t>
            </w:r>
            <w:r>
              <w:rPr>
                <w:b/>
                <w:bCs/>
                <w:sz w:val="20"/>
                <w:szCs w:val="20"/>
              </w:rPr>
              <w:t>7</w:t>
            </w:r>
          </w:p>
        </w:tc>
        <w:tc>
          <w:tcPr>
            <w:tcW w:w="0" w:type="auto"/>
            <w:noWrap/>
            <w:vAlign w:val="bottom"/>
            <w:hideMark/>
          </w:tcPr>
          <w:p w14:paraId="598511F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10E1F7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5D92A88"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2741A69C" w14:textId="77777777" w:rsidR="00000000" w:rsidRDefault="003A1B5D">
            <w:pPr>
              <w:pStyle w:val="a3"/>
              <w:spacing w:before="0" w:beforeAutospacing="0" w:after="0" w:afterAutospacing="0"/>
              <w:jc w:val="right"/>
              <w:rPr>
                <w:sz w:val="20"/>
                <w:szCs w:val="20"/>
              </w:rPr>
            </w:pPr>
            <w:r>
              <w:rPr>
                <w:sz w:val="20"/>
                <w:szCs w:val="20"/>
              </w:rPr>
              <w:t>23.7</w:t>
            </w:r>
            <w:r>
              <w:rPr>
                <w:sz w:val="20"/>
                <w:szCs w:val="20"/>
              </w:rPr>
              <w:t>0</w:t>
            </w:r>
          </w:p>
        </w:tc>
        <w:tc>
          <w:tcPr>
            <w:tcW w:w="0" w:type="auto"/>
            <w:noWrap/>
            <w:vAlign w:val="bottom"/>
            <w:hideMark/>
          </w:tcPr>
          <w:p w14:paraId="1CA16440" w14:textId="77777777" w:rsidR="00000000" w:rsidRDefault="003A1B5D">
            <w:pPr>
              <w:pStyle w:val="a3"/>
              <w:spacing w:before="0" w:beforeAutospacing="0" w:after="0" w:afterAutospacing="0"/>
              <w:rPr>
                <w:sz w:val="20"/>
                <w:szCs w:val="20"/>
              </w:rPr>
            </w:pPr>
            <w:r>
              <w:rPr>
                <w:sz w:val="20"/>
                <w:szCs w:val="20"/>
              </w:rPr>
              <w:t> </w:t>
            </w:r>
          </w:p>
        </w:tc>
      </w:tr>
      <w:tr w:rsidR="00000000" w14:paraId="306DEB9B" w14:textId="77777777">
        <w:trPr>
          <w:trHeight w:val="200"/>
          <w:tblCellSpacing w:w="15" w:type="dxa"/>
        </w:trPr>
        <w:tc>
          <w:tcPr>
            <w:tcW w:w="0" w:type="auto"/>
            <w:hideMark/>
          </w:tcPr>
          <w:p w14:paraId="7E0E3FA5" w14:textId="77777777" w:rsidR="00000000" w:rsidRDefault="003A1B5D">
            <w:pPr>
              <w:pStyle w:val="a3"/>
              <w:spacing w:before="0" w:beforeAutospacing="0" w:after="0" w:afterAutospacing="0"/>
              <w:rPr>
                <w:sz w:val="20"/>
                <w:szCs w:val="20"/>
              </w:rPr>
            </w:pPr>
            <w:r>
              <w:rPr>
                <w:sz w:val="20"/>
                <w:szCs w:val="20"/>
              </w:rPr>
              <w:t>Operating margi</w:t>
            </w:r>
            <w:r>
              <w:rPr>
                <w:sz w:val="20"/>
                <w:szCs w:val="20"/>
              </w:rPr>
              <w:t>n</w:t>
            </w:r>
          </w:p>
        </w:tc>
        <w:tc>
          <w:tcPr>
            <w:tcW w:w="0" w:type="auto"/>
            <w:vAlign w:val="bottom"/>
            <w:hideMark/>
          </w:tcPr>
          <w:p w14:paraId="03AC9C1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FED280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8245554" w14:textId="77777777" w:rsidR="00000000" w:rsidRDefault="003A1B5D">
            <w:pPr>
              <w:pStyle w:val="a3"/>
              <w:spacing w:before="0" w:beforeAutospacing="0" w:after="0" w:afterAutospacing="0"/>
              <w:jc w:val="right"/>
              <w:rPr>
                <w:sz w:val="20"/>
                <w:szCs w:val="20"/>
              </w:rPr>
            </w:pPr>
            <w:r>
              <w:rPr>
                <w:b/>
                <w:bCs/>
                <w:sz w:val="20"/>
                <w:szCs w:val="20"/>
              </w:rPr>
              <w:t>19.</w:t>
            </w:r>
            <w:r>
              <w:rPr>
                <w:b/>
                <w:bCs/>
                <w:sz w:val="20"/>
                <w:szCs w:val="20"/>
              </w:rPr>
              <w:t>2</w:t>
            </w:r>
          </w:p>
        </w:tc>
        <w:tc>
          <w:tcPr>
            <w:tcW w:w="0" w:type="auto"/>
            <w:noWrap/>
            <w:vAlign w:val="bottom"/>
            <w:hideMark/>
          </w:tcPr>
          <w:p w14:paraId="44EA3C60"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91B05F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CBFCAF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4D9319A" w14:textId="77777777" w:rsidR="00000000" w:rsidRDefault="003A1B5D">
            <w:pPr>
              <w:pStyle w:val="a3"/>
              <w:spacing w:before="0" w:beforeAutospacing="0" w:after="0" w:afterAutospacing="0"/>
              <w:jc w:val="right"/>
              <w:rPr>
                <w:sz w:val="20"/>
                <w:szCs w:val="20"/>
              </w:rPr>
            </w:pPr>
            <w:r>
              <w:rPr>
                <w:sz w:val="20"/>
                <w:szCs w:val="20"/>
              </w:rPr>
              <w:t>27.</w:t>
            </w:r>
            <w:r>
              <w:rPr>
                <w:sz w:val="20"/>
                <w:szCs w:val="20"/>
              </w:rPr>
              <w:t>2</w:t>
            </w:r>
          </w:p>
        </w:tc>
        <w:tc>
          <w:tcPr>
            <w:tcW w:w="0" w:type="auto"/>
            <w:noWrap/>
            <w:vAlign w:val="bottom"/>
            <w:hideMark/>
          </w:tcPr>
          <w:p w14:paraId="4B50C7AC"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7508EC8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2669EC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5E53671" w14:textId="77777777" w:rsidR="00000000" w:rsidRDefault="003A1B5D">
            <w:pPr>
              <w:pStyle w:val="a3"/>
              <w:spacing w:before="0" w:beforeAutospacing="0" w:after="0" w:afterAutospacing="0"/>
              <w:jc w:val="right"/>
              <w:rPr>
                <w:sz w:val="20"/>
                <w:szCs w:val="20"/>
              </w:rPr>
            </w:pPr>
            <w:r>
              <w:rPr>
                <w:b/>
                <w:bCs/>
                <w:sz w:val="20"/>
                <w:szCs w:val="20"/>
              </w:rPr>
              <w:t>21.</w:t>
            </w:r>
            <w:r>
              <w:rPr>
                <w:b/>
                <w:bCs/>
                <w:sz w:val="20"/>
                <w:szCs w:val="20"/>
              </w:rPr>
              <w:t>3</w:t>
            </w:r>
          </w:p>
        </w:tc>
        <w:tc>
          <w:tcPr>
            <w:tcW w:w="0" w:type="auto"/>
            <w:noWrap/>
            <w:vAlign w:val="bottom"/>
            <w:hideMark/>
          </w:tcPr>
          <w:p w14:paraId="25666F49"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5C7FC0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41BFDA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0DE74C4" w14:textId="77777777" w:rsidR="00000000" w:rsidRDefault="003A1B5D">
            <w:pPr>
              <w:pStyle w:val="a3"/>
              <w:spacing w:before="0" w:beforeAutospacing="0" w:after="0" w:afterAutospacing="0"/>
              <w:jc w:val="right"/>
              <w:rPr>
                <w:sz w:val="20"/>
                <w:szCs w:val="20"/>
              </w:rPr>
            </w:pPr>
            <w:r>
              <w:rPr>
                <w:sz w:val="20"/>
                <w:szCs w:val="20"/>
              </w:rPr>
              <w:t>26.</w:t>
            </w:r>
            <w:r>
              <w:rPr>
                <w:sz w:val="20"/>
                <w:szCs w:val="20"/>
              </w:rPr>
              <w:t>4</w:t>
            </w:r>
          </w:p>
        </w:tc>
        <w:tc>
          <w:tcPr>
            <w:tcW w:w="0" w:type="auto"/>
            <w:noWrap/>
            <w:vAlign w:val="bottom"/>
            <w:hideMark/>
          </w:tcPr>
          <w:p w14:paraId="7132442A" w14:textId="77777777" w:rsidR="00000000" w:rsidRDefault="003A1B5D">
            <w:pPr>
              <w:pStyle w:val="a3"/>
              <w:spacing w:before="0" w:beforeAutospacing="0" w:after="0" w:afterAutospacing="0"/>
              <w:rPr>
                <w:sz w:val="20"/>
                <w:szCs w:val="20"/>
              </w:rPr>
            </w:pPr>
            <w:r>
              <w:rPr>
                <w:sz w:val="20"/>
                <w:szCs w:val="20"/>
              </w:rPr>
              <w:t>%</w:t>
            </w:r>
          </w:p>
        </w:tc>
      </w:tr>
      <w:tr w:rsidR="00000000" w14:paraId="0E258141" w14:textId="77777777">
        <w:trPr>
          <w:trHeight w:val="200"/>
          <w:tblCellSpacing w:w="15" w:type="dxa"/>
        </w:trPr>
        <w:tc>
          <w:tcPr>
            <w:tcW w:w="0" w:type="auto"/>
            <w:hideMark/>
          </w:tcPr>
          <w:p w14:paraId="03F4715A" w14:textId="77777777" w:rsidR="00000000" w:rsidRDefault="003A1B5D">
            <w:pPr>
              <w:pStyle w:val="a3"/>
              <w:spacing w:before="0" w:beforeAutospacing="0" w:after="0" w:afterAutospacing="0"/>
              <w:rPr>
                <w:sz w:val="20"/>
                <w:szCs w:val="20"/>
              </w:rPr>
            </w:pPr>
            <w:r>
              <w:rPr>
                <w:sz w:val="20"/>
                <w:szCs w:val="20"/>
              </w:rPr>
              <w:t>Average compensated occupanc</w:t>
            </w:r>
            <w:r>
              <w:rPr>
                <w:sz w:val="20"/>
                <w:szCs w:val="20"/>
              </w:rPr>
              <w:t>y</w:t>
            </w:r>
          </w:p>
        </w:tc>
        <w:tc>
          <w:tcPr>
            <w:tcW w:w="0" w:type="auto"/>
            <w:vAlign w:val="bottom"/>
            <w:hideMark/>
          </w:tcPr>
          <w:p w14:paraId="53AD4D9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A86165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513A67A" w14:textId="77777777" w:rsidR="00000000" w:rsidRDefault="003A1B5D">
            <w:pPr>
              <w:pStyle w:val="a3"/>
              <w:spacing w:before="0" w:beforeAutospacing="0" w:after="0" w:afterAutospacing="0"/>
              <w:jc w:val="right"/>
              <w:rPr>
                <w:sz w:val="20"/>
                <w:szCs w:val="20"/>
              </w:rPr>
            </w:pPr>
            <w:r>
              <w:rPr>
                <w:b/>
                <w:bCs/>
                <w:sz w:val="20"/>
                <w:szCs w:val="20"/>
              </w:rPr>
              <w:t>70.</w:t>
            </w:r>
            <w:r>
              <w:rPr>
                <w:b/>
                <w:bCs/>
                <w:sz w:val="20"/>
                <w:szCs w:val="20"/>
              </w:rPr>
              <w:t>1</w:t>
            </w:r>
          </w:p>
        </w:tc>
        <w:tc>
          <w:tcPr>
            <w:tcW w:w="0" w:type="auto"/>
            <w:noWrap/>
            <w:vAlign w:val="bottom"/>
            <w:hideMark/>
          </w:tcPr>
          <w:p w14:paraId="1DE669DE"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2B78316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D0D234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C0E235E" w14:textId="77777777" w:rsidR="00000000" w:rsidRDefault="003A1B5D">
            <w:pPr>
              <w:pStyle w:val="a3"/>
              <w:spacing w:before="0" w:beforeAutospacing="0" w:after="0" w:afterAutospacing="0"/>
              <w:jc w:val="right"/>
              <w:rPr>
                <w:sz w:val="20"/>
                <w:szCs w:val="20"/>
              </w:rPr>
            </w:pPr>
            <w:r>
              <w:rPr>
                <w:sz w:val="20"/>
                <w:szCs w:val="20"/>
              </w:rPr>
              <w:t>72.</w:t>
            </w:r>
            <w:r>
              <w:rPr>
                <w:sz w:val="20"/>
                <w:szCs w:val="20"/>
              </w:rPr>
              <w:t>1</w:t>
            </w:r>
          </w:p>
        </w:tc>
        <w:tc>
          <w:tcPr>
            <w:tcW w:w="0" w:type="auto"/>
            <w:noWrap/>
            <w:vAlign w:val="bottom"/>
            <w:hideMark/>
          </w:tcPr>
          <w:p w14:paraId="056FB42E"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295FF2D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0F33F4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ECF4A3A" w14:textId="77777777" w:rsidR="00000000" w:rsidRDefault="003A1B5D">
            <w:pPr>
              <w:pStyle w:val="a3"/>
              <w:spacing w:before="0" w:beforeAutospacing="0" w:after="0" w:afterAutospacing="0"/>
              <w:jc w:val="right"/>
              <w:rPr>
                <w:sz w:val="20"/>
                <w:szCs w:val="20"/>
              </w:rPr>
            </w:pPr>
            <w:r>
              <w:rPr>
                <w:b/>
                <w:bCs/>
                <w:sz w:val="20"/>
                <w:szCs w:val="20"/>
              </w:rPr>
              <w:t>70.</w:t>
            </w:r>
            <w:r>
              <w:rPr>
                <w:b/>
                <w:bCs/>
                <w:sz w:val="20"/>
                <w:szCs w:val="20"/>
              </w:rPr>
              <w:t>1</w:t>
            </w:r>
          </w:p>
        </w:tc>
        <w:tc>
          <w:tcPr>
            <w:tcW w:w="0" w:type="auto"/>
            <w:noWrap/>
            <w:vAlign w:val="bottom"/>
            <w:hideMark/>
          </w:tcPr>
          <w:p w14:paraId="215F7F32"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79F58D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71FE20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D2E3F84" w14:textId="77777777" w:rsidR="00000000" w:rsidRDefault="003A1B5D">
            <w:pPr>
              <w:pStyle w:val="a3"/>
              <w:spacing w:before="0" w:beforeAutospacing="0" w:after="0" w:afterAutospacing="0"/>
              <w:jc w:val="right"/>
              <w:rPr>
                <w:sz w:val="20"/>
                <w:szCs w:val="20"/>
              </w:rPr>
            </w:pPr>
            <w:r>
              <w:rPr>
                <w:sz w:val="20"/>
                <w:szCs w:val="20"/>
              </w:rPr>
              <w:t>71.</w:t>
            </w:r>
            <w:r>
              <w:rPr>
                <w:sz w:val="20"/>
                <w:szCs w:val="20"/>
              </w:rPr>
              <w:t>2</w:t>
            </w:r>
          </w:p>
        </w:tc>
        <w:tc>
          <w:tcPr>
            <w:tcW w:w="0" w:type="auto"/>
            <w:noWrap/>
            <w:vAlign w:val="bottom"/>
            <w:hideMark/>
          </w:tcPr>
          <w:p w14:paraId="02478E2A" w14:textId="77777777" w:rsidR="00000000" w:rsidRDefault="003A1B5D">
            <w:pPr>
              <w:pStyle w:val="a3"/>
              <w:spacing w:before="0" w:beforeAutospacing="0" w:after="0" w:afterAutospacing="0"/>
              <w:rPr>
                <w:sz w:val="20"/>
                <w:szCs w:val="20"/>
              </w:rPr>
            </w:pPr>
            <w:r>
              <w:rPr>
                <w:sz w:val="20"/>
                <w:szCs w:val="20"/>
              </w:rPr>
              <w:t>%</w:t>
            </w:r>
          </w:p>
        </w:tc>
      </w:tr>
      <w:tr w:rsidR="00000000" w14:paraId="2C451716" w14:textId="77777777">
        <w:trPr>
          <w:trHeight w:val="200"/>
          <w:tblCellSpacing w:w="15" w:type="dxa"/>
        </w:trPr>
        <w:tc>
          <w:tcPr>
            <w:tcW w:w="0" w:type="auto"/>
            <w:hideMark/>
          </w:tcPr>
          <w:p w14:paraId="4FDC6398" w14:textId="77777777" w:rsidR="00000000" w:rsidRDefault="003A1B5D">
            <w:pPr>
              <w:pStyle w:val="a3"/>
              <w:spacing w:before="0" w:beforeAutospacing="0" w:after="0" w:afterAutospacing="0"/>
              <w:rPr>
                <w:sz w:val="20"/>
                <w:szCs w:val="20"/>
              </w:rPr>
            </w:pPr>
            <w:r>
              <w:rPr>
                <w:sz w:val="20"/>
                <w:szCs w:val="20"/>
              </w:rPr>
              <w:t>Average available bed</w:t>
            </w:r>
            <w:r>
              <w:rPr>
                <w:sz w:val="20"/>
                <w:szCs w:val="20"/>
              </w:rPr>
              <w:t>s</w:t>
            </w:r>
          </w:p>
        </w:tc>
        <w:tc>
          <w:tcPr>
            <w:tcW w:w="0" w:type="auto"/>
            <w:vAlign w:val="bottom"/>
            <w:hideMark/>
          </w:tcPr>
          <w:p w14:paraId="54E5ABE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A0106D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470A0AD" w14:textId="77777777" w:rsidR="00000000" w:rsidRDefault="003A1B5D">
            <w:pPr>
              <w:pStyle w:val="a3"/>
              <w:spacing w:before="0" w:beforeAutospacing="0" w:after="0" w:afterAutospacing="0"/>
              <w:jc w:val="right"/>
              <w:rPr>
                <w:sz w:val="20"/>
                <w:szCs w:val="20"/>
              </w:rPr>
            </w:pPr>
            <w:r>
              <w:rPr>
                <w:b/>
                <w:bCs/>
                <w:sz w:val="20"/>
                <w:szCs w:val="20"/>
              </w:rPr>
              <w:t>73,24</w:t>
            </w:r>
            <w:r>
              <w:rPr>
                <w:b/>
                <w:bCs/>
                <w:sz w:val="20"/>
                <w:szCs w:val="20"/>
              </w:rPr>
              <w:t>6</w:t>
            </w:r>
          </w:p>
        </w:tc>
        <w:tc>
          <w:tcPr>
            <w:tcW w:w="0" w:type="auto"/>
            <w:noWrap/>
            <w:vAlign w:val="bottom"/>
            <w:hideMark/>
          </w:tcPr>
          <w:p w14:paraId="4FD0F1A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DD26CB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CA2011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E10FAA4" w14:textId="77777777" w:rsidR="00000000" w:rsidRDefault="003A1B5D">
            <w:pPr>
              <w:pStyle w:val="a3"/>
              <w:spacing w:before="0" w:beforeAutospacing="0" w:after="0" w:afterAutospacing="0"/>
              <w:jc w:val="right"/>
              <w:rPr>
                <w:sz w:val="20"/>
                <w:szCs w:val="20"/>
              </w:rPr>
            </w:pPr>
            <w:r>
              <w:rPr>
                <w:sz w:val="20"/>
                <w:szCs w:val="20"/>
              </w:rPr>
              <w:t>75,05</w:t>
            </w:r>
            <w:r>
              <w:rPr>
                <w:sz w:val="20"/>
                <w:szCs w:val="20"/>
              </w:rPr>
              <w:t>2</w:t>
            </w:r>
          </w:p>
        </w:tc>
        <w:tc>
          <w:tcPr>
            <w:tcW w:w="0" w:type="auto"/>
            <w:noWrap/>
            <w:vAlign w:val="bottom"/>
            <w:hideMark/>
          </w:tcPr>
          <w:p w14:paraId="4C6C484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11CEE4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DEE25F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43408B1" w14:textId="77777777" w:rsidR="00000000" w:rsidRDefault="003A1B5D">
            <w:pPr>
              <w:pStyle w:val="a3"/>
              <w:spacing w:before="0" w:beforeAutospacing="0" w:after="0" w:afterAutospacing="0"/>
              <w:jc w:val="right"/>
              <w:rPr>
                <w:sz w:val="20"/>
                <w:szCs w:val="20"/>
              </w:rPr>
            </w:pPr>
            <w:r>
              <w:rPr>
                <w:b/>
                <w:bCs/>
                <w:sz w:val="20"/>
                <w:szCs w:val="20"/>
              </w:rPr>
              <w:t>73,36</w:t>
            </w:r>
            <w:r>
              <w:rPr>
                <w:b/>
                <w:bCs/>
                <w:sz w:val="20"/>
                <w:szCs w:val="20"/>
              </w:rPr>
              <w:t>3</w:t>
            </w:r>
          </w:p>
        </w:tc>
        <w:tc>
          <w:tcPr>
            <w:tcW w:w="0" w:type="auto"/>
            <w:noWrap/>
            <w:vAlign w:val="bottom"/>
            <w:hideMark/>
          </w:tcPr>
          <w:p w14:paraId="4B3E478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F4B5FC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9A6760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20A42AF" w14:textId="77777777" w:rsidR="00000000" w:rsidRDefault="003A1B5D">
            <w:pPr>
              <w:pStyle w:val="a3"/>
              <w:spacing w:before="0" w:beforeAutospacing="0" w:after="0" w:afterAutospacing="0"/>
              <w:jc w:val="right"/>
              <w:rPr>
                <w:sz w:val="20"/>
                <w:szCs w:val="20"/>
              </w:rPr>
            </w:pPr>
            <w:r>
              <w:rPr>
                <w:sz w:val="20"/>
                <w:szCs w:val="20"/>
              </w:rPr>
              <w:t>75,05</w:t>
            </w:r>
            <w:r>
              <w:rPr>
                <w:sz w:val="20"/>
                <w:szCs w:val="20"/>
              </w:rPr>
              <w:t>8</w:t>
            </w:r>
          </w:p>
        </w:tc>
        <w:tc>
          <w:tcPr>
            <w:tcW w:w="0" w:type="auto"/>
            <w:noWrap/>
            <w:vAlign w:val="bottom"/>
            <w:hideMark/>
          </w:tcPr>
          <w:p w14:paraId="5EACF523" w14:textId="77777777" w:rsidR="00000000" w:rsidRDefault="003A1B5D">
            <w:pPr>
              <w:pStyle w:val="a3"/>
              <w:spacing w:before="0" w:beforeAutospacing="0" w:after="0" w:afterAutospacing="0"/>
              <w:rPr>
                <w:sz w:val="20"/>
                <w:szCs w:val="20"/>
              </w:rPr>
            </w:pPr>
            <w:r>
              <w:rPr>
                <w:sz w:val="20"/>
                <w:szCs w:val="20"/>
              </w:rPr>
              <w:t> </w:t>
            </w:r>
          </w:p>
        </w:tc>
      </w:tr>
      <w:tr w:rsidR="00000000" w14:paraId="7CF1150D" w14:textId="77777777">
        <w:trPr>
          <w:trHeight w:val="200"/>
          <w:tblCellSpacing w:w="15" w:type="dxa"/>
        </w:trPr>
        <w:tc>
          <w:tcPr>
            <w:tcW w:w="0" w:type="auto"/>
            <w:hideMark/>
          </w:tcPr>
          <w:p w14:paraId="71936987" w14:textId="77777777" w:rsidR="00000000" w:rsidRDefault="003A1B5D">
            <w:pPr>
              <w:pStyle w:val="a3"/>
              <w:spacing w:before="0" w:beforeAutospacing="0" w:after="0" w:afterAutospacing="0"/>
              <w:rPr>
                <w:sz w:val="20"/>
                <w:szCs w:val="20"/>
              </w:rPr>
            </w:pPr>
            <w:r>
              <w:rPr>
                <w:sz w:val="20"/>
                <w:szCs w:val="20"/>
              </w:rPr>
              <w:t>Average compensated populatio</w:t>
            </w:r>
            <w:r>
              <w:rPr>
                <w:sz w:val="20"/>
                <w:szCs w:val="20"/>
              </w:rPr>
              <w:t>n</w:t>
            </w:r>
          </w:p>
        </w:tc>
        <w:tc>
          <w:tcPr>
            <w:tcW w:w="0" w:type="auto"/>
            <w:vAlign w:val="bottom"/>
            <w:hideMark/>
          </w:tcPr>
          <w:p w14:paraId="3F44454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922513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4919891" w14:textId="77777777" w:rsidR="00000000" w:rsidRDefault="003A1B5D">
            <w:pPr>
              <w:pStyle w:val="a3"/>
              <w:spacing w:before="0" w:beforeAutospacing="0" w:after="0" w:afterAutospacing="0"/>
              <w:jc w:val="right"/>
              <w:rPr>
                <w:sz w:val="20"/>
                <w:szCs w:val="20"/>
              </w:rPr>
            </w:pPr>
            <w:r>
              <w:rPr>
                <w:b/>
                <w:bCs/>
                <w:sz w:val="20"/>
                <w:szCs w:val="20"/>
              </w:rPr>
              <w:t>51,35</w:t>
            </w:r>
            <w:r>
              <w:rPr>
                <w:b/>
                <w:bCs/>
                <w:sz w:val="20"/>
                <w:szCs w:val="20"/>
              </w:rPr>
              <w:t>5</w:t>
            </w:r>
          </w:p>
        </w:tc>
        <w:tc>
          <w:tcPr>
            <w:tcW w:w="0" w:type="auto"/>
            <w:noWrap/>
            <w:vAlign w:val="bottom"/>
            <w:hideMark/>
          </w:tcPr>
          <w:p w14:paraId="1096F5B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A5DAE9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6FEF44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DED1397" w14:textId="77777777" w:rsidR="00000000" w:rsidRDefault="003A1B5D">
            <w:pPr>
              <w:pStyle w:val="a3"/>
              <w:spacing w:before="0" w:beforeAutospacing="0" w:after="0" w:afterAutospacing="0"/>
              <w:jc w:val="right"/>
              <w:rPr>
                <w:sz w:val="20"/>
                <w:szCs w:val="20"/>
              </w:rPr>
            </w:pPr>
            <w:r>
              <w:rPr>
                <w:sz w:val="20"/>
                <w:szCs w:val="20"/>
              </w:rPr>
              <w:t>54,10</w:t>
            </w:r>
            <w:r>
              <w:rPr>
                <w:sz w:val="20"/>
                <w:szCs w:val="20"/>
              </w:rPr>
              <w:t>6</w:t>
            </w:r>
          </w:p>
        </w:tc>
        <w:tc>
          <w:tcPr>
            <w:tcW w:w="0" w:type="auto"/>
            <w:noWrap/>
            <w:vAlign w:val="bottom"/>
            <w:hideMark/>
          </w:tcPr>
          <w:p w14:paraId="4B15679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F34D11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84758F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42DF418" w14:textId="77777777" w:rsidR="00000000" w:rsidRDefault="003A1B5D">
            <w:pPr>
              <w:pStyle w:val="a3"/>
              <w:spacing w:before="0" w:beforeAutospacing="0" w:after="0" w:afterAutospacing="0"/>
              <w:jc w:val="right"/>
              <w:rPr>
                <w:sz w:val="20"/>
                <w:szCs w:val="20"/>
              </w:rPr>
            </w:pPr>
            <w:r>
              <w:rPr>
                <w:b/>
                <w:bCs/>
                <w:sz w:val="20"/>
                <w:szCs w:val="20"/>
              </w:rPr>
              <w:t>51,40</w:t>
            </w:r>
            <w:r>
              <w:rPr>
                <w:b/>
                <w:bCs/>
                <w:sz w:val="20"/>
                <w:szCs w:val="20"/>
              </w:rPr>
              <w:t>4</w:t>
            </w:r>
          </w:p>
        </w:tc>
        <w:tc>
          <w:tcPr>
            <w:tcW w:w="0" w:type="auto"/>
            <w:noWrap/>
            <w:vAlign w:val="bottom"/>
            <w:hideMark/>
          </w:tcPr>
          <w:p w14:paraId="51FA253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473A44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371E8B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3F9CC23" w14:textId="77777777" w:rsidR="00000000" w:rsidRDefault="003A1B5D">
            <w:pPr>
              <w:pStyle w:val="a3"/>
              <w:spacing w:before="0" w:beforeAutospacing="0" w:after="0" w:afterAutospacing="0"/>
              <w:jc w:val="right"/>
              <w:rPr>
                <w:sz w:val="20"/>
                <w:szCs w:val="20"/>
              </w:rPr>
            </w:pPr>
            <w:r>
              <w:rPr>
                <w:sz w:val="20"/>
                <w:szCs w:val="20"/>
              </w:rPr>
              <w:t>53,44</w:t>
            </w:r>
            <w:r>
              <w:rPr>
                <w:sz w:val="20"/>
                <w:szCs w:val="20"/>
              </w:rPr>
              <w:t>2</w:t>
            </w:r>
          </w:p>
        </w:tc>
        <w:tc>
          <w:tcPr>
            <w:tcW w:w="0" w:type="auto"/>
            <w:noWrap/>
            <w:vAlign w:val="bottom"/>
            <w:hideMark/>
          </w:tcPr>
          <w:p w14:paraId="411926C4" w14:textId="77777777" w:rsidR="00000000" w:rsidRDefault="003A1B5D">
            <w:pPr>
              <w:pStyle w:val="a3"/>
              <w:spacing w:before="0" w:beforeAutospacing="0" w:after="0" w:afterAutospacing="0"/>
              <w:rPr>
                <w:sz w:val="20"/>
                <w:szCs w:val="20"/>
              </w:rPr>
            </w:pPr>
            <w:r>
              <w:rPr>
                <w:sz w:val="20"/>
                <w:szCs w:val="20"/>
              </w:rPr>
              <w:t> </w:t>
            </w:r>
          </w:p>
        </w:tc>
      </w:tr>
    </w:tbl>
    <w:p w14:paraId="47C18A7C" w14:textId="77777777" w:rsidR="00000000" w:rsidRDefault="003A1B5D">
      <w:pPr>
        <w:pStyle w:val="a3"/>
        <w:spacing w:before="0" w:beforeAutospacing="0" w:after="0" w:afterAutospacing="0"/>
        <w:rPr>
          <w:sz w:val="20"/>
          <w:szCs w:val="20"/>
        </w:rPr>
      </w:pPr>
      <w:r>
        <w:rPr>
          <w:sz w:val="20"/>
          <w:szCs w:val="20"/>
        </w:rPr>
        <w:t> </w:t>
      </w:r>
    </w:p>
    <w:p w14:paraId="66EA8D23" w14:textId="77777777" w:rsidR="00000000" w:rsidRDefault="003A1B5D">
      <w:pPr>
        <w:pStyle w:val="a3"/>
        <w:spacing w:before="160" w:beforeAutospacing="0" w:after="0" w:afterAutospacing="0"/>
        <w:jc w:val="both"/>
        <w:rPr>
          <w:sz w:val="20"/>
          <w:szCs w:val="20"/>
        </w:rPr>
      </w:pPr>
      <w:r>
        <w:rPr>
          <w:i/>
          <w:iCs/>
          <w:sz w:val="20"/>
          <w:szCs w:val="20"/>
        </w:rPr>
        <w:t>Revenu</w:t>
      </w:r>
      <w:r>
        <w:rPr>
          <w:i/>
          <w:iCs/>
          <w:sz w:val="20"/>
          <w:szCs w:val="20"/>
        </w:rPr>
        <w:t>e</w:t>
      </w:r>
    </w:p>
    <w:p w14:paraId="4F356C9A" w14:textId="77777777" w:rsidR="00000000" w:rsidRDefault="003A1B5D">
      <w:pPr>
        <w:pStyle w:val="a3"/>
        <w:spacing w:before="120" w:beforeAutospacing="0" w:after="0" w:afterAutospacing="0"/>
        <w:jc w:val="both"/>
        <w:rPr>
          <w:sz w:val="20"/>
          <w:szCs w:val="20"/>
        </w:rPr>
      </w:pPr>
      <w:r>
        <w:rPr>
          <w:sz w:val="20"/>
          <w:szCs w:val="20"/>
        </w:rPr>
        <w:t>Total revenue consists of management revenue we generate through CoreCivic Safety and CoreCivic Community in the operation of correctional, detention, and residential reentry facilities, as well as the revenue we generate from TransCor and our electronic m</w:t>
      </w:r>
      <w:r>
        <w:rPr>
          <w:sz w:val="20"/>
          <w:szCs w:val="20"/>
        </w:rPr>
        <w:t>onitoring and case management services. Total revenue also consists of lease revenue we generate through CoreCivic Properties from facilities we lease to third-party operators. The following table reflects the components of revenue for the three and nine m</w:t>
      </w:r>
      <w:r>
        <w:rPr>
          <w:sz w:val="20"/>
          <w:szCs w:val="20"/>
        </w:rPr>
        <w:t>onths ended September 30, 2022 and 2021 (in millions)</w:t>
      </w:r>
      <w:r>
        <w:rPr>
          <w:sz w:val="20"/>
          <w:szCs w:val="20"/>
        </w:rPr>
        <w:t>:</w:t>
      </w:r>
    </w:p>
    <w:p w14:paraId="4F943792" w14:textId="77777777" w:rsidR="00000000" w:rsidRDefault="003A1B5D">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487"/>
        <w:gridCol w:w="110"/>
        <w:gridCol w:w="160"/>
        <w:gridCol w:w="529"/>
        <w:gridCol w:w="110"/>
        <w:gridCol w:w="110"/>
        <w:gridCol w:w="160"/>
        <w:gridCol w:w="568"/>
        <w:gridCol w:w="110"/>
        <w:gridCol w:w="110"/>
        <w:gridCol w:w="161"/>
        <w:gridCol w:w="611"/>
        <w:gridCol w:w="127"/>
        <w:gridCol w:w="110"/>
        <w:gridCol w:w="110"/>
        <w:gridCol w:w="593"/>
        <w:gridCol w:w="309"/>
      </w:tblGrid>
      <w:tr w:rsidR="00000000" w14:paraId="243E39A0" w14:textId="77777777">
        <w:trPr>
          <w:tblCellSpacing w:w="15" w:type="dxa"/>
        </w:trPr>
        <w:tc>
          <w:tcPr>
            <w:tcW w:w="2519" w:type="pct"/>
            <w:vAlign w:val="center"/>
            <w:hideMark/>
          </w:tcPr>
          <w:p w14:paraId="0424BDE6" w14:textId="77777777" w:rsidR="00000000" w:rsidRDefault="003A1B5D">
            <w:pPr>
              <w:rPr>
                <w:sz w:val="20"/>
                <w:szCs w:val="20"/>
              </w:rPr>
            </w:pPr>
          </w:p>
        </w:tc>
        <w:tc>
          <w:tcPr>
            <w:tcW w:w="60" w:type="pct"/>
            <w:vAlign w:val="center"/>
            <w:hideMark/>
          </w:tcPr>
          <w:p w14:paraId="1095DC93" w14:textId="77777777" w:rsidR="00000000" w:rsidRDefault="003A1B5D">
            <w:pPr>
              <w:rPr>
                <w:rFonts w:eastAsia="Times New Roman"/>
                <w:sz w:val="20"/>
                <w:szCs w:val="20"/>
              </w:rPr>
            </w:pPr>
          </w:p>
        </w:tc>
        <w:tc>
          <w:tcPr>
            <w:tcW w:w="50" w:type="pct"/>
            <w:vAlign w:val="center"/>
            <w:hideMark/>
          </w:tcPr>
          <w:p w14:paraId="603BB9D5" w14:textId="77777777" w:rsidR="00000000" w:rsidRDefault="003A1B5D">
            <w:pPr>
              <w:rPr>
                <w:rFonts w:eastAsia="Times New Roman"/>
                <w:sz w:val="20"/>
                <w:szCs w:val="20"/>
              </w:rPr>
            </w:pPr>
          </w:p>
        </w:tc>
        <w:tc>
          <w:tcPr>
            <w:tcW w:w="438" w:type="pct"/>
            <w:vAlign w:val="center"/>
            <w:hideMark/>
          </w:tcPr>
          <w:p w14:paraId="6E5516B0" w14:textId="77777777" w:rsidR="00000000" w:rsidRDefault="003A1B5D">
            <w:pPr>
              <w:rPr>
                <w:rFonts w:eastAsia="Times New Roman"/>
                <w:sz w:val="20"/>
                <w:szCs w:val="20"/>
              </w:rPr>
            </w:pPr>
          </w:p>
        </w:tc>
        <w:tc>
          <w:tcPr>
            <w:tcW w:w="50" w:type="pct"/>
            <w:vAlign w:val="center"/>
            <w:hideMark/>
          </w:tcPr>
          <w:p w14:paraId="515456DF" w14:textId="77777777" w:rsidR="00000000" w:rsidRDefault="003A1B5D">
            <w:pPr>
              <w:rPr>
                <w:rFonts w:eastAsia="Times New Roman"/>
                <w:sz w:val="20"/>
                <w:szCs w:val="20"/>
              </w:rPr>
            </w:pPr>
          </w:p>
        </w:tc>
        <w:tc>
          <w:tcPr>
            <w:tcW w:w="60" w:type="pct"/>
            <w:vAlign w:val="center"/>
            <w:hideMark/>
          </w:tcPr>
          <w:p w14:paraId="2B958972" w14:textId="77777777" w:rsidR="00000000" w:rsidRDefault="003A1B5D">
            <w:pPr>
              <w:rPr>
                <w:rFonts w:eastAsia="Times New Roman"/>
                <w:sz w:val="20"/>
                <w:szCs w:val="20"/>
              </w:rPr>
            </w:pPr>
          </w:p>
        </w:tc>
        <w:tc>
          <w:tcPr>
            <w:tcW w:w="50" w:type="pct"/>
            <w:vAlign w:val="center"/>
            <w:hideMark/>
          </w:tcPr>
          <w:p w14:paraId="22C6AB7D" w14:textId="77777777" w:rsidR="00000000" w:rsidRDefault="003A1B5D">
            <w:pPr>
              <w:rPr>
                <w:rFonts w:eastAsia="Times New Roman"/>
                <w:sz w:val="20"/>
                <w:szCs w:val="20"/>
              </w:rPr>
            </w:pPr>
          </w:p>
        </w:tc>
        <w:tc>
          <w:tcPr>
            <w:tcW w:w="466" w:type="pct"/>
            <w:vAlign w:val="center"/>
            <w:hideMark/>
          </w:tcPr>
          <w:p w14:paraId="3AADA26B" w14:textId="77777777" w:rsidR="00000000" w:rsidRDefault="003A1B5D">
            <w:pPr>
              <w:rPr>
                <w:rFonts w:eastAsia="Times New Roman"/>
                <w:sz w:val="20"/>
                <w:szCs w:val="20"/>
              </w:rPr>
            </w:pPr>
          </w:p>
        </w:tc>
        <w:tc>
          <w:tcPr>
            <w:tcW w:w="50" w:type="pct"/>
            <w:vAlign w:val="center"/>
            <w:hideMark/>
          </w:tcPr>
          <w:p w14:paraId="323CABB4" w14:textId="77777777" w:rsidR="00000000" w:rsidRDefault="003A1B5D">
            <w:pPr>
              <w:rPr>
                <w:rFonts w:eastAsia="Times New Roman"/>
                <w:sz w:val="20"/>
                <w:szCs w:val="20"/>
              </w:rPr>
            </w:pPr>
          </w:p>
        </w:tc>
        <w:tc>
          <w:tcPr>
            <w:tcW w:w="60" w:type="pct"/>
            <w:vAlign w:val="center"/>
            <w:hideMark/>
          </w:tcPr>
          <w:p w14:paraId="5C93E125" w14:textId="77777777" w:rsidR="00000000" w:rsidRDefault="003A1B5D">
            <w:pPr>
              <w:rPr>
                <w:rFonts w:eastAsia="Times New Roman"/>
                <w:sz w:val="20"/>
                <w:szCs w:val="20"/>
              </w:rPr>
            </w:pPr>
          </w:p>
        </w:tc>
        <w:tc>
          <w:tcPr>
            <w:tcW w:w="50" w:type="pct"/>
            <w:vAlign w:val="center"/>
            <w:hideMark/>
          </w:tcPr>
          <w:p w14:paraId="30313098" w14:textId="77777777" w:rsidR="00000000" w:rsidRDefault="003A1B5D">
            <w:pPr>
              <w:rPr>
                <w:rFonts w:eastAsia="Times New Roman"/>
                <w:sz w:val="20"/>
                <w:szCs w:val="20"/>
              </w:rPr>
            </w:pPr>
          </w:p>
        </w:tc>
        <w:tc>
          <w:tcPr>
            <w:tcW w:w="455" w:type="pct"/>
            <w:vAlign w:val="center"/>
            <w:hideMark/>
          </w:tcPr>
          <w:p w14:paraId="6A21FD20" w14:textId="77777777" w:rsidR="00000000" w:rsidRDefault="003A1B5D">
            <w:pPr>
              <w:rPr>
                <w:rFonts w:eastAsia="Times New Roman"/>
                <w:sz w:val="20"/>
                <w:szCs w:val="20"/>
              </w:rPr>
            </w:pPr>
          </w:p>
        </w:tc>
        <w:tc>
          <w:tcPr>
            <w:tcW w:w="50" w:type="pct"/>
            <w:vAlign w:val="center"/>
            <w:hideMark/>
          </w:tcPr>
          <w:p w14:paraId="34F8A086" w14:textId="77777777" w:rsidR="00000000" w:rsidRDefault="003A1B5D">
            <w:pPr>
              <w:rPr>
                <w:rFonts w:eastAsia="Times New Roman"/>
                <w:sz w:val="20"/>
                <w:szCs w:val="20"/>
              </w:rPr>
            </w:pPr>
          </w:p>
        </w:tc>
        <w:tc>
          <w:tcPr>
            <w:tcW w:w="50" w:type="pct"/>
            <w:vAlign w:val="center"/>
            <w:hideMark/>
          </w:tcPr>
          <w:p w14:paraId="4132FDBC" w14:textId="77777777" w:rsidR="00000000" w:rsidRDefault="003A1B5D">
            <w:pPr>
              <w:rPr>
                <w:rFonts w:eastAsia="Times New Roman"/>
                <w:sz w:val="20"/>
                <w:szCs w:val="20"/>
              </w:rPr>
            </w:pPr>
          </w:p>
        </w:tc>
        <w:tc>
          <w:tcPr>
            <w:tcW w:w="50" w:type="pct"/>
            <w:vAlign w:val="center"/>
            <w:hideMark/>
          </w:tcPr>
          <w:p w14:paraId="5C3CF2F5" w14:textId="77777777" w:rsidR="00000000" w:rsidRDefault="003A1B5D">
            <w:pPr>
              <w:rPr>
                <w:rFonts w:eastAsia="Times New Roman"/>
                <w:sz w:val="20"/>
                <w:szCs w:val="20"/>
              </w:rPr>
            </w:pPr>
          </w:p>
        </w:tc>
        <w:tc>
          <w:tcPr>
            <w:tcW w:w="487" w:type="pct"/>
            <w:vAlign w:val="center"/>
            <w:hideMark/>
          </w:tcPr>
          <w:p w14:paraId="29417CCB" w14:textId="77777777" w:rsidR="00000000" w:rsidRDefault="003A1B5D">
            <w:pPr>
              <w:rPr>
                <w:rFonts w:eastAsia="Times New Roman"/>
                <w:sz w:val="20"/>
                <w:szCs w:val="20"/>
              </w:rPr>
            </w:pPr>
          </w:p>
        </w:tc>
        <w:tc>
          <w:tcPr>
            <w:tcW w:w="50" w:type="pct"/>
            <w:vAlign w:val="center"/>
            <w:hideMark/>
          </w:tcPr>
          <w:p w14:paraId="505D3EC7" w14:textId="77777777" w:rsidR="00000000" w:rsidRDefault="003A1B5D">
            <w:pPr>
              <w:rPr>
                <w:rFonts w:eastAsia="Times New Roman"/>
                <w:sz w:val="20"/>
                <w:szCs w:val="20"/>
              </w:rPr>
            </w:pPr>
          </w:p>
        </w:tc>
      </w:tr>
      <w:tr w:rsidR="00000000" w14:paraId="290B9B63" w14:textId="77777777">
        <w:trPr>
          <w:trHeight w:val="160"/>
          <w:tblCellSpacing w:w="15" w:type="dxa"/>
        </w:trPr>
        <w:tc>
          <w:tcPr>
            <w:tcW w:w="0" w:type="auto"/>
            <w:vAlign w:val="bottom"/>
            <w:hideMark/>
          </w:tcPr>
          <w:p w14:paraId="02358718"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5A8C60A2" w14:textId="77777777" w:rsidR="00000000" w:rsidRDefault="003A1B5D">
            <w:pPr>
              <w:pStyle w:val="a3"/>
              <w:spacing w:before="0" w:beforeAutospacing="0" w:after="0" w:afterAutospacing="0"/>
              <w:rPr>
                <w:sz w:val="16"/>
                <w:szCs w:val="16"/>
              </w:rPr>
            </w:pPr>
            <w:r>
              <w:rPr>
                <w:sz w:val="16"/>
                <w:szCs w:val="16"/>
              </w:rPr>
              <w:t> </w:t>
            </w:r>
          </w:p>
        </w:tc>
        <w:tc>
          <w:tcPr>
            <w:tcW w:w="0" w:type="auto"/>
            <w:gridSpan w:val="6"/>
            <w:vAlign w:val="bottom"/>
            <w:hideMark/>
          </w:tcPr>
          <w:p w14:paraId="56641A8B" w14:textId="77777777" w:rsidR="00000000" w:rsidRDefault="003A1B5D">
            <w:pPr>
              <w:pStyle w:val="a3"/>
              <w:spacing w:before="0" w:beforeAutospacing="0" w:after="0" w:afterAutospacing="0"/>
              <w:jc w:val="center"/>
              <w:rPr>
                <w:sz w:val="16"/>
                <w:szCs w:val="16"/>
              </w:rPr>
            </w:pPr>
            <w:r>
              <w:rPr>
                <w:b/>
                <w:bCs/>
                <w:sz w:val="16"/>
                <w:szCs w:val="16"/>
              </w:rPr>
              <w:t xml:space="preserve">For the Three Months Ended </w:t>
            </w:r>
            <w:r>
              <w:rPr>
                <w:b/>
                <w:bCs/>
                <w:sz w:val="16"/>
                <w:szCs w:val="16"/>
              </w:rPr>
              <w:br/>
              <w:t>September 30</w:t>
            </w:r>
            <w:r>
              <w:rPr>
                <w:b/>
                <w:bCs/>
                <w:sz w:val="16"/>
                <w:szCs w:val="16"/>
              </w:rPr>
              <w:t>,</w:t>
            </w:r>
          </w:p>
        </w:tc>
        <w:tc>
          <w:tcPr>
            <w:tcW w:w="0" w:type="auto"/>
            <w:vAlign w:val="bottom"/>
            <w:hideMark/>
          </w:tcPr>
          <w:p w14:paraId="595B225B"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1841F16D"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34D79972"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4E2682C1"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367305DF"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75B51B18"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3FDD54D1"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1464EA08" w14:textId="77777777">
        <w:trPr>
          <w:trHeight w:val="160"/>
          <w:tblCellSpacing w:w="15" w:type="dxa"/>
        </w:trPr>
        <w:tc>
          <w:tcPr>
            <w:tcW w:w="0" w:type="auto"/>
            <w:vAlign w:val="bottom"/>
            <w:hideMark/>
          </w:tcPr>
          <w:p w14:paraId="3D54E70D"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7D30BF80"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522F9346"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0631D55A"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40D286E8"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678E485F"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587B5966"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0F2185AF"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14124612" w14:textId="77777777" w:rsidR="00000000" w:rsidRDefault="003A1B5D">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14:paraId="1C16DC8F"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34182062"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1C9F1F8D" w14:textId="77777777" w:rsidR="00000000" w:rsidRDefault="003A1B5D">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14:paraId="1F8A36CC"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0E48451A" w14:textId="77777777">
        <w:trPr>
          <w:trHeight w:val="200"/>
          <w:tblCellSpacing w:w="15" w:type="dxa"/>
        </w:trPr>
        <w:tc>
          <w:tcPr>
            <w:tcW w:w="0" w:type="auto"/>
            <w:hideMark/>
          </w:tcPr>
          <w:p w14:paraId="7E72F80A" w14:textId="77777777" w:rsidR="00000000" w:rsidRDefault="003A1B5D">
            <w:pPr>
              <w:pStyle w:val="a3"/>
              <w:spacing w:before="0" w:beforeAutospacing="0" w:after="0" w:afterAutospacing="0"/>
              <w:rPr>
                <w:sz w:val="20"/>
                <w:szCs w:val="20"/>
              </w:rPr>
            </w:pPr>
            <w:r>
              <w:rPr>
                <w:sz w:val="20"/>
                <w:szCs w:val="20"/>
              </w:rPr>
              <w:t>Management revenue</w:t>
            </w:r>
            <w:r>
              <w:rPr>
                <w:sz w:val="20"/>
                <w:szCs w:val="20"/>
              </w:rPr>
              <w:t>:</w:t>
            </w:r>
          </w:p>
        </w:tc>
        <w:tc>
          <w:tcPr>
            <w:tcW w:w="0" w:type="auto"/>
            <w:vAlign w:val="bottom"/>
            <w:hideMark/>
          </w:tcPr>
          <w:p w14:paraId="1BA28E3F"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4637CF0B"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660EAFC3"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C79B2B7"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43C9FF61"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37571178"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245EB48"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6F5FF5F5"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4F6B98D0"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6DD2311C"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33B2FF4D"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74F8F7D3" w14:textId="77777777" w:rsidR="00000000" w:rsidRDefault="003A1B5D">
            <w:pPr>
              <w:pStyle w:val="a3"/>
              <w:spacing w:before="0" w:beforeAutospacing="0" w:after="0" w:afterAutospacing="0"/>
              <w:jc w:val="right"/>
              <w:rPr>
                <w:sz w:val="20"/>
                <w:szCs w:val="20"/>
              </w:rPr>
            </w:pPr>
            <w:r>
              <w:rPr>
                <w:sz w:val="20"/>
                <w:szCs w:val="20"/>
              </w:rPr>
              <w:t> </w:t>
            </w:r>
          </w:p>
        </w:tc>
      </w:tr>
      <w:tr w:rsidR="00000000" w14:paraId="2CE6981D" w14:textId="77777777">
        <w:trPr>
          <w:trHeight w:val="200"/>
          <w:tblCellSpacing w:w="15" w:type="dxa"/>
        </w:trPr>
        <w:tc>
          <w:tcPr>
            <w:tcW w:w="0" w:type="auto"/>
            <w:hideMark/>
          </w:tcPr>
          <w:p w14:paraId="058FBC35" w14:textId="77777777" w:rsidR="00000000" w:rsidRDefault="003A1B5D">
            <w:pPr>
              <w:pStyle w:val="a3"/>
              <w:spacing w:before="0" w:beforeAutospacing="0" w:after="0" w:afterAutospacing="0"/>
              <w:ind w:left="200"/>
              <w:rPr>
                <w:sz w:val="20"/>
                <w:szCs w:val="20"/>
              </w:rPr>
            </w:pPr>
            <w:r>
              <w:rPr>
                <w:sz w:val="20"/>
                <w:szCs w:val="20"/>
              </w:rPr>
              <w:t>Federa</w:t>
            </w:r>
            <w:r>
              <w:rPr>
                <w:sz w:val="20"/>
                <w:szCs w:val="20"/>
              </w:rPr>
              <w:t>l</w:t>
            </w:r>
          </w:p>
        </w:tc>
        <w:tc>
          <w:tcPr>
            <w:tcW w:w="0" w:type="auto"/>
            <w:vAlign w:val="bottom"/>
            <w:hideMark/>
          </w:tcPr>
          <w:p w14:paraId="7633F4D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245207E"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70FC5EC2" w14:textId="77777777" w:rsidR="00000000" w:rsidRDefault="003A1B5D">
            <w:pPr>
              <w:pStyle w:val="a3"/>
              <w:spacing w:before="0" w:beforeAutospacing="0" w:after="0" w:afterAutospacing="0"/>
              <w:jc w:val="right"/>
              <w:rPr>
                <w:sz w:val="20"/>
                <w:szCs w:val="20"/>
              </w:rPr>
            </w:pPr>
            <w:r>
              <w:rPr>
                <w:b/>
                <w:bCs/>
                <w:sz w:val="20"/>
                <w:szCs w:val="20"/>
              </w:rPr>
              <w:t>248.</w:t>
            </w:r>
            <w:r>
              <w:rPr>
                <w:b/>
                <w:bCs/>
                <w:sz w:val="20"/>
                <w:szCs w:val="20"/>
              </w:rPr>
              <w:t>4</w:t>
            </w:r>
          </w:p>
        </w:tc>
        <w:tc>
          <w:tcPr>
            <w:tcW w:w="0" w:type="auto"/>
            <w:noWrap/>
            <w:vAlign w:val="bottom"/>
            <w:hideMark/>
          </w:tcPr>
          <w:p w14:paraId="1CCC224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E4BC38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B99D62F"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77BA9A5E" w14:textId="77777777" w:rsidR="00000000" w:rsidRDefault="003A1B5D">
            <w:pPr>
              <w:pStyle w:val="a3"/>
              <w:spacing w:before="0" w:beforeAutospacing="0" w:after="0" w:afterAutospacing="0"/>
              <w:jc w:val="right"/>
              <w:rPr>
                <w:sz w:val="20"/>
                <w:szCs w:val="20"/>
              </w:rPr>
            </w:pPr>
            <w:r>
              <w:rPr>
                <w:sz w:val="20"/>
                <w:szCs w:val="20"/>
              </w:rPr>
              <w:t>266.</w:t>
            </w:r>
            <w:r>
              <w:rPr>
                <w:sz w:val="20"/>
                <w:szCs w:val="20"/>
              </w:rPr>
              <w:t>2</w:t>
            </w:r>
          </w:p>
        </w:tc>
        <w:tc>
          <w:tcPr>
            <w:tcW w:w="0" w:type="auto"/>
            <w:noWrap/>
            <w:vAlign w:val="bottom"/>
            <w:hideMark/>
          </w:tcPr>
          <w:p w14:paraId="4CC10B6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4E0111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2FB830E"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45DF8DAC" w14:textId="77777777" w:rsidR="00000000" w:rsidRDefault="003A1B5D">
            <w:pPr>
              <w:pStyle w:val="a3"/>
              <w:spacing w:before="0" w:beforeAutospacing="0" w:after="0" w:afterAutospacing="0"/>
              <w:jc w:val="right"/>
              <w:rPr>
                <w:sz w:val="20"/>
                <w:szCs w:val="20"/>
              </w:rPr>
            </w:pPr>
            <w:r>
              <w:rPr>
                <w:sz w:val="20"/>
                <w:szCs w:val="20"/>
              </w:rPr>
              <w:t>(17.</w:t>
            </w:r>
            <w:r>
              <w:rPr>
                <w:sz w:val="20"/>
                <w:szCs w:val="20"/>
              </w:rPr>
              <w:t>8</w:t>
            </w:r>
          </w:p>
        </w:tc>
        <w:tc>
          <w:tcPr>
            <w:tcW w:w="0" w:type="auto"/>
            <w:noWrap/>
            <w:vAlign w:val="bottom"/>
            <w:hideMark/>
          </w:tcPr>
          <w:p w14:paraId="2C4AD44E"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4DBF7F7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68ABF5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3DC54A3" w14:textId="77777777" w:rsidR="00000000" w:rsidRDefault="003A1B5D">
            <w:pPr>
              <w:pStyle w:val="a3"/>
              <w:spacing w:before="0" w:beforeAutospacing="0" w:after="0" w:afterAutospacing="0"/>
              <w:jc w:val="right"/>
              <w:rPr>
                <w:sz w:val="20"/>
                <w:szCs w:val="20"/>
              </w:rPr>
            </w:pPr>
            <w:r>
              <w:rPr>
                <w:sz w:val="20"/>
                <w:szCs w:val="20"/>
              </w:rPr>
              <w:t>(6.</w:t>
            </w:r>
            <w:r>
              <w:rPr>
                <w:sz w:val="20"/>
                <w:szCs w:val="20"/>
              </w:rPr>
              <w:t>7</w:t>
            </w:r>
          </w:p>
        </w:tc>
        <w:tc>
          <w:tcPr>
            <w:tcW w:w="0" w:type="auto"/>
            <w:noWrap/>
            <w:vAlign w:val="bottom"/>
            <w:hideMark/>
          </w:tcPr>
          <w:p w14:paraId="46A7C2BD" w14:textId="77777777" w:rsidR="00000000" w:rsidRDefault="003A1B5D">
            <w:pPr>
              <w:pStyle w:val="a3"/>
              <w:spacing w:before="0" w:beforeAutospacing="0" w:after="0" w:afterAutospacing="0"/>
              <w:rPr>
                <w:sz w:val="20"/>
                <w:szCs w:val="20"/>
              </w:rPr>
            </w:pPr>
            <w:r>
              <w:rPr>
                <w:sz w:val="20"/>
                <w:szCs w:val="20"/>
              </w:rPr>
              <w:t>%</w:t>
            </w:r>
            <w:r>
              <w:rPr>
                <w:sz w:val="20"/>
                <w:szCs w:val="20"/>
              </w:rPr>
              <w:t>)</w:t>
            </w:r>
          </w:p>
        </w:tc>
      </w:tr>
      <w:tr w:rsidR="00000000" w14:paraId="623FFF18" w14:textId="77777777">
        <w:trPr>
          <w:trHeight w:val="200"/>
          <w:tblCellSpacing w:w="15" w:type="dxa"/>
        </w:trPr>
        <w:tc>
          <w:tcPr>
            <w:tcW w:w="0" w:type="auto"/>
            <w:hideMark/>
          </w:tcPr>
          <w:p w14:paraId="25666701" w14:textId="77777777" w:rsidR="00000000" w:rsidRDefault="003A1B5D">
            <w:pPr>
              <w:pStyle w:val="a3"/>
              <w:spacing w:before="0" w:beforeAutospacing="0" w:after="0" w:afterAutospacing="0"/>
              <w:ind w:left="200"/>
              <w:rPr>
                <w:sz w:val="20"/>
                <w:szCs w:val="20"/>
              </w:rPr>
            </w:pPr>
            <w:r>
              <w:rPr>
                <w:sz w:val="20"/>
                <w:szCs w:val="20"/>
              </w:rPr>
              <w:t>Stat</w:t>
            </w:r>
            <w:r>
              <w:rPr>
                <w:sz w:val="20"/>
                <w:szCs w:val="20"/>
              </w:rPr>
              <w:t>e</w:t>
            </w:r>
          </w:p>
        </w:tc>
        <w:tc>
          <w:tcPr>
            <w:tcW w:w="0" w:type="auto"/>
            <w:vAlign w:val="bottom"/>
            <w:hideMark/>
          </w:tcPr>
          <w:p w14:paraId="648A5C5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B06552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CFE365A" w14:textId="77777777" w:rsidR="00000000" w:rsidRDefault="003A1B5D">
            <w:pPr>
              <w:pStyle w:val="a3"/>
              <w:spacing w:before="0" w:beforeAutospacing="0" w:after="0" w:afterAutospacing="0"/>
              <w:jc w:val="right"/>
              <w:rPr>
                <w:sz w:val="20"/>
                <w:szCs w:val="20"/>
              </w:rPr>
            </w:pPr>
            <w:r>
              <w:rPr>
                <w:b/>
                <w:bCs/>
                <w:sz w:val="20"/>
                <w:szCs w:val="20"/>
              </w:rPr>
              <w:t>172.</w:t>
            </w:r>
            <w:r>
              <w:rPr>
                <w:b/>
                <w:bCs/>
                <w:sz w:val="20"/>
                <w:szCs w:val="20"/>
              </w:rPr>
              <w:t>1</w:t>
            </w:r>
          </w:p>
        </w:tc>
        <w:tc>
          <w:tcPr>
            <w:tcW w:w="0" w:type="auto"/>
            <w:noWrap/>
            <w:vAlign w:val="bottom"/>
            <w:hideMark/>
          </w:tcPr>
          <w:p w14:paraId="2F77EB7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6912D1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A7BA4A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46921BD" w14:textId="77777777" w:rsidR="00000000" w:rsidRDefault="003A1B5D">
            <w:pPr>
              <w:pStyle w:val="a3"/>
              <w:spacing w:before="0" w:beforeAutospacing="0" w:after="0" w:afterAutospacing="0"/>
              <w:jc w:val="right"/>
              <w:rPr>
                <w:sz w:val="20"/>
                <w:szCs w:val="20"/>
              </w:rPr>
            </w:pPr>
            <w:r>
              <w:rPr>
                <w:sz w:val="20"/>
                <w:szCs w:val="20"/>
              </w:rPr>
              <w:t>155.</w:t>
            </w:r>
            <w:r>
              <w:rPr>
                <w:sz w:val="20"/>
                <w:szCs w:val="20"/>
              </w:rPr>
              <w:t>2</w:t>
            </w:r>
          </w:p>
        </w:tc>
        <w:tc>
          <w:tcPr>
            <w:tcW w:w="0" w:type="auto"/>
            <w:noWrap/>
            <w:vAlign w:val="bottom"/>
            <w:hideMark/>
          </w:tcPr>
          <w:p w14:paraId="304045E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CC6542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F9766E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E54C7F2" w14:textId="77777777" w:rsidR="00000000" w:rsidRDefault="003A1B5D">
            <w:pPr>
              <w:pStyle w:val="a3"/>
              <w:spacing w:before="0" w:beforeAutospacing="0" w:after="0" w:afterAutospacing="0"/>
              <w:jc w:val="right"/>
              <w:rPr>
                <w:sz w:val="20"/>
                <w:szCs w:val="20"/>
              </w:rPr>
            </w:pPr>
            <w:r>
              <w:rPr>
                <w:sz w:val="20"/>
                <w:szCs w:val="20"/>
              </w:rPr>
              <w:t>16.</w:t>
            </w:r>
            <w:r>
              <w:rPr>
                <w:sz w:val="20"/>
                <w:szCs w:val="20"/>
              </w:rPr>
              <w:t>9</w:t>
            </w:r>
          </w:p>
        </w:tc>
        <w:tc>
          <w:tcPr>
            <w:tcW w:w="0" w:type="auto"/>
            <w:noWrap/>
            <w:vAlign w:val="bottom"/>
            <w:hideMark/>
          </w:tcPr>
          <w:p w14:paraId="1587890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BA16E3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B0D500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8C3EA8B" w14:textId="77777777" w:rsidR="00000000" w:rsidRDefault="003A1B5D">
            <w:pPr>
              <w:pStyle w:val="a3"/>
              <w:spacing w:before="0" w:beforeAutospacing="0" w:after="0" w:afterAutospacing="0"/>
              <w:jc w:val="right"/>
              <w:rPr>
                <w:sz w:val="20"/>
                <w:szCs w:val="20"/>
              </w:rPr>
            </w:pPr>
            <w:r>
              <w:rPr>
                <w:sz w:val="20"/>
                <w:szCs w:val="20"/>
              </w:rPr>
              <w:t>10.</w:t>
            </w:r>
            <w:r>
              <w:rPr>
                <w:sz w:val="20"/>
                <w:szCs w:val="20"/>
              </w:rPr>
              <w:t>9</w:t>
            </w:r>
          </w:p>
        </w:tc>
        <w:tc>
          <w:tcPr>
            <w:tcW w:w="0" w:type="auto"/>
            <w:noWrap/>
            <w:vAlign w:val="bottom"/>
            <w:hideMark/>
          </w:tcPr>
          <w:p w14:paraId="6F09B3B4" w14:textId="77777777" w:rsidR="00000000" w:rsidRDefault="003A1B5D">
            <w:pPr>
              <w:pStyle w:val="a3"/>
              <w:spacing w:before="0" w:beforeAutospacing="0" w:after="0" w:afterAutospacing="0"/>
              <w:rPr>
                <w:sz w:val="20"/>
                <w:szCs w:val="20"/>
              </w:rPr>
            </w:pPr>
            <w:r>
              <w:rPr>
                <w:sz w:val="20"/>
                <w:szCs w:val="20"/>
              </w:rPr>
              <w:t>%</w:t>
            </w:r>
          </w:p>
        </w:tc>
      </w:tr>
      <w:tr w:rsidR="00000000" w14:paraId="40715D95" w14:textId="77777777">
        <w:trPr>
          <w:trHeight w:val="200"/>
          <w:tblCellSpacing w:w="15" w:type="dxa"/>
        </w:trPr>
        <w:tc>
          <w:tcPr>
            <w:tcW w:w="0" w:type="auto"/>
            <w:hideMark/>
          </w:tcPr>
          <w:p w14:paraId="4C2A1B8D" w14:textId="77777777" w:rsidR="00000000" w:rsidRDefault="003A1B5D">
            <w:pPr>
              <w:pStyle w:val="a3"/>
              <w:spacing w:before="0" w:beforeAutospacing="0" w:after="0" w:afterAutospacing="0"/>
              <w:ind w:left="200"/>
              <w:rPr>
                <w:sz w:val="20"/>
                <w:szCs w:val="20"/>
              </w:rPr>
            </w:pPr>
            <w:r>
              <w:rPr>
                <w:sz w:val="20"/>
                <w:szCs w:val="20"/>
              </w:rPr>
              <w:t>Loca</w:t>
            </w:r>
            <w:r>
              <w:rPr>
                <w:sz w:val="20"/>
                <w:szCs w:val="20"/>
              </w:rPr>
              <w:t>l</w:t>
            </w:r>
          </w:p>
        </w:tc>
        <w:tc>
          <w:tcPr>
            <w:tcW w:w="0" w:type="auto"/>
            <w:vAlign w:val="bottom"/>
            <w:hideMark/>
          </w:tcPr>
          <w:p w14:paraId="066FD64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B7C246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48D6F9E" w14:textId="77777777" w:rsidR="00000000" w:rsidRDefault="003A1B5D">
            <w:pPr>
              <w:pStyle w:val="a3"/>
              <w:spacing w:before="0" w:beforeAutospacing="0" w:after="0" w:afterAutospacing="0"/>
              <w:jc w:val="right"/>
              <w:rPr>
                <w:sz w:val="20"/>
                <w:szCs w:val="20"/>
              </w:rPr>
            </w:pPr>
            <w:r>
              <w:rPr>
                <w:b/>
                <w:bCs/>
                <w:sz w:val="20"/>
                <w:szCs w:val="20"/>
              </w:rPr>
              <w:t>9.</w:t>
            </w:r>
            <w:r>
              <w:rPr>
                <w:b/>
                <w:bCs/>
                <w:sz w:val="20"/>
                <w:szCs w:val="20"/>
              </w:rPr>
              <w:t>0</w:t>
            </w:r>
          </w:p>
        </w:tc>
        <w:tc>
          <w:tcPr>
            <w:tcW w:w="0" w:type="auto"/>
            <w:noWrap/>
            <w:vAlign w:val="bottom"/>
            <w:hideMark/>
          </w:tcPr>
          <w:p w14:paraId="30FFBEF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E4DD6E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B3A5F9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9711CFC" w14:textId="77777777" w:rsidR="00000000" w:rsidRDefault="003A1B5D">
            <w:pPr>
              <w:pStyle w:val="a3"/>
              <w:spacing w:before="0" w:beforeAutospacing="0" w:after="0" w:afterAutospacing="0"/>
              <w:jc w:val="right"/>
              <w:rPr>
                <w:sz w:val="20"/>
                <w:szCs w:val="20"/>
              </w:rPr>
            </w:pPr>
            <w:r>
              <w:rPr>
                <w:sz w:val="20"/>
                <w:szCs w:val="20"/>
              </w:rPr>
              <w:t>13.</w:t>
            </w:r>
            <w:r>
              <w:rPr>
                <w:sz w:val="20"/>
                <w:szCs w:val="20"/>
              </w:rPr>
              <w:t>2</w:t>
            </w:r>
          </w:p>
        </w:tc>
        <w:tc>
          <w:tcPr>
            <w:tcW w:w="0" w:type="auto"/>
            <w:noWrap/>
            <w:vAlign w:val="bottom"/>
            <w:hideMark/>
          </w:tcPr>
          <w:p w14:paraId="4371CB2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F8CA98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250AFF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C7C0779" w14:textId="77777777" w:rsidR="00000000" w:rsidRDefault="003A1B5D">
            <w:pPr>
              <w:pStyle w:val="a3"/>
              <w:spacing w:before="0" w:beforeAutospacing="0" w:after="0" w:afterAutospacing="0"/>
              <w:jc w:val="right"/>
              <w:rPr>
                <w:sz w:val="20"/>
                <w:szCs w:val="20"/>
              </w:rPr>
            </w:pPr>
            <w:r>
              <w:rPr>
                <w:sz w:val="20"/>
                <w:szCs w:val="20"/>
              </w:rPr>
              <w:t>(4.</w:t>
            </w:r>
            <w:r>
              <w:rPr>
                <w:sz w:val="20"/>
                <w:szCs w:val="20"/>
              </w:rPr>
              <w:t>2</w:t>
            </w:r>
          </w:p>
        </w:tc>
        <w:tc>
          <w:tcPr>
            <w:tcW w:w="0" w:type="auto"/>
            <w:noWrap/>
            <w:vAlign w:val="bottom"/>
            <w:hideMark/>
          </w:tcPr>
          <w:p w14:paraId="3D379E40"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19BEC94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73D76D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C044D0E" w14:textId="77777777" w:rsidR="00000000" w:rsidRDefault="003A1B5D">
            <w:pPr>
              <w:pStyle w:val="a3"/>
              <w:spacing w:before="0" w:beforeAutospacing="0" w:after="0" w:afterAutospacing="0"/>
              <w:jc w:val="right"/>
              <w:rPr>
                <w:sz w:val="20"/>
                <w:szCs w:val="20"/>
              </w:rPr>
            </w:pPr>
            <w:r>
              <w:rPr>
                <w:sz w:val="20"/>
                <w:szCs w:val="20"/>
              </w:rPr>
              <w:t>(31.</w:t>
            </w:r>
            <w:r>
              <w:rPr>
                <w:sz w:val="20"/>
                <w:szCs w:val="20"/>
              </w:rPr>
              <w:t>8</w:t>
            </w:r>
          </w:p>
        </w:tc>
        <w:tc>
          <w:tcPr>
            <w:tcW w:w="0" w:type="auto"/>
            <w:noWrap/>
            <w:vAlign w:val="bottom"/>
            <w:hideMark/>
          </w:tcPr>
          <w:p w14:paraId="6C0CC1BD" w14:textId="77777777" w:rsidR="00000000" w:rsidRDefault="003A1B5D">
            <w:pPr>
              <w:pStyle w:val="a3"/>
              <w:spacing w:before="0" w:beforeAutospacing="0" w:after="0" w:afterAutospacing="0"/>
              <w:rPr>
                <w:sz w:val="20"/>
                <w:szCs w:val="20"/>
              </w:rPr>
            </w:pPr>
            <w:r>
              <w:rPr>
                <w:sz w:val="20"/>
                <w:szCs w:val="20"/>
              </w:rPr>
              <w:t>%</w:t>
            </w:r>
            <w:r>
              <w:rPr>
                <w:sz w:val="20"/>
                <w:szCs w:val="20"/>
              </w:rPr>
              <w:t>)</w:t>
            </w:r>
          </w:p>
        </w:tc>
      </w:tr>
      <w:tr w:rsidR="00000000" w14:paraId="58DBB47E" w14:textId="77777777">
        <w:trPr>
          <w:trHeight w:val="200"/>
          <w:tblCellSpacing w:w="15" w:type="dxa"/>
        </w:trPr>
        <w:tc>
          <w:tcPr>
            <w:tcW w:w="0" w:type="auto"/>
            <w:hideMark/>
          </w:tcPr>
          <w:p w14:paraId="581FE296" w14:textId="77777777" w:rsidR="00000000" w:rsidRDefault="003A1B5D">
            <w:pPr>
              <w:pStyle w:val="a3"/>
              <w:spacing w:before="0" w:beforeAutospacing="0" w:after="0" w:afterAutospacing="0"/>
              <w:ind w:left="200"/>
              <w:rPr>
                <w:sz w:val="20"/>
                <w:szCs w:val="20"/>
              </w:rPr>
            </w:pPr>
            <w:r>
              <w:rPr>
                <w:sz w:val="20"/>
                <w:szCs w:val="20"/>
              </w:rPr>
              <w:t>Othe</w:t>
            </w:r>
            <w:r>
              <w:rPr>
                <w:sz w:val="20"/>
                <w:szCs w:val="20"/>
              </w:rPr>
              <w:t>r</w:t>
            </w:r>
          </w:p>
        </w:tc>
        <w:tc>
          <w:tcPr>
            <w:tcW w:w="0" w:type="auto"/>
            <w:vAlign w:val="bottom"/>
            <w:hideMark/>
          </w:tcPr>
          <w:p w14:paraId="5A447CF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07A0B5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511974B" w14:textId="77777777" w:rsidR="00000000" w:rsidRDefault="003A1B5D">
            <w:pPr>
              <w:pStyle w:val="a3"/>
              <w:spacing w:before="0" w:beforeAutospacing="0" w:after="0" w:afterAutospacing="0"/>
              <w:jc w:val="right"/>
              <w:rPr>
                <w:sz w:val="20"/>
                <w:szCs w:val="20"/>
              </w:rPr>
            </w:pPr>
            <w:r>
              <w:rPr>
                <w:b/>
                <w:bCs/>
                <w:sz w:val="20"/>
                <w:szCs w:val="20"/>
              </w:rPr>
              <w:t>20.</w:t>
            </w:r>
            <w:r>
              <w:rPr>
                <w:b/>
                <w:bCs/>
                <w:sz w:val="20"/>
                <w:szCs w:val="20"/>
              </w:rPr>
              <w:t>1</w:t>
            </w:r>
          </w:p>
        </w:tc>
        <w:tc>
          <w:tcPr>
            <w:tcW w:w="0" w:type="auto"/>
            <w:noWrap/>
            <w:vAlign w:val="bottom"/>
            <w:hideMark/>
          </w:tcPr>
          <w:p w14:paraId="7EE5E2C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43AA20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8677C9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523FC68" w14:textId="77777777" w:rsidR="00000000" w:rsidRDefault="003A1B5D">
            <w:pPr>
              <w:pStyle w:val="a3"/>
              <w:spacing w:before="0" w:beforeAutospacing="0" w:after="0" w:afterAutospacing="0"/>
              <w:jc w:val="right"/>
              <w:rPr>
                <w:sz w:val="20"/>
                <w:szCs w:val="20"/>
              </w:rPr>
            </w:pPr>
            <w:r>
              <w:rPr>
                <w:sz w:val="20"/>
                <w:szCs w:val="20"/>
              </w:rPr>
              <w:t>22.</w:t>
            </w:r>
            <w:r>
              <w:rPr>
                <w:sz w:val="20"/>
                <w:szCs w:val="20"/>
              </w:rPr>
              <w:t>5</w:t>
            </w:r>
          </w:p>
        </w:tc>
        <w:tc>
          <w:tcPr>
            <w:tcW w:w="0" w:type="auto"/>
            <w:noWrap/>
            <w:vAlign w:val="bottom"/>
            <w:hideMark/>
          </w:tcPr>
          <w:p w14:paraId="3097012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C148AD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B201BA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9D08CB7" w14:textId="77777777" w:rsidR="00000000" w:rsidRDefault="003A1B5D">
            <w:pPr>
              <w:pStyle w:val="a3"/>
              <w:spacing w:before="0" w:beforeAutospacing="0" w:after="0" w:afterAutospacing="0"/>
              <w:jc w:val="right"/>
              <w:rPr>
                <w:sz w:val="20"/>
                <w:szCs w:val="20"/>
              </w:rPr>
            </w:pPr>
            <w:r>
              <w:rPr>
                <w:sz w:val="20"/>
                <w:szCs w:val="20"/>
              </w:rPr>
              <w:t>(2.</w:t>
            </w:r>
            <w:r>
              <w:rPr>
                <w:sz w:val="20"/>
                <w:szCs w:val="20"/>
              </w:rPr>
              <w:t>4</w:t>
            </w:r>
          </w:p>
        </w:tc>
        <w:tc>
          <w:tcPr>
            <w:tcW w:w="0" w:type="auto"/>
            <w:noWrap/>
            <w:vAlign w:val="bottom"/>
            <w:hideMark/>
          </w:tcPr>
          <w:p w14:paraId="20B2F5D0"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0C8D024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89D563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700DEC2" w14:textId="77777777" w:rsidR="00000000" w:rsidRDefault="003A1B5D">
            <w:pPr>
              <w:pStyle w:val="a3"/>
              <w:spacing w:before="0" w:beforeAutospacing="0" w:after="0" w:afterAutospacing="0"/>
              <w:jc w:val="right"/>
              <w:rPr>
                <w:sz w:val="20"/>
                <w:szCs w:val="20"/>
              </w:rPr>
            </w:pPr>
            <w:r>
              <w:rPr>
                <w:sz w:val="20"/>
                <w:szCs w:val="20"/>
              </w:rPr>
              <w:t>(10.</w:t>
            </w:r>
            <w:r>
              <w:rPr>
                <w:sz w:val="20"/>
                <w:szCs w:val="20"/>
              </w:rPr>
              <w:t>7</w:t>
            </w:r>
          </w:p>
        </w:tc>
        <w:tc>
          <w:tcPr>
            <w:tcW w:w="0" w:type="auto"/>
            <w:noWrap/>
            <w:vAlign w:val="bottom"/>
            <w:hideMark/>
          </w:tcPr>
          <w:p w14:paraId="276E9876" w14:textId="77777777" w:rsidR="00000000" w:rsidRDefault="003A1B5D">
            <w:pPr>
              <w:pStyle w:val="a3"/>
              <w:spacing w:before="0" w:beforeAutospacing="0" w:after="0" w:afterAutospacing="0"/>
              <w:rPr>
                <w:sz w:val="20"/>
                <w:szCs w:val="20"/>
              </w:rPr>
            </w:pPr>
            <w:r>
              <w:rPr>
                <w:sz w:val="20"/>
                <w:szCs w:val="20"/>
              </w:rPr>
              <w:t>%</w:t>
            </w:r>
            <w:r>
              <w:rPr>
                <w:sz w:val="20"/>
                <w:szCs w:val="20"/>
              </w:rPr>
              <w:t>)</w:t>
            </w:r>
          </w:p>
        </w:tc>
      </w:tr>
      <w:tr w:rsidR="00000000" w14:paraId="275708BB" w14:textId="77777777">
        <w:trPr>
          <w:trHeight w:val="200"/>
          <w:tblCellSpacing w:w="15" w:type="dxa"/>
        </w:trPr>
        <w:tc>
          <w:tcPr>
            <w:tcW w:w="0" w:type="auto"/>
            <w:hideMark/>
          </w:tcPr>
          <w:p w14:paraId="7FA82681" w14:textId="77777777" w:rsidR="00000000" w:rsidRDefault="003A1B5D">
            <w:pPr>
              <w:pStyle w:val="a3"/>
              <w:spacing w:before="0" w:beforeAutospacing="0" w:after="0" w:afterAutospacing="0"/>
              <w:ind w:left="400"/>
              <w:rPr>
                <w:sz w:val="20"/>
                <w:szCs w:val="20"/>
              </w:rPr>
            </w:pPr>
            <w:r>
              <w:rPr>
                <w:sz w:val="20"/>
                <w:szCs w:val="20"/>
              </w:rPr>
              <w:t>Total management revenu</w:t>
            </w:r>
            <w:r>
              <w:rPr>
                <w:sz w:val="20"/>
                <w:szCs w:val="20"/>
              </w:rPr>
              <w:t>e</w:t>
            </w:r>
          </w:p>
        </w:tc>
        <w:tc>
          <w:tcPr>
            <w:tcW w:w="0" w:type="auto"/>
            <w:vAlign w:val="bottom"/>
            <w:hideMark/>
          </w:tcPr>
          <w:p w14:paraId="70DA0FC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89D563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7021423" w14:textId="77777777" w:rsidR="00000000" w:rsidRDefault="003A1B5D">
            <w:pPr>
              <w:pStyle w:val="a3"/>
              <w:spacing w:before="0" w:beforeAutospacing="0" w:after="0" w:afterAutospacing="0"/>
              <w:jc w:val="right"/>
              <w:rPr>
                <w:sz w:val="20"/>
                <w:szCs w:val="20"/>
              </w:rPr>
            </w:pPr>
            <w:r>
              <w:rPr>
                <w:b/>
                <w:bCs/>
                <w:sz w:val="20"/>
                <w:szCs w:val="20"/>
              </w:rPr>
              <w:t>449.</w:t>
            </w:r>
            <w:r>
              <w:rPr>
                <w:b/>
                <w:bCs/>
                <w:sz w:val="20"/>
                <w:szCs w:val="20"/>
              </w:rPr>
              <w:t>6</w:t>
            </w:r>
          </w:p>
        </w:tc>
        <w:tc>
          <w:tcPr>
            <w:tcW w:w="0" w:type="auto"/>
            <w:noWrap/>
            <w:vAlign w:val="bottom"/>
            <w:hideMark/>
          </w:tcPr>
          <w:p w14:paraId="35CB628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6907AE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FC8259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C580A98" w14:textId="77777777" w:rsidR="00000000" w:rsidRDefault="003A1B5D">
            <w:pPr>
              <w:pStyle w:val="a3"/>
              <w:spacing w:before="0" w:beforeAutospacing="0" w:after="0" w:afterAutospacing="0"/>
              <w:jc w:val="right"/>
              <w:rPr>
                <w:sz w:val="20"/>
                <w:szCs w:val="20"/>
              </w:rPr>
            </w:pPr>
            <w:r>
              <w:rPr>
                <w:sz w:val="20"/>
                <w:szCs w:val="20"/>
              </w:rPr>
              <w:t>457.</w:t>
            </w:r>
            <w:r>
              <w:rPr>
                <w:sz w:val="20"/>
                <w:szCs w:val="20"/>
              </w:rPr>
              <w:t>1</w:t>
            </w:r>
          </w:p>
        </w:tc>
        <w:tc>
          <w:tcPr>
            <w:tcW w:w="0" w:type="auto"/>
            <w:noWrap/>
            <w:vAlign w:val="bottom"/>
            <w:hideMark/>
          </w:tcPr>
          <w:p w14:paraId="189B4E2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911D4F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C247E7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F14A0E6" w14:textId="77777777" w:rsidR="00000000" w:rsidRDefault="003A1B5D">
            <w:pPr>
              <w:pStyle w:val="a3"/>
              <w:spacing w:before="0" w:beforeAutospacing="0" w:after="0" w:afterAutospacing="0"/>
              <w:jc w:val="right"/>
              <w:rPr>
                <w:sz w:val="20"/>
                <w:szCs w:val="20"/>
              </w:rPr>
            </w:pPr>
            <w:r>
              <w:rPr>
                <w:sz w:val="20"/>
                <w:szCs w:val="20"/>
              </w:rPr>
              <w:t>(7.</w:t>
            </w:r>
            <w:r>
              <w:rPr>
                <w:sz w:val="20"/>
                <w:szCs w:val="20"/>
              </w:rPr>
              <w:t>5</w:t>
            </w:r>
          </w:p>
        </w:tc>
        <w:tc>
          <w:tcPr>
            <w:tcW w:w="0" w:type="auto"/>
            <w:noWrap/>
            <w:vAlign w:val="bottom"/>
            <w:hideMark/>
          </w:tcPr>
          <w:p w14:paraId="556D998E"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68A8BC1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C45BB7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A34B126" w14:textId="77777777" w:rsidR="00000000" w:rsidRDefault="003A1B5D">
            <w:pPr>
              <w:pStyle w:val="a3"/>
              <w:spacing w:before="0" w:beforeAutospacing="0" w:after="0" w:afterAutospacing="0"/>
              <w:jc w:val="right"/>
              <w:rPr>
                <w:sz w:val="20"/>
                <w:szCs w:val="20"/>
              </w:rPr>
            </w:pPr>
            <w:r>
              <w:rPr>
                <w:sz w:val="20"/>
                <w:szCs w:val="20"/>
              </w:rPr>
              <w:t>(1.</w:t>
            </w:r>
            <w:r>
              <w:rPr>
                <w:sz w:val="20"/>
                <w:szCs w:val="20"/>
              </w:rPr>
              <w:t>6</w:t>
            </w:r>
          </w:p>
        </w:tc>
        <w:tc>
          <w:tcPr>
            <w:tcW w:w="0" w:type="auto"/>
            <w:noWrap/>
            <w:vAlign w:val="bottom"/>
            <w:hideMark/>
          </w:tcPr>
          <w:p w14:paraId="227CC324" w14:textId="77777777" w:rsidR="00000000" w:rsidRDefault="003A1B5D">
            <w:pPr>
              <w:pStyle w:val="a3"/>
              <w:spacing w:before="0" w:beforeAutospacing="0" w:after="0" w:afterAutospacing="0"/>
              <w:rPr>
                <w:sz w:val="20"/>
                <w:szCs w:val="20"/>
              </w:rPr>
            </w:pPr>
            <w:r>
              <w:rPr>
                <w:sz w:val="20"/>
                <w:szCs w:val="20"/>
              </w:rPr>
              <w:t>%</w:t>
            </w:r>
            <w:r>
              <w:rPr>
                <w:sz w:val="20"/>
                <w:szCs w:val="20"/>
              </w:rPr>
              <w:t>)</w:t>
            </w:r>
          </w:p>
        </w:tc>
      </w:tr>
      <w:tr w:rsidR="00000000" w14:paraId="29F6460C" w14:textId="77777777">
        <w:trPr>
          <w:trHeight w:val="200"/>
          <w:tblCellSpacing w:w="15" w:type="dxa"/>
        </w:trPr>
        <w:tc>
          <w:tcPr>
            <w:tcW w:w="0" w:type="auto"/>
            <w:hideMark/>
          </w:tcPr>
          <w:p w14:paraId="50F6C0CE" w14:textId="77777777" w:rsidR="00000000" w:rsidRDefault="003A1B5D">
            <w:pPr>
              <w:pStyle w:val="a3"/>
              <w:spacing w:before="0" w:beforeAutospacing="0" w:after="0" w:afterAutospacing="0"/>
              <w:rPr>
                <w:sz w:val="20"/>
                <w:szCs w:val="20"/>
              </w:rPr>
            </w:pPr>
            <w:r>
              <w:rPr>
                <w:sz w:val="20"/>
                <w:szCs w:val="20"/>
              </w:rPr>
              <w:t>Lease revenu</w:t>
            </w:r>
            <w:r>
              <w:rPr>
                <w:sz w:val="20"/>
                <w:szCs w:val="20"/>
              </w:rPr>
              <w:t>e</w:t>
            </w:r>
          </w:p>
        </w:tc>
        <w:tc>
          <w:tcPr>
            <w:tcW w:w="0" w:type="auto"/>
            <w:vAlign w:val="bottom"/>
            <w:hideMark/>
          </w:tcPr>
          <w:p w14:paraId="254F74A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43A1D8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48AAF9B" w14:textId="77777777" w:rsidR="00000000" w:rsidRDefault="003A1B5D">
            <w:pPr>
              <w:pStyle w:val="a3"/>
              <w:spacing w:before="0" w:beforeAutospacing="0" w:after="0" w:afterAutospacing="0"/>
              <w:jc w:val="right"/>
              <w:rPr>
                <w:sz w:val="20"/>
                <w:szCs w:val="20"/>
              </w:rPr>
            </w:pPr>
            <w:r>
              <w:rPr>
                <w:b/>
                <w:bCs/>
                <w:sz w:val="20"/>
                <w:szCs w:val="20"/>
              </w:rPr>
              <w:t>14.</w:t>
            </w:r>
            <w:r>
              <w:rPr>
                <w:b/>
                <w:bCs/>
                <w:sz w:val="20"/>
                <w:szCs w:val="20"/>
              </w:rPr>
              <w:t>6</w:t>
            </w:r>
          </w:p>
        </w:tc>
        <w:tc>
          <w:tcPr>
            <w:tcW w:w="0" w:type="auto"/>
            <w:noWrap/>
            <w:vAlign w:val="bottom"/>
            <w:hideMark/>
          </w:tcPr>
          <w:p w14:paraId="077FD41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DF8E0F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FDAE5F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BB592E4" w14:textId="77777777" w:rsidR="00000000" w:rsidRDefault="003A1B5D">
            <w:pPr>
              <w:pStyle w:val="a3"/>
              <w:spacing w:before="0" w:beforeAutospacing="0" w:after="0" w:afterAutospacing="0"/>
              <w:jc w:val="right"/>
              <w:rPr>
                <w:sz w:val="20"/>
                <w:szCs w:val="20"/>
              </w:rPr>
            </w:pPr>
            <w:r>
              <w:rPr>
                <w:sz w:val="20"/>
                <w:szCs w:val="20"/>
              </w:rPr>
              <w:t>13.</w:t>
            </w:r>
            <w:r>
              <w:rPr>
                <w:sz w:val="20"/>
                <w:szCs w:val="20"/>
              </w:rPr>
              <w:t>9</w:t>
            </w:r>
          </w:p>
        </w:tc>
        <w:tc>
          <w:tcPr>
            <w:tcW w:w="0" w:type="auto"/>
            <w:noWrap/>
            <w:vAlign w:val="bottom"/>
            <w:hideMark/>
          </w:tcPr>
          <w:p w14:paraId="2FD1245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56B426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EDFDA8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CCFA789" w14:textId="77777777" w:rsidR="00000000" w:rsidRDefault="003A1B5D">
            <w:pPr>
              <w:pStyle w:val="a3"/>
              <w:spacing w:before="0" w:beforeAutospacing="0" w:after="0" w:afterAutospacing="0"/>
              <w:jc w:val="right"/>
              <w:rPr>
                <w:sz w:val="20"/>
                <w:szCs w:val="20"/>
              </w:rPr>
            </w:pPr>
            <w:r>
              <w:rPr>
                <w:sz w:val="20"/>
                <w:szCs w:val="20"/>
              </w:rPr>
              <w:t>0.</w:t>
            </w:r>
            <w:r>
              <w:rPr>
                <w:sz w:val="20"/>
                <w:szCs w:val="20"/>
              </w:rPr>
              <w:t>7</w:t>
            </w:r>
          </w:p>
        </w:tc>
        <w:tc>
          <w:tcPr>
            <w:tcW w:w="0" w:type="auto"/>
            <w:noWrap/>
            <w:vAlign w:val="bottom"/>
            <w:hideMark/>
          </w:tcPr>
          <w:p w14:paraId="755B370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75A853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6B59D6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064F72D" w14:textId="77777777" w:rsidR="00000000" w:rsidRDefault="003A1B5D">
            <w:pPr>
              <w:pStyle w:val="a3"/>
              <w:spacing w:before="0" w:beforeAutospacing="0" w:after="0" w:afterAutospacing="0"/>
              <w:jc w:val="right"/>
              <w:rPr>
                <w:sz w:val="20"/>
                <w:szCs w:val="20"/>
              </w:rPr>
            </w:pPr>
            <w:r>
              <w:rPr>
                <w:sz w:val="20"/>
                <w:szCs w:val="20"/>
              </w:rPr>
              <w:t>5.</w:t>
            </w:r>
            <w:r>
              <w:rPr>
                <w:sz w:val="20"/>
                <w:szCs w:val="20"/>
              </w:rPr>
              <w:t>0</w:t>
            </w:r>
          </w:p>
        </w:tc>
        <w:tc>
          <w:tcPr>
            <w:tcW w:w="0" w:type="auto"/>
            <w:noWrap/>
            <w:vAlign w:val="bottom"/>
            <w:hideMark/>
          </w:tcPr>
          <w:p w14:paraId="2C6B4301" w14:textId="77777777" w:rsidR="00000000" w:rsidRDefault="003A1B5D">
            <w:pPr>
              <w:pStyle w:val="a3"/>
              <w:spacing w:before="0" w:beforeAutospacing="0" w:after="0" w:afterAutospacing="0"/>
              <w:rPr>
                <w:sz w:val="20"/>
                <w:szCs w:val="20"/>
              </w:rPr>
            </w:pPr>
            <w:r>
              <w:rPr>
                <w:sz w:val="20"/>
                <w:szCs w:val="20"/>
              </w:rPr>
              <w:t>%</w:t>
            </w:r>
          </w:p>
        </w:tc>
      </w:tr>
      <w:tr w:rsidR="00000000" w14:paraId="6EF2A2EC" w14:textId="77777777">
        <w:trPr>
          <w:trHeight w:val="200"/>
          <w:tblCellSpacing w:w="15" w:type="dxa"/>
        </w:trPr>
        <w:tc>
          <w:tcPr>
            <w:tcW w:w="0" w:type="auto"/>
            <w:hideMark/>
          </w:tcPr>
          <w:p w14:paraId="67E9F52D" w14:textId="77777777" w:rsidR="00000000" w:rsidRDefault="003A1B5D">
            <w:pPr>
              <w:pStyle w:val="a3"/>
              <w:spacing w:before="0" w:beforeAutospacing="0" w:after="0" w:afterAutospacing="0"/>
              <w:rPr>
                <w:sz w:val="20"/>
                <w:szCs w:val="20"/>
              </w:rPr>
            </w:pPr>
            <w:r>
              <w:rPr>
                <w:sz w:val="20"/>
                <w:szCs w:val="20"/>
              </w:rPr>
              <w:t>Other revenu</w:t>
            </w:r>
            <w:r>
              <w:rPr>
                <w:sz w:val="20"/>
                <w:szCs w:val="20"/>
              </w:rPr>
              <w:t>e</w:t>
            </w:r>
          </w:p>
        </w:tc>
        <w:tc>
          <w:tcPr>
            <w:tcW w:w="0" w:type="auto"/>
            <w:vAlign w:val="bottom"/>
            <w:hideMark/>
          </w:tcPr>
          <w:p w14:paraId="156FAFB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8B5D12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226C4A6" w14:textId="77777777" w:rsidR="00000000" w:rsidRDefault="003A1B5D">
            <w:pPr>
              <w:pStyle w:val="a3"/>
              <w:spacing w:before="0" w:beforeAutospacing="0" w:after="0" w:afterAutospacing="0"/>
              <w:jc w:val="right"/>
              <w:rPr>
                <w:sz w:val="20"/>
                <w:szCs w:val="20"/>
              </w:rPr>
            </w:pPr>
            <w:r>
              <w:rPr>
                <w:b/>
                <w:bCs/>
                <w:sz w:val="20"/>
                <w:szCs w:val="20"/>
              </w:rPr>
              <w:t>—</w:t>
            </w:r>
          </w:p>
        </w:tc>
        <w:tc>
          <w:tcPr>
            <w:tcW w:w="0" w:type="auto"/>
            <w:noWrap/>
            <w:vAlign w:val="bottom"/>
            <w:hideMark/>
          </w:tcPr>
          <w:p w14:paraId="545306B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035A8C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59864E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264F6B8" w14:textId="77777777" w:rsidR="00000000" w:rsidRDefault="003A1B5D">
            <w:pPr>
              <w:pStyle w:val="a3"/>
              <w:spacing w:before="0" w:beforeAutospacing="0" w:after="0" w:afterAutospacing="0"/>
              <w:jc w:val="right"/>
              <w:rPr>
                <w:sz w:val="20"/>
                <w:szCs w:val="20"/>
              </w:rPr>
            </w:pPr>
            <w:r>
              <w:rPr>
                <w:sz w:val="20"/>
                <w:szCs w:val="20"/>
              </w:rPr>
              <w:t>0.</w:t>
            </w:r>
            <w:r>
              <w:rPr>
                <w:sz w:val="20"/>
                <w:szCs w:val="20"/>
              </w:rPr>
              <w:t>2</w:t>
            </w:r>
          </w:p>
        </w:tc>
        <w:tc>
          <w:tcPr>
            <w:tcW w:w="0" w:type="auto"/>
            <w:noWrap/>
            <w:vAlign w:val="bottom"/>
            <w:hideMark/>
          </w:tcPr>
          <w:p w14:paraId="2659DF3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0D509E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7E9193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4782A77" w14:textId="77777777" w:rsidR="00000000" w:rsidRDefault="003A1B5D">
            <w:pPr>
              <w:pStyle w:val="a3"/>
              <w:spacing w:before="0" w:beforeAutospacing="0" w:after="0" w:afterAutospacing="0"/>
              <w:jc w:val="right"/>
              <w:rPr>
                <w:sz w:val="20"/>
                <w:szCs w:val="20"/>
              </w:rPr>
            </w:pPr>
            <w:r>
              <w:rPr>
                <w:sz w:val="20"/>
                <w:szCs w:val="20"/>
              </w:rPr>
              <w:t>(0.</w:t>
            </w:r>
            <w:r>
              <w:rPr>
                <w:sz w:val="20"/>
                <w:szCs w:val="20"/>
              </w:rPr>
              <w:t>2</w:t>
            </w:r>
          </w:p>
        </w:tc>
        <w:tc>
          <w:tcPr>
            <w:tcW w:w="0" w:type="auto"/>
            <w:noWrap/>
            <w:vAlign w:val="bottom"/>
            <w:hideMark/>
          </w:tcPr>
          <w:p w14:paraId="410203E0"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055B90E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4D2B04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1C277A1" w14:textId="77777777" w:rsidR="00000000" w:rsidRDefault="003A1B5D">
            <w:pPr>
              <w:pStyle w:val="a3"/>
              <w:spacing w:before="0" w:beforeAutospacing="0" w:after="0" w:afterAutospacing="0"/>
              <w:jc w:val="right"/>
              <w:rPr>
                <w:sz w:val="20"/>
                <w:szCs w:val="20"/>
              </w:rPr>
            </w:pPr>
            <w:r>
              <w:rPr>
                <w:sz w:val="20"/>
                <w:szCs w:val="20"/>
              </w:rPr>
              <w:t>(100.</w:t>
            </w:r>
            <w:r>
              <w:rPr>
                <w:sz w:val="20"/>
                <w:szCs w:val="20"/>
              </w:rPr>
              <w:t>0</w:t>
            </w:r>
          </w:p>
        </w:tc>
        <w:tc>
          <w:tcPr>
            <w:tcW w:w="0" w:type="auto"/>
            <w:noWrap/>
            <w:vAlign w:val="bottom"/>
            <w:hideMark/>
          </w:tcPr>
          <w:p w14:paraId="5C74266A" w14:textId="77777777" w:rsidR="00000000" w:rsidRDefault="003A1B5D">
            <w:pPr>
              <w:pStyle w:val="a3"/>
              <w:spacing w:before="0" w:beforeAutospacing="0" w:after="0" w:afterAutospacing="0"/>
              <w:rPr>
                <w:sz w:val="20"/>
                <w:szCs w:val="20"/>
              </w:rPr>
            </w:pPr>
            <w:r>
              <w:rPr>
                <w:sz w:val="20"/>
                <w:szCs w:val="20"/>
              </w:rPr>
              <w:t>%</w:t>
            </w:r>
            <w:r>
              <w:rPr>
                <w:sz w:val="20"/>
                <w:szCs w:val="20"/>
              </w:rPr>
              <w:t>)</w:t>
            </w:r>
          </w:p>
        </w:tc>
      </w:tr>
      <w:tr w:rsidR="00000000" w14:paraId="457088F0" w14:textId="77777777">
        <w:trPr>
          <w:trHeight w:val="200"/>
          <w:tblCellSpacing w:w="15" w:type="dxa"/>
        </w:trPr>
        <w:tc>
          <w:tcPr>
            <w:tcW w:w="0" w:type="auto"/>
            <w:hideMark/>
          </w:tcPr>
          <w:p w14:paraId="6D611F95" w14:textId="77777777" w:rsidR="00000000" w:rsidRDefault="003A1B5D">
            <w:pPr>
              <w:pStyle w:val="a3"/>
              <w:spacing w:before="0" w:beforeAutospacing="0" w:after="0" w:afterAutospacing="0"/>
              <w:rPr>
                <w:sz w:val="20"/>
                <w:szCs w:val="20"/>
              </w:rPr>
            </w:pPr>
            <w:r>
              <w:rPr>
                <w:sz w:val="20"/>
                <w:szCs w:val="20"/>
              </w:rPr>
              <w:t>Total revenu</w:t>
            </w:r>
            <w:r>
              <w:rPr>
                <w:sz w:val="20"/>
                <w:szCs w:val="20"/>
              </w:rPr>
              <w:t>e</w:t>
            </w:r>
          </w:p>
        </w:tc>
        <w:tc>
          <w:tcPr>
            <w:tcW w:w="0" w:type="auto"/>
            <w:vAlign w:val="bottom"/>
            <w:hideMark/>
          </w:tcPr>
          <w:p w14:paraId="42058E0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A26F9A9"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7444B50A" w14:textId="77777777" w:rsidR="00000000" w:rsidRDefault="003A1B5D">
            <w:pPr>
              <w:pStyle w:val="a3"/>
              <w:spacing w:before="0" w:beforeAutospacing="0" w:after="0" w:afterAutospacing="0"/>
              <w:jc w:val="right"/>
              <w:rPr>
                <w:sz w:val="20"/>
                <w:szCs w:val="20"/>
              </w:rPr>
            </w:pPr>
            <w:r>
              <w:rPr>
                <w:b/>
                <w:bCs/>
                <w:sz w:val="20"/>
                <w:szCs w:val="20"/>
              </w:rPr>
              <w:t>464.</w:t>
            </w:r>
            <w:r>
              <w:rPr>
                <w:b/>
                <w:bCs/>
                <w:sz w:val="20"/>
                <w:szCs w:val="20"/>
              </w:rPr>
              <w:t>2</w:t>
            </w:r>
          </w:p>
        </w:tc>
        <w:tc>
          <w:tcPr>
            <w:tcW w:w="0" w:type="auto"/>
            <w:noWrap/>
            <w:vAlign w:val="bottom"/>
            <w:hideMark/>
          </w:tcPr>
          <w:p w14:paraId="0AE2290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14C0C9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D8CC989"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1D1C7931" w14:textId="77777777" w:rsidR="00000000" w:rsidRDefault="003A1B5D">
            <w:pPr>
              <w:pStyle w:val="a3"/>
              <w:spacing w:before="0" w:beforeAutospacing="0" w:after="0" w:afterAutospacing="0"/>
              <w:jc w:val="right"/>
              <w:rPr>
                <w:sz w:val="20"/>
                <w:szCs w:val="20"/>
              </w:rPr>
            </w:pPr>
            <w:r>
              <w:rPr>
                <w:sz w:val="20"/>
                <w:szCs w:val="20"/>
              </w:rPr>
              <w:t>471.</w:t>
            </w:r>
            <w:r>
              <w:rPr>
                <w:sz w:val="20"/>
                <w:szCs w:val="20"/>
              </w:rPr>
              <w:t>2</w:t>
            </w:r>
          </w:p>
        </w:tc>
        <w:tc>
          <w:tcPr>
            <w:tcW w:w="0" w:type="auto"/>
            <w:noWrap/>
            <w:vAlign w:val="bottom"/>
            <w:hideMark/>
          </w:tcPr>
          <w:p w14:paraId="6862205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77FBE1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AAD38D4"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0269CBC6" w14:textId="77777777" w:rsidR="00000000" w:rsidRDefault="003A1B5D">
            <w:pPr>
              <w:pStyle w:val="a3"/>
              <w:spacing w:before="0" w:beforeAutospacing="0" w:after="0" w:afterAutospacing="0"/>
              <w:jc w:val="right"/>
              <w:rPr>
                <w:sz w:val="20"/>
                <w:szCs w:val="20"/>
              </w:rPr>
            </w:pPr>
            <w:r>
              <w:rPr>
                <w:sz w:val="20"/>
                <w:szCs w:val="20"/>
              </w:rPr>
              <w:t>(7.</w:t>
            </w:r>
            <w:r>
              <w:rPr>
                <w:sz w:val="20"/>
                <w:szCs w:val="20"/>
              </w:rPr>
              <w:t>0</w:t>
            </w:r>
          </w:p>
        </w:tc>
        <w:tc>
          <w:tcPr>
            <w:tcW w:w="0" w:type="auto"/>
            <w:noWrap/>
            <w:vAlign w:val="bottom"/>
            <w:hideMark/>
          </w:tcPr>
          <w:p w14:paraId="2FBB2B98"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3A8436B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D33184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C37AF9E" w14:textId="77777777" w:rsidR="00000000" w:rsidRDefault="003A1B5D">
            <w:pPr>
              <w:pStyle w:val="a3"/>
              <w:spacing w:before="0" w:beforeAutospacing="0" w:after="0" w:afterAutospacing="0"/>
              <w:jc w:val="right"/>
              <w:rPr>
                <w:sz w:val="20"/>
                <w:szCs w:val="20"/>
              </w:rPr>
            </w:pPr>
            <w:r>
              <w:rPr>
                <w:sz w:val="20"/>
                <w:szCs w:val="20"/>
              </w:rPr>
              <w:t>(1.</w:t>
            </w:r>
            <w:r>
              <w:rPr>
                <w:sz w:val="20"/>
                <w:szCs w:val="20"/>
              </w:rPr>
              <w:t>5</w:t>
            </w:r>
          </w:p>
        </w:tc>
        <w:tc>
          <w:tcPr>
            <w:tcW w:w="0" w:type="auto"/>
            <w:noWrap/>
            <w:vAlign w:val="bottom"/>
            <w:hideMark/>
          </w:tcPr>
          <w:p w14:paraId="6F59070E" w14:textId="77777777" w:rsidR="00000000" w:rsidRDefault="003A1B5D">
            <w:pPr>
              <w:pStyle w:val="a3"/>
              <w:spacing w:before="0" w:beforeAutospacing="0" w:after="0" w:afterAutospacing="0"/>
              <w:rPr>
                <w:sz w:val="20"/>
                <w:szCs w:val="20"/>
              </w:rPr>
            </w:pPr>
            <w:r>
              <w:rPr>
                <w:sz w:val="20"/>
                <w:szCs w:val="20"/>
              </w:rPr>
              <w:t>%</w:t>
            </w:r>
            <w:r>
              <w:rPr>
                <w:sz w:val="20"/>
                <w:szCs w:val="20"/>
              </w:rPr>
              <w:t>)</w:t>
            </w:r>
          </w:p>
        </w:tc>
      </w:tr>
    </w:tbl>
    <w:p w14:paraId="09424BEA" w14:textId="77777777" w:rsidR="00000000" w:rsidRDefault="003A1B5D">
      <w:pPr>
        <w:pStyle w:val="a3"/>
        <w:spacing w:before="0" w:beforeAutospacing="0" w:after="0" w:afterAutospacing="0"/>
        <w:jc w:val="both"/>
        <w:rPr>
          <w:sz w:val="20"/>
          <w:szCs w:val="20"/>
        </w:rPr>
      </w:pPr>
      <w:r>
        <w:rPr>
          <w:sz w:val="20"/>
          <w:szCs w:val="20"/>
        </w:rPr>
        <w:t> </w:t>
      </w:r>
    </w:p>
    <w:p w14:paraId="4F66F2A0" w14:textId="77777777" w:rsidR="00000000" w:rsidRDefault="003A1B5D">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81"/>
        <w:gridCol w:w="110"/>
        <w:gridCol w:w="160"/>
        <w:gridCol w:w="660"/>
        <w:gridCol w:w="110"/>
        <w:gridCol w:w="110"/>
        <w:gridCol w:w="160"/>
        <w:gridCol w:w="660"/>
        <w:gridCol w:w="110"/>
        <w:gridCol w:w="110"/>
        <w:gridCol w:w="161"/>
        <w:gridCol w:w="610"/>
        <w:gridCol w:w="127"/>
        <w:gridCol w:w="110"/>
        <w:gridCol w:w="110"/>
        <w:gridCol w:w="477"/>
        <w:gridCol w:w="309"/>
      </w:tblGrid>
      <w:tr w:rsidR="00000000" w14:paraId="6B521C39" w14:textId="77777777">
        <w:trPr>
          <w:tblCellSpacing w:w="15" w:type="dxa"/>
        </w:trPr>
        <w:tc>
          <w:tcPr>
            <w:tcW w:w="2518" w:type="pct"/>
            <w:vAlign w:val="center"/>
            <w:hideMark/>
          </w:tcPr>
          <w:p w14:paraId="3B76BAD1" w14:textId="77777777" w:rsidR="00000000" w:rsidRDefault="003A1B5D">
            <w:pPr>
              <w:rPr>
                <w:sz w:val="20"/>
                <w:szCs w:val="20"/>
              </w:rPr>
            </w:pPr>
          </w:p>
        </w:tc>
        <w:tc>
          <w:tcPr>
            <w:tcW w:w="60" w:type="pct"/>
            <w:vAlign w:val="center"/>
            <w:hideMark/>
          </w:tcPr>
          <w:p w14:paraId="54E9C3D5" w14:textId="77777777" w:rsidR="00000000" w:rsidRDefault="003A1B5D">
            <w:pPr>
              <w:rPr>
                <w:rFonts w:eastAsia="Times New Roman"/>
                <w:sz w:val="20"/>
                <w:szCs w:val="20"/>
              </w:rPr>
            </w:pPr>
          </w:p>
        </w:tc>
        <w:tc>
          <w:tcPr>
            <w:tcW w:w="50" w:type="pct"/>
            <w:vAlign w:val="center"/>
            <w:hideMark/>
          </w:tcPr>
          <w:p w14:paraId="270AAF67" w14:textId="77777777" w:rsidR="00000000" w:rsidRDefault="003A1B5D">
            <w:pPr>
              <w:rPr>
                <w:rFonts w:eastAsia="Times New Roman"/>
                <w:sz w:val="20"/>
                <w:szCs w:val="20"/>
              </w:rPr>
            </w:pPr>
          </w:p>
        </w:tc>
        <w:tc>
          <w:tcPr>
            <w:tcW w:w="430" w:type="pct"/>
            <w:vAlign w:val="center"/>
            <w:hideMark/>
          </w:tcPr>
          <w:p w14:paraId="5FF7C0E8" w14:textId="77777777" w:rsidR="00000000" w:rsidRDefault="003A1B5D">
            <w:pPr>
              <w:rPr>
                <w:rFonts w:eastAsia="Times New Roman"/>
                <w:sz w:val="20"/>
                <w:szCs w:val="20"/>
              </w:rPr>
            </w:pPr>
          </w:p>
        </w:tc>
        <w:tc>
          <w:tcPr>
            <w:tcW w:w="50" w:type="pct"/>
            <w:vAlign w:val="center"/>
            <w:hideMark/>
          </w:tcPr>
          <w:p w14:paraId="3EB070DA" w14:textId="77777777" w:rsidR="00000000" w:rsidRDefault="003A1B5D">
            <w:pPr>
              <w:rPr>
                <w:rFonts w:eastAsia="Times New Roman"/>
                <w:sz w:val="20"/>
                <w:szCs w:val="20"/>
              </w:rPr>
            </w:pPr>
          </w:p>
        </w:tc>
        <w:tc>
          <w:tcPr>
            <w:tcW w:w="60" w:type="pct"/>
            <w:vAlign w:val="center"/>
            <w:hideMark/>
          </w:tcPr>
          <w:p w14:paraId="11E63C9B" w14:textId="77777777" w:rsidR="00000000" w:rsidRDefault="003A1B5D">
            <w:pPr>
              <w:rPr>
                <w:rFonts w:eastAsia="Times New Roman"/>
                <w:sz w:val="20"/>
                <w:szCs w:val="20"/>
              </w:rPr>
            </w:pPr>
          </w:p>
        </w:tc>
        <w:tc>
          <w:tcPr>
            <w:tcW w:w="50" w:type="pct"/>
            <w:vAlign w:val="center"/>
            <w:hideMark/>
          </w:tcPr>
          <w:p w14:paraId="48AFBEE1" w14:textId="77777777" w:rsidR="00000000" w:rsidRDefault="003A1B5D">
            <w:pPr>
              <w:rPr>
                <w:rFonts w:eastAsia="Times New Roman"/>
                <w:sz w:val="20"/>
                <w:szCs w:val="20"/>
              </w:rPr>
            </w:pPr>
          </w:p>
        </w:tc>
        <w:tc>
          <w:tcPr>
            <w:tcW w:w="463" w:type="pct"/>
            <w:vAlign w:val="center"/>
            <w:hideMark/>
          </w:tcPr>
          <w:p w14:paraId="193A9CE6" w14:textId="77777777" w:rsidR="00000000" w:rsidRDefault="003A1B5D">
            <w:pPr>
              <w:rPr>
                <w:rFonts w:eastAsia="Times New Roman"/>
                <w:sz w:val="20"/>
                <w:szCs w:val="20"/>
              </w:rPr>
            </w:pPr>
          </w:p>
        </w:tc>
        <w:tc>
          <w:tcPr>
            <w:tcW w:w="50" w:type="pct"/>
            <w:vAlign w:val="center"/>
            <w:hideMark/>
          </w:tcPr>
          <w:p w14:paraId="78A1F141" w14:textId="77777777" w:rsidR="00000000" w:rsidRDefault="003A1B5D">
            <w:pPr>
              <w:rPr>
                <w:rFonts w:eastAsia="Times New Roman"/>
                <w:sz w:val="20"/>
                <w:szCs w:val="20"/>
              </w:rPr>
            </w:pPr>
          </w:p>
        </w:tc>
        <w:tc>
          <w:tcPr>
            <w:tcW w:w="60" w:type="pct"/>
            <w:vAlign w:val="center"/>
            <w:hideMark/>
          </w:tcPr>
          <w:p w14:paraId="77B13250" w14:textId="77777777" w:rsidR="00000000" w:rsidRDefault="003A1B5D">
            <w:pPr>
              <w:rPr>
                <w:rFonts w:eastAsia="Times New Roman"/>
                <w:sz w:val="20"/>
                <w:szCs w:val="20"/>
              </w:rPr>
            </w:pPr>
          </w:p>
        </w:tc>
        <w:tc>
          <w:tcPr>
            <w:tcW w:w="50" w:type="pct"/>
            <w:vAlign w:val="center"/>
            <w:hideMark/>
          </w:tcPr>
          <w:p w14:paraId="63E40FE3" w14:textId="77777777" w:rsidR="00000000" w:rsidRDefault="003A1B5D">
            <w:pPr>
              <w:rPr>
                <w:rFonts w:eastAsia="Times New Roman"/>
                <w:sz w:val="20"/>
                <w:szCs w:val="20"/>
              </w:rPr>
            </w:pPr>
          </w:p>
        </w:tc>
        <w:tc>
          <w:tcPr>
            <w:tcW w:w="453" w:type="pct"/>
            <w:vAlign w:val="center"/>
            <w:hideMark/>
          </w:tcPr>
          <w:p w14:paraId="3F4255CD" w14:textId="77777777" w:rsidR="00000000" w:rsidRDefault="003A1B5D">
            <w:pPr>
              <w:rPr>
                <w:rFonts w:eastAsia="Times New Roman"/>
                <w:sz w:val="20"/>
                <w:szCs w:val="20"/>
              </w:rPr>
            </w:pPr>
          </w:p>
        </w:tc>
        <w:tc>
          <w:tcPr>
            <w:tcW w:w="50" w:type="pct"/>
            <w:vAlign w:val="center"/>
            <w:hideMark/>
          </w:tcPr>
          <w:p w14:paraId="6EE2673F" w14:textId="77777777" w:rsidR="00000000" w:rsidRDefault="003A1B5D">
            <w:pPr>
              <w:rPr>
                <w:rFonts w:eastAsia="Times New Roman"/>
                <w:sz w:val="20"/>
                <w:szCs w:val="20"/>
              </w:rPr>
            </w:pPr>
          </w:p>
        </w:tc>
        <w:tc>
          <w:tcPr>
            <w:tcW w:w="50" w:type="pct"/>
            <w:vAlign w:val="center"/>
            <w:hideMark/>
          </w:tcPr>
          <w:p w14:paraId="7E9FCA8D" w14:textId="77777777" w:rsidR="00000000" w:rsidRDefault="003A1B5D">
            <w:pPr>
              <w:rPr>
                <w:rFonts w:eastAsia="Times New Roman"/>
                <w:sz w:val="20"/>
                <w:szCs w:val="20"/>
              </w:rPr>
            </w:pPr>
          </w:p>
        </w:tc>
        <w:tc>
          <w:tcPr>
            <w:tcW w:w="50" w:type="pct"/>
            <w:vAlign w:val="center"/>
            <w:hideMark/>
          </w:tcPr>
          <w:p w14:paraId="532A8E5D" w14:textId="77777777" w:rsidR="00000000" w:rsidRDefault="003A1B5D">
            <w:pPr>
              <w:rPr>
                <w:rFonts w:eastAsia="Times New Roman"/>
                <w:sz w:val="20"/>
                <w:szCs w:val="20"/>
              </w:rPr>
            </w:pPr>
          </w:p>
        </w:tc>
        <w:tc>
          <w:tcPr>
            <w:tcW w:w="501" w:type="pct"/>
            <w:vAlign w:val="center"/>
            <w:hideMark/>
          </w:tcPr>
          <w:p w14:paraId="22A46B77" w14:textId="77777777" w:rsidR="00000000" w:rsidRDefault="003A1B5D">
            <w:pPr>
              <w:rPr>
                <w:rFonts w:eastAsia="Times New Roman"/>
                <w:sz w:val="20"/>
                <w:szCs w:val="20"/>
              </w:rPr>
            </w:pPr>
          </w:p>
        </w:tc>
        <w:tc>
          <w:tcPr>
            <w:tcW w:w="50" w:type="pct"/>
            <w:vAlign w:val="center"/>
            <w:hideMark/>
          </w:tcPr>
          <w:p w14:paraId="18BB7A5E" w14:textId="77777777" w:rsidR="00000000" w:rsidRDefault="003A1B5D">
            <w:pPr>
              <w:rPr>
                <w:rFonts w:eastAsia="Times New Roman"/>
                <w:sz w:val="20"/>
                <w:szCs w:val="20"/>
              </w:rPr>
            </w:pPr>
          </w:p>
        </w:tc>
      </w:tr>
      <w:tr w:rsidR="00000000" w14:paraId="17A774FE" w14:textId="77777777">
        <w:trPr>
          <w:trHeight w:val="160"/>
          <w:tblCellSpacing w:w="15" w:type="dxa"/>
        </w:trPr>
        <w:tc>
          <w:tcPr>
            <w:tcW w:w="0" w:type="auto"/>
            <w:vAlign w:val="bottom"/>
            <w:hideMark/>
          </w:tcPr>
          <w:p w14:paraId="481199C3"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6644ACC6" w14:textId="77777777" w:rsidR="00000000" w:rsidRDefault="003A1B5D">
            <w:pPr>
              <w:pStyle w:val="a3"/>
              <w:spacing w:before="0" w:beforeAutospacing="0" w:after="0" w:afterAutospacing="0"/>
              <w:rPr>
                <w:sz w:val="16"/>
                <w:szCs w:val="16"/>
              </w:rPr>
            </w:pPr>
            <w:r>
              <w:rPr>
                <w:sz w:val="16"/>
                <w:szCs w:val="16"/>
              </w:rPr>
              <w:t> </w:t>
            </w:r>
          </w:p>
        </w:tc>
        <w:tc>
          <w:tcPr>
            <w:tcW w:w="0" w:type="auto"/>
            <w:gridSpan w:val="6"/>
            <w:vAlign w:val="bottom"/>
            <w:hideMark/>
          </w:tcPr>
          <w:p w14:paraId="73A50716" w14:textId="77777777" w:rsidR="00000000" w:rsidRDefault="003A1B5D">
            <w:pPr>
              <w:pStyle w:val="a3"/>
              <w:spacing w:before="0" w:beforeAutospacing="0" w:after="0" w:afterAutospacing="0"/>
              <w:jc w:val="center"/>
              <w:rPr>
                <w:sz w:val="16"/>
                <w:szCs w:val="16"/>
              </w:rPr>
            </w:pPr>
            <w:r>
              <w:rPr>
                <w:b/>
                <w:bCs/>
                <w:sz w:val="16"/>
                <w:szCs w:val="16"/>
              </w:rPr>
              <w:t xml:space="preserve">For the Nine Months Ended </w:t>
            </w:r>
            <w:r>
              <w:rPr>
                <w:b/>
                <w:bCs/>
                <w:sz w:val="16"/>
                <w:szCs w:val="16"/>
              </w:rPr>
              <w:br/>
              <w:t>September 30</w:t>
            </w:r>
            <w:r>
              <w:rPr>
                <w:b/>
                <w:bCs/>
                <w:sz w:val="16"/>
                <w:szCs w:val="16"/>
              </w:rPr>
              <w:t>,</w:t>
            </w:r>
          </w:p>
        </w:tc>
        <w:tc>
          <w:tcPr>
            <w:tcW w:w="0" w:type="auto"/>
            <w:vAlign w:val="bottom"/>
            <w:hideMark/>
          </w:tcPr>
          <w:p w14:paraId="1D0DCB0F"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3533BFDD"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1D544AB8"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45C3289F"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6AFA22F1"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191B66D2"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4B445616"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65EC6F06" w14:textId="77777777">
        <w:trPr>
          <w:trHeight w:val="160"/>
          <w:tblCellSpacing w:w="15" w:type="dxa"/>
        </w:trPr>
        <w:tc>
          <w:tcPr>
            <w:tcW w:w="0" w:type="auto"/>
            <w:vAlign w:val="bottom"/>
            <w:hideMark/>
          </w:tcPr>
          <w:p w14:paraId="0E3FF670"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46DDE913"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4A435532"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14282A18"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63E3A6C5"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2F81BB6B"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1EFFC846"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55B2D515"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48A5748C" w14:textId="77777777" w:rsidR="00000000" w:rsidRDefault="003A1B5D">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14:paraId="0E750A9C"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3B24BDCA"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0B91D44A" w14:textId="77777777" w:rsidR="00000000" w:rsidRDefault="003A1B5D">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14:paraId="7489CF8E"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1A88C770" w14:textId="77777777">
        <w:trPr>
          <w:trHeight w:val="200"/>
          <w:tblCellSpacing w:w="15" w:type="dxa"/>
        </w:trPr>
        <w:tc>
          <w:tcPr>
            <w:tcW w:w="0" w:type="auto"/>
            <w:hideMark/>
          </w:tcPr>
          <w:p w14:paraId="3A6C1D82" w14:textId="77777777" w:rsidR="00000000" w:rsidRDefault="003A1B5D">
            <w:pPr>
              <w:pStyle w:val="a3"/>
              <w:spacing w:before="0" w:beforeAutospacing="0" w:after="0" w:afterAutospacing="0"/>
              <w:rPr>
                <w:sz w:val="20"/>
                <w:szCs w:val="20"/>
              </w:rPr>
            </w:pPr>
            <w:r>
              <w:rPr>
                <w:sz w:val="20"/>
                <w:szCs w:val="20"/>
              </w:rPr>
              <w:t>Management revenue</w:t>
            </w:r>
            <w:r>
              <w:rPr>
                <w:sz w:val="20"/>
                <w:szCs w:val="20"/>
              </w:rPr>
              <w:t>:</w:t>
            </w:r>
          </w:p>
        </w:tc>
        <w:tc>
          <w:tcPr>
            <w:tcW w:w="0" w:type="auto"/>
            <w:vAlign w:val="bottom"/>
            <w:hideMark/>
          </w:tcPr>
          <w:p w14:paraId="60B4E662"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16F7157F"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0005F16"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494CA070"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1BB3D38A"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CC7095B"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ABED90D"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66999E43"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E5968AD"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371183BF"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35F81A7E"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0A1D2107" w14:textId="77777777" w:rsidR="00000000" w:rsidRDefault="003A1B5D">
            <w:pPr>
              <w:pStyle w:val="a3"/>
              <w:spacing w:before="0" w:beforeAutospacing="0" w:after="0" w:afterAutospacing="0"/>
              <w:jc w:val="right"/>
              <w:rPr>
                <w:sz w:val="20"/>
                <w:szCs w:val="20"/>
              </w:rPr>
            </w:pPr>
            <w:r>
              <w:rPr>
                <w:sz w:val="20"/>
                <w:szCs w:val="20"/>
              </w:rPr>
              <w:t> </w:t>
            </w:r>
          </w:p>
        </w:tc>
      </w:tr>
      <w:tr w:rsidR="00000000" w14:paraId="02F8D4C4" w14:textId="77777777">
        <w:trPr>
          <w:trHeight w:val="200"/>
          <w:tblCellSpacing w:w="15" w:type="dxa"/>
        </w:trPr>
        <w:tc>
          <w:tcPr>
            <w:tcW w:w="0" w:type="auto"/>
            <w:hideMark/>
          </w:tcPr>
          <w:p w14:paraId="0C57C884" w14:textId="77777777" w:rsidR="00000000" w:rsidRDefault="003A1B5D">
            <w:pPr>
              <w:pStyle w:val="a3"/>
              <w:spacing w:before="0" w:beforeAutospacing="0" w:after="0" w:afterAutospacing="0"/>
              <w:ind w:left="200"/>
              <w:rPr>
                <w:sz w:val="20"/>
                <w:szCs w:val="20"/>
              </w:rPr>
            </w:pPr>
            <w:r>
              <w:rPr>
                <w:sz w:val="20"/>
                <w:szCs w:val="20"/>
              </w:rPr>
              <w:t>Federa</w:t>
            </w:r>
            <w:r>
              <w:rPr>
                <w:sz w:val="20"/>
                <w:szCs w:val="20"/>
              </w:rPr>
              <w:t>l</w:t>
            </w:r>
          </w:p>
        </w:tc>
        <w:tc>
          <w:tcPr>
            <w:tcW w:w="0" w:type="auto"/>
            <w:vAlign w:val="bottom"/>
            <w:hideMark/>
          </w:tcPr>
          <w:p w14:paraId="1EB4259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01360E3"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02789313" w14:textId="77777777" w:rsidR="00000000" w:rsidRDefault="003A1B5D">
            <w:pPr>
              <w:pStyle w:val="a3"/>
              <w:spacing w:before="0" w:beforeAutospacing="0" w:after="0" w:afterAutospacing="0"/>
              <w:jc w:val="right"/>
              <w:rPr>
                <w:sz w:val="20"/>
                <w:szCs w:val="20"/>
              </w:rPr>
            </w:pPr>
            <w:r>
              <w:rPr>
                <w:b/>
                <w:bCs/>
                <w:sz w:val="20"/>
                <w:szCs w:val="20"/>
              </w:rPr>
              <w:t>748.</w:t>
            </w:r>
            <w:r>
              <w:rPr>
                <w:b/>
                <w:bCs/>
                <w:sz w:val="20"/>
                <w:szCs w:val="20"/>
              </w:rPr>
              <w:t>3</w:t>
            </w:r>
          </w:p>
        </w:tc>
        <w:tc>
          <w:tcPr>
            <w:tcW w:w="0" w:type="auto"/>
            <w:noWrap/>
            <w:vAlign w:val="bottom"/>
            <w:hideMark/>
          </w:tcPr>
          <w:p w14:paraId="66AEF2A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09EF0D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C8AFE8A"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0B53CD14" w14:textId="77777777" w:rsidR="00000000" w:rsidRDefault="003A1B5D">
            <w:pPr>
              <w:pStyle w:val="a3"/>
              <w:spacing w:before="0" w:beforeAutospacing="0" w:after="0" w:afterAutospacing="0"/>
              <w:jc w:val="right"/>
              <w:rPr>
                <w:sz w:val="20"/>
                <w:szCs w:val="20"/>
              </w:rPr>
            </w:pPr>
            <w:r>
              <w:rPr>
                <w:sz w:val="20"/>
                <w:szCs w:val="20"/>
              </w:rPr>
              <w:t>784.</w:t>
            </w:r>
            <w:r>
              <w:rPr>
                <w:sz w:val="20"/>
                <w:szCs w:val="20"/>
              </w:rPr>
              <w:t>3</w:t>
            </w:r>
          </w:p>
        </w:tc>
        <w:tc>
          <w:tcPr>
            <w:tcW w:w="0" w:type="auto"/>
            <w:noWrap/>
            <w:vAlign w:val="bottom"/>
            <w:hideMark/>
          </w:tcPr>
          <w:p w14:paraId="28EF1CA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82C23B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0620708"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5BB48D8E" w14:textId="77777777" w:rsidR="00000000" w:rsidRDefault="003A1B5D">
            <w:pPr>
              <w:pStyle w:val="a3"/>
              <w:spacing w:before="0" w:beforeAutospacing="0" w:after="0" w:afterAutospacing="0"/>
              <w:jc w:val="right"/>
              <w:rPr>
                <w:sz w:val="20"/>
                <w:szCs w:val="20"/>
              </w:rPr>
            </w:pPr>
            <w:r>
              <w:rPr>
                <w:sz w:val="20"/>
                <w:szCs w:val="20"/>
              </w:rPr>
              <w:t>(36.</w:t>
            </w:r>
            <w:r>
              <w:rPr>
                <w:sz w:val="20"/>
                <w:szCs w:val="20"/>
              </w:rPr>
              <w:t>0</w:t>
            </w:r>
          </w:p>
        </w:tc>
        <w:tc>
          <w:tcPr>
            <w:tcW w:w="0" w:type="auto"/>
            <w:noWrap/>
            <w:vAlign w:val="bottom"/>
            <w:hideMark/>
          </w:tcPr>
          <w:p w14:paraId="38A75DA6"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07C073B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D23CEC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1BFA072" w14:textId="77777777" w:rsidR="00000000" w:rsidRDefault="003A1B5D">
            <w:pPr>
              <w:pStyle w:val="a3"/>
              <w:spacing w:before="0" w:beforeAutospacing="0" w:after="0" w:afterAutospacing="0"/>
              <w:jc w:val="right"/>
              <w:rPr>
                <w:sz w:val="20"/>
                <w:szCs w:val="20"/>
              </w:rPr>
            </w:pPr>
            <w:r>
              <w:rPr>
                <w:sz w:val="20"/>
                <w:szCs w:val="20"/>
              </w:rPr>
              <w:t>(4.</w:t>
            </w:r>
            <w:r>
              <w:rPr>
                <w:sz w:val="20"/>
                <w:szCs w:val="20"/>
              </w:rPr>
              <w:t>6</w:t>
            </w:r>
          </w:p>
        </w:tc>
        <w:tc>
          <w:tcPr>
            <w:tcW w:w="0" w:type="auto"/>
            <w:noWrap/>
            <w:vAlign w:val="bottom"/>
            <w:hideMark/>
          </w:tcPr>
          <w:p w14:paraId="0F7B29A2" w14:textId="77777777" w:rsidR="00000000" w:rsidRDefault="003A1B5D">
            <w:pPr>
              <w:pStyle w:val="a3"/>
              <w:spacing w:before="0" w:beforeAutospacing="0" w:after="0" w:afterAutospacing="0"/>
              <w:rPr>
                <w:sz w:val="20"/>
                <w:szCs w:val="20"/>
              </w:rPr>
            </w:pPr>
            <w:r>
              <w:rPr>
                <w:sz w:val="20"/>
                <w:szCs w:val="20"/>
              </w:rPr>
              <w:t>%</w:t>
            </w:r>
            <w:r>
              <w:rPr>
                <w:sz w:val="20"/>
                <w:szCs w:val="20"/>
              </w:rPr>
              <w:t>)</w:t>
            </w:r>
          </w:p>
        </w:tc>
      </w:tr>
      <w:tr w:rsidR="00000000" w14:paraId="0E452873" w14:textId="77777777">
        <w:trPr>
          <w:trHeight w:val="200"/>
          <w:tblCellSpacing w:w="15" w:type="dxa"/>
        </w:trPr>
        <w:tc>
          <w:tcPr>
            <w:tcW w:w="0" w:type="auto"/>
            <w:hideMark/>
          </w:tcPr>
          <w:p w14:paraId="1F071D6D" w14:textId="77777777" w:rsidR="00000000" w:rsidRDefault="003A1B5D">
            <w:pPr>
              <w:pStyle w:val="a3"/>
              <w:spacing w:before="0" w:beforeAutospacing="0" w:after="0" w:afterAutospacing="0"/>
              <w:ind w:left="200"/>
              <w:rPr>
                <w:sz w:val="20"/>
                <w:szCs w:val="20"/>
              </w:rPr>
            </w:pPr>
            <w:r>
              <w:rPr>
                <w:sz w:val="20"/>
                <w:szCs w:val="20"/>
              </w:rPr>
              <w:t>Stat</w:t>
            </w:r>
            <w:r>
              <w:rPr>
                <w:sz w:val="20"/>
                <w:szCs w:val="20"/>
              </w:rPr>
              <w:t>e</w:t>
            </w:r>
          </w:p>
        </w:tc>
        <w:tc>
          <w:tcPr>
            <w:tcW w:w="0" w:type="auto"/>
            <w:vAlign w:val="bottom"/>
            <w:hideMark/>
          </w:tcPr>
          <w:p w14:paraId="6F00973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4B722A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0B947B3" w14:textId="77777777" w:rsidR="00000000" w:rsidRDefault="003A1B5D">
            <w:pPr>
              <w:pStyle w:val="a3"/>
              <w:spacing w:before="0" w:beforeAutospacing="0" w:after="0" w:afterAutospacing="0"/>
              <w:jc w:val="right"/>
              <w:rPr>
                <w:sz w:val="20"/>
                <w:szCs w:val="20"/>
              </w:rPr>
            </w:pPr>
            <w:r>
              <w:rPr>
                <w:b/>
                <w:bCs/>
                <w:sz w:val="20"/>
                <w:szCs w:val="20"/>
              </w:rPr>
              <w:t>488.</w:t>
            </w:r>
            <w:r>
              <w:rPr>
                <w:b/>
                <w:bCs/>
                <w:sz w:val="20"/>
                <w:szCs w:val="20"/>
              </w:rPr>
              <w:t>7</w:t>
            </w:r>
          </w:p>
        </w:tc>
        <w:tc>
          <w:tcPr>
            <w:tcW w:w="0" w:type="auto"/>
            <w:noWrap/>
            <w:vAlign w:val="bottom"/>
            <w:hideMark/>
          </w:tcPr>
          <w:p w14:paraId="5F00482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8DC43B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51E1F4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FA33DFE" w14:textId="77777777" w:rsidR="00000000" w:rsidRDefault="003A1B5D">
            <w:pPr>
              <w:pStyle w:val="a3"/>
              <w:spacing w:before="0" w:beforeAutospacing="0" w:after="0" w:afterAutospacing="0"/>
              <w:jc w:val="right"/>
              <w:rPr>
                <w:sz w:val="20"/>
                <w:szCs w:val="20"/>
              </w:rPr>
            </w:pPr>
            <w:r>
              <w:rPr>
                <w:sz w:val="20"/>
                <w:szCs w:val="20"/>
              </w:rPr>
              <w:t>445.</w:t>
            </w:r>
            <w:r>
              <w:rPr>
                <w:sz w:val="20"/>
                <w:szCs w:val="20"/>
              </w:rPr>
              <w:t>3</w:t>
            </w:r>
          </w:p>
        </w:tc>
        <w:tc>
          <w:tcPr>
            <w:tcW w:w="0" w:type="auto"/>
            <w:noWrap/>
            <w:vAlign w:val="bottom"/>
            <w:hideMark/>
          </w:tcPr>
          <w:p w14:paraId="048DE02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1DD692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617B1F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6143949" w14:textId="77777777" w:rsidR="00000000" w:rsidRDefault="003A1B5D">
            <w:pPr>
              <w:pStyle w:val="a3"/>
              <w:spacing w:before="0" w:beforeAutospacing="0" w:after="0" w:afterAutospacing="0"/>
              <w:jc w:val="right"/>
              <w:rPr>
                <w:sz w:val="20"/>
                <w:szCs w:val="20"/>
              </w:rPr>
            </w:pPr>
            <w:r>
              <w:rPr>
                <w:sz w:val="20"/>
                <w:szCs w:val="20"/>
              </w:rPr>
              <w:t>43.</w:t>
            </w:r>
            <w:r>
              <w:rPr>
                <w:sz w:val="20"/>
                <w:szCs w:val="20"/>
              </w:rPr>
              <w:t>4</w:t>
            </w:r>
          </w:p>
        </w:tc>
        <w:tc>
          <w:tcPr>
            <w:tcW w:w="0" w:type="auto"/>
            <w:noWrap/>
            <w:vAlign w:val="bottom"/>
            <w:hideMark/>
          </w:tcPr>
          <w:p w14:paraId="10E6817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6013A7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82D0D0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35A5E26" w14:textId="77777777" w:rsidR="00000000" w:rsidRDefault="003A1B5D">
            <w:pPr>
              <w:pStyle w:val="a3"/>
              <w:spacing w:before="0" w:beforeAutospacing="0" w:after="0" w:afterAutospacing="0"/>
              <w:jc w:val="right"/>
              <w:rPr>
                <w:sz w:val="20"/>
                <w:szCs w:val="20"/>
              </w:rPr>
            </w:pPr>
            <w:r>
              <w:rPr>
                <w:sz w:val="20"/>
                <w:szCs w:val="20"/>
              </w:rPr>
              <w:t>9.</w:t>
            </w:r>
            <w:r>
              <w:rPr>
                <w:sz w:val="20"/>
                <w:szCs w:val="20"/>
              </w:rPr>
              <w:t>7</w:t>
            </w:r>
          </w:p>
        </w:tc>
        <w:tc>
          <w:tcPr>
            <w:tcW w:w="0" w:type="auto"/>
            <w:noWrap/>
            <w:vAlign w:val="bottom"/>
            <w:hideMark/>
          </w:tcPr>
          <w:p w14:paraId="1CDABB03" w14:textId="77777777" w:rsidR="00000000" w:rsidRDefault="003A1B5D">
            <w:pPr>
              <w:pStyle w:val="a3"/>
              <w:spacing w:before="0" w:beforeAutospacing="0" w:after="0" w:afterAutospacing="0"/>
              <w:rPr>
                <w:sz w:val="20"/>
                <w:szCs w:val="20"/>
              </w:rPr>
            </w:pPr>
            <w:r>
              <w:rPr>
                <w:sz w:val="20"/>
                <w:szCs w:val="20"/>
              </w:rPr>
              <w:t>%</w:t>
            </w:r>
          </w:p>
        </w:tc>
      </w:tr>
      <w:tr w:rsidR="00000000" w14:paraId="02671ECE" w14:textId="77777777">
        <w:trPr>
          <w:trHeight w:val="200"/>
          <w:tblCellSpacing w:w="15" w:type="dxa"/>
        </w:trPr>
        <w:tc>
          <w:tcPr>
            <w:tcW w:w="0" w:type="auto"/>
            <w:hideMark/>
          </w:tcPr>
          <w:p w14:paraId="0E2D8CC3" w14:textId="77777777" w:rsidR="00000000" w:rsidRDefault="003A1B5D">
            <w:pPr>
              <w:pStyle w:val="a3"/>
              <w:spacing w:before="0" w:beforeAutospacing="0" w:after="0" w:afterAutospacing="0"/>
              <w:ind w:left="200"/>
              <w:rPr>
                <w:sz w:val="20"/>
                <w:szCs w:val="20"/>
              </w:rPr>
            </w:pPr>
            <w:r>
              <w:rPr>
                <w:sz w:val="20"/>
                <w:szCs w:val="20"/>
              </w:rPr>
              <w:t>Loca</w:t>
            </w:r>
            <w:r>
              <w:rPr>
                <w:sz w:val="20"/>
                <w:szCs w:val="20"/>
              </w:rPr>
              <w:t>l</w:t>
            </w:r>
          </w:p>
        </w:tc>
        <w:tc>
          <w:tcPr>
            <w:tcW w:w="0" w:type="auto"/>
            <w:vAlign w:val="bottom"/>
            <w:hideMark/>
          </w:tcPr>
          <w:p w14:paraId="047DC52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801E28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B5C4211" w14:textId="77777777" w:rsidR="00000000" w:rsidRDefault="003A1B5D">
            <w:pPr>
              <w:pStyle w:val="a3"/>
              <w:spacing w:before="0" w:beforeAutospacing="0" w:after="0" w:afterAutospacing="0"/>
              <w:jc w:val="right"/>
              <w:rPr>
                <w:sz w:val="20"/>
                <w:szCs w:val="20"/>
              </w:rPr>
            </w:pPr>
            <w:r>
              <w:rPr>
                <w:b/>
                <w:bCs/>
                <w:sz w:val="20"/>
                <w:szCs w:val="20"/>
              </w:rPr>
              <w:t>26.</w:t>
            </w:r>
            <w:r>
              <w:rPr>
                <w:b/>
                <w:bCs/>
                <w:sz w:val="20"/>
                <w:szCs w:val="20"/>
              </w:rPr>
              <w:t>3</w:t>
            </w:r>
          </w:p>
        </w:tc>
        <w:tc>
          <w:tcPr>
            <w:tcW w:w="0" w:type="auto"/>
            <w:noWrap/>
            <w:vAlign w:val="bottom"/>
            <w:hideMark/>
          </w:tcPr>
          <w:p w14:paraId="0D5F44A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ADA1A5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C30E9E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B8AE1AB" w14:textId="77777777" w:rsidR="00000000" w:rsidRDefault="003A1B5D">
            <w:pPr>
              <w:pStyle w:val="a3"/>
              <w:spacing w:before="0" w:beforeAutospacing="0" w:after="0" w:afterAutospacing="0"/>
              <w:jc w:val="right"/>
              <w:rPr>
                <w:sz w:val="20"/>
                <w:szCs w:val="20"/>
              </w:rPr>
            </w:pPr>
            <w:r>
              <w:rPr>
                <w:sz w:val="20"/>
                <w:szCs w:val="20"/>
              </w:rPr>
              <w:t>38.</w:t>
            </w:r>
            <w:r>
              <w:rPr>
                <w:sz w:val="20"/>
                <w:szCs w:val="20"/>
              </w:rPr>
              <w:t>2</w:t>
            </w:r>
          </w:p>
        </w:tc>
        <w:tc>
          <w:tcPr>
            <w:tcW w:w="0" w:type="auto"/>
            <w:noWrap/>
            <w:vAlign w:val="bottom"/>
            <w:hideMark/>
          </w:tcPr>
          <w:p w14:paraId="5A003C4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61563D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DA4B04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20ABCCE" w14:textId="77777777" w:rsidR="00000000" w:rsidRDefault="003A1B5D">
            <w:pPr>
              <w:pStyle w:val="a3"/>
              <w:spacing w:before="0" w:beforeAutospacing="0" w:after="0" w:afterAutospacing="0"/>
              <w:jc w:val="right"/>
              <w:rPr>
                <w:sz w:val="20"/>
                <w:szCs w:val="20"/>
              </w:rPr>
            </w:pPr>
            <w:r>
              <w:rPr>
                <w:sz w:val="20"/>
                <w:szCs w:val="20"/>
              </w:rPr>
              <w:t>(11.</w:t>
            </w:r>
            <w:r>
              <w:rPr>
                <w:sz w:val="20"/>
                <w:szCs w:val="20"/>
              </w:rPr>
              <w:t>9</w:t>
            </w:r>
          </w:p>
        </w:tc>
        <w:tc>
          <w:tcPr>
            <w:tcW w:w="0" w:type="auto"/>
            <w:noWrap/>
            <w:vAlign w:val="bottom"/>
            <w:hideMark/>
          </w:tcPr>
          <w:p w14:paraId="70F9E2BB"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3D7C0D1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B0FA83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2B6076D" w14:textId="77777777" w:rsidR="00000000" w:rsidRDefault="003A1B5D">
            <w:pPr>
              <w:pStyle w:val="a3"/>
              <w:spacing w:before="0" w:beforeAutospacing="0" w:after="0" w:afterAutospacing="0"/>
              <w:jc w:val="right"/>
              <w:rPr>
                <w:sz w:val="20"/>
                <w:szCs w:val="20"/>
              </w:rPr>
            </w:pPr>
            <w:r>
              <w:rPr>
                <w:sz w:val="20"/>
                <w:szCs w:val="20"/>
              </w:rPr>
              <w:t>(31.</w:t>
            </w:r>
            <w:r>
              <w:rPr>
                <w:sz w:val="20"/>
                <w:szCs w:val="20"/>
              </w:rPr>
              <w:t>2</w:t>
            </w:r>
          </w:p>
        </w:tc>
        <w:tc>
          <w:tcPr>
            <w:tcW w:w="0" w:type="auto"/>
            <w:noWrap/>
            <w:vAlign w:val="bottom"/>
            <w:hideMark/>
          </w:tcPr>
          <w:p w14:paraId="1C479D38" w14:textId="77777777" w:rsidR="00000000" w:rsidRDefault="003A1B5D">
            <w:pPr>
              <w:pStyle w:val="a3"/>
              <w:spacing w:before="0" w:beforeAutospacing="0" w:after="0" w:afterAutospacing="0"/>
              <w:rPr>
                <w:sz w:val="20"/>
                <w:szCs w:val="20"/>
              </w:rPr>
            </w:pPr>
            <w:r>
              <w:rPr>
                <w:sz w:val="20"/>
                <w:szCs w:val="20"/>
              </w:rPr>
              <w:t>%</w:t>
            </w:r>
            <w:r>
              <w:rPr>
                <w:sz w:val="20"/>
                <w:szCs w:val="20"/>
              </w:rPr>
              <w:t>)</w:t>
            </w:r>
          </w:p>
        </w:tc>
      </w:tr>
      <w:tr w:rsidR="00000000" w14:paraId="6B656CF9" w14:textId="77777777">
        <w:trPr>
          <w:trHeight w:val="200"/>
          <w:tblCellSpacing w:w="15" w:type="dxa"/>
        </w:trPr>
        <w:tc>
          <w:tcPr>
            <w:tcW w:w="0" w:type="auto"/>
            <w:hideMark/>
          </w:tcPr>
          <w:p w14:paraId="49156475" w14:textId="77777777" w:rsidR="00000000" w:rsidRDefault="003A1B5D">
            <w:pPr>
              <w:pStyle w:val="a3"/>
              <w:spacing w:before="0" w:beforeAutospacing="0" w:after="0" w:afterAutospacing="0"/>
              <w:ind w:left="200"/>
              <w:rPr>
                <w:sz w:val="20"/>
                <w:szCs w:val="20"/>
              </w:rPr>
            </w:pPr>
            <w:r>
              <w:rPr>
                <w:sz w:val="20"/>
                <w:szCs w:val="20"/>
              </w:rPr>
              <w:t>Othe</w:t>
            </w:r>
            <w:r>
              <w:rPr>
                <w:sz w:val="20"/>
                <w:szCs w:val="20"/>
              </w:rPr>
              <w:t>r</w:t>
            </w:r>
          </w:p>
        </w:tc>
        <w:tc>
          <w:tcPr>
            <w:tcW w:w="0" w:type="auto"/>
            <w:vAlign w:val="bottom"/>
            <w:hideMark/>
          </w:tcPr>
          <w:p w14:paraId="54BBA90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E4F8DA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CFA87BB" w14:textId="77777777" w:rsidR="00000000" w:rsidRDefault="003A1B5D">
            <w:pPr>
              <w:pStyle w:val="a3"/>
              <w:spacing w:before="0" w:beforeAutospacing="0" w:after="0" w:afterAutospacing="0"/>
              <w:jc w:val="right"/>
              <w:rPr>
                <w:sz w:val="20"/>
                <w:szCs w:val="20"/>
              </w:rPr>
            </w:pPr>
            <w:r>
              <w:rPr>
                <w:b/>
                <w:bCs/>
                <w:sz w:val="20"/>
                <w:szCs w:val="20"/>
              </w:rPr>
              <w:t>66.</w:t>
            </w:r>
            <w:r>
              <w:rPr>
                <w:b/>
                <w:bCs/>
                <w:sz w:val="20"/>
                <w:szCs w:val="20"/>
              </w:rPr>
              <w:t>8</w:t>
            </w:r>
          </w:p>
        </w:tc>
        <w:tc>
          <w:tcPr>
            <w:tcW w:w="0" w:type="auto"/>
            <w:noWrap/>
            <w:vAlign w:val="bottom"/>
            <w:hideMark/>
          </w:tcPr>
          <w:p w14:paraId="0235C3A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3A0031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CA4256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03C0EA1" w14:textId="77777777" w:rsidR="00000000" w:rsidRDefault="003A1B5D">
            <w:pPr>
              <w:pStyle w:val="a3"/>
              <w:spacing w:before="0" w:beforeAutospacing="0" w:after="0" w:afterAutospacing="0"/>
              <w:jc w:val="right"/>
              <w:rPr>
                <w:sz w:val="20"/>
                <w:szCs w:val="20"/>
              </w:rPr>
            </w:pPr>
            <w:r>
              <w:rPr>
                <w:sz w:val="20"/>
                <w:szCs w:val="20"/>
              </w:rPr>
              <w:t>67.</w:t>
            </w:r>
            <w:r>
              <w:rPr>
                <w:sz w:val="20"/>
                <w:szCs w:val="20"/>
              </w:rPr>
              <w:t>5</w:t>
            </w:r>
          </w:p>
        </w:tc>
        <w:tc>
          <w:tcPr>
            <w:tcW w:w="0" w:type="auto"/>
            <w:noWrap/>
            <w:vAlign w:val="bottom"/>
            <w:hideMark/>
          </w:tcPr>
          <w:p w14:paraId="6B09F60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830459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EEA334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9BE1604" w14:textId="77777777" w:rsidR="00000000" w:rsidRDefault="003A1B5D">
            <w:pPr>
              <w:pStyle w:val="a3"/>
              <w:spacing w:before="0" w:beforeAutospacing="0" w:after="0" w:afterAutospacing="0"/>
              <w:jc w:val="right"/>
              <w:rPr>
                <w:sz w:val="20"/>
                <w:szCs w:val="20"/>
              </w:rPr>
            </w:pPr>
            <w:r>
              <w:rPr>
                <w:sz w:val="20"/>
                <w:szCs w:val="20"/>
              </w:rPr>
              <w:t>(0.</w:t>
            </w:r>
            <w:r>
              <w:rPr>
                <w:sz w:val="20"/>
                <w:szCs w:val="20"/>
              </w:rPr>
              <w:t>7</w:t>
            </w:r>
          </w:p>
        </w:tc>
        <w:tc>
          <w:tcPr>
            <w:tcW w:w="0" w:type="auto"/>
            <w:noWrap/>
            <w:vAlign w:val="bottom"/>
            <w:hideMark/>
          </w:tcPr>
          <w:p w14:paraId="7C5F6E97"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7422A09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F76FBD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2A88295" w14:textId="77777777" w:rsidR="00000000" w:rsidRDefault="003A1B5D">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14:paraId="55A6645F" w14:textId="77777777" w:rsidR="00000000" w:rsidRDefault="003A1B5D">
            <w:pPr>
              <w:pStyle w:val="a3"/>
              <w:spacing w:before="0" w:beforeAutospacing="0" w:after="0" w:afterAutospacing="0"/>
              <w:rPr>
                <w:sz w:val="20"/>
                <w:szCs w:val="20"/>
              </w:rPr>
            </w:pPr>
            <w:r>
              <w:rPr>
                <w:sz w:val="20"/>
                <w:szCs w:val="20"/>
              </w:rPr>
              <w:t>%</w:t>
            </w:r>
            <w:r>
              <w:rPr>
                <w:sz w:val="20"/>
                <w:szCs w:val="20"/>
              </w:rPr>
              <w:t>)</w:t>
            </w:r>
          </w:p>
        </w:tc>
      </w:tr>
      <w:tr w:rsidR="00000000" w14:paraId="17C74C32" w14:textId="77777777">
        <w:trPr>
          <w:trHeight w:val="200"/>
          <w:tblCellSpacing w:w="15" w:type="dxa"/>
        </w:trPr>
        <w:tc>
          <w:tcPr>
            <w:tcW w:w="0" w:type="auto"/>
            <w:hideMark/>
          </w:tcPr>
          <w:p w14:paraId="2D126BD8" w14:textId="77777777" w:rsidR="00000000" w:rsidRDefault="003A1B5D">
            <w:pPr>
              <w:pStyle w:val="a3"/>
              <w:spacing w:before="0" w:beforeAutospacing="0" w:after="0" w:afterAutospacing="0"/>
              <w:ind w:left="400"/>
              <w:rPr>
                <w:sz w:val="20"/>
                <w:szCs w:val="20"/>
              </w:rPr>
            </w:pPr>
            <w:r>
              <w:rPr>
                <w:sz w:val="20"/>
                <w:szCs w:val="20"/>
              </w:rPr>
              <w:t>Total management revenu</w:t>
            </w:r>
            <w:r>
              <w:rPr>
                <w:sz w:val="20"/>
                <w:szCs w:val="20"/>
              </w:rPr>
              <w:t>e</w:t>
            </w:r>
          </w:p>
        </w:tc>
        <w:tc>
          <w:tcPr>
            <w:tcW w:w="0" w:type="auto"/>
            <w:vAlign w:val="bottom"/>
            <w:hideMark/>
          </w:tcPr>
          <w:p w14:paraId="36BFF9C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DDE765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A6E33FB" w14:textId="77777777" w:rsidR="00000000" w:rsidRDefault="003A1B5D">
            <w:pPr>
              <w:pStyle w:val="a3"/>
              <w:spacing w:before="0" w:beforeAutospacing="0" w:after="0" w:afterAutospacing="0"/>
              <w:jc w:val="right"/>
              <w:rPr>
                <w:sz w:val="20"/>
                <w:szCs w:val="20"/>
              </w:rPr>
            </w:pPr>
            <w:r>
              <w:rPr>
                <w:b/>
                <w:bCs/>
                <w:sz w:val="20"/>
                <w:szCs w:val="20"/>
              </w:rPr>
              <w:t>1,330.</w:t>
            </w:r>
            <w:r>
              <w:rPr>
                <w:b/>
                <w:bCs/>
                <w:sz w:val="20"/>
                <w:szCs w:val="20"/>
              </w:rPr>
              <w:t>1</w:t>
            </w:r>
          </w:p>
        </w:tc>
        <w:tc>
          <w:tcPr>
            <w:tcW w:w="0" w:type="auto"/>
            <w:noWrap/>
            <w:vAlign w:val="bottom"/>
            <w:hideMark/>
          </w:tcPr>
          <w:p w14:paraId="50CCF85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25F87A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5E4FDE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CED124F" w14:textId="77777777" w:rsidR="00000000" w:rsidRDefault="003A1B5D">
            <w:pPr>
              <w:pStyle w:val="a3"/>
              <w:spacing w:before="0" w:beforeAutospacing="0" w:after="0" w:afterAutospacing="0"/>
              <w:jc w:val="right"/>
              <w:rPr>
                <w:sz w:val="20"/>
                <w:szCs w:val="20"/>
              </w:rPr>
            </w:pPr>
            <w:r>
              <w:rPr>
                <w:sz w:val="20"/>
                <w:szCs w:val="20"/>
              </w:rPr>
              <w:t>1,335.</w:t>
            </w:r>
            <w:r>
              <w:rPr>
                <w:sz w:val="20"/>
                <w:szCs w:val="20"/>
              </w:rPr>
              <w:t>3</w:t>
            </w:r>
          </w:p>
        </w:tc>
        <w:tc>
          <w:tcPr>
            <w:tcW w:w="0" w:type="auto"/>
            <w:noWrap/>
            <w:vAlign w:val="bottom"/>
            <w:hideMark/>
          </w:tcPr>
          <w:p w14:paraId="6DE42B8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567ABA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531AB3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D83477B" w14:textId="77777777" w:rsidR="00000000" w:rsidRDefault="003A1B5D">
            <w:pPr>
              <w:pStyle w:val="a3"/>
              <w:spacing w:before="0" w:beforeAutospacing="0" w:after="0" w:afterAutospacing="0"/>
              <w:jc w:val="right"/>
              <w:rPr>
                <w:sz w:val="20"/>
                <w:szCs w:val="20"/>
              </w:rPr>
            </w:pPr>
            <w:r>
              <w:rPr>
                <w:sz w:val="20"/>
                <w:szCs w:val="20"/>
              </w:rPr>
              <w:t>(5.</w:t>
            </w:r>
            <w:r>
              <w:rPr>
                <w:sz w:val="20"/>
                <w:szCs w:val="20"/>
              </w:rPr>
              <w:t>2</w:t>
            </w:r>
          </w:p>
        </w:tc>
        <w:tc>
          <w:tcPr>
            <w:tcW w:w="0" w:type="auto"/>
            <w:noWrap/>
            <w:vAlign w:val="bottom"/>
            <w:hideMark/>
          </w:tcPr>
          <w:p w14:paraId="605A3158"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7F23D9F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D6D4F7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58D67D0" w14:textId="77777777" w:rsidR="00000000" w:rsidRDefault="003A1B5D">
            <w:pPr>
              <w:pStyle w:val="a3"/>
              <w:spacing w:before="0" w:beforeAutospacing="0" w:after="0" w:afterAutospacing="0"/>
              <w:jc w:val="right"/>
              <w:rPr>
                <w:sz w:val="20"/>
                <w:szCs w:val="20"/>
              </w:rPr>
            </w:pPr>
            <w:r>
              <w:rPr>
                <w:sz w:val="20"/>
                <w:szCs w:val="20"/>
              </w:rPr>
              <w:t>(0.</w:t>
            </w:r>
            <w:r>
              <w:rPr>
                <w:sz w:val="20"/>
                <w:szCs w:val="20"/>
              </w:rPr>
              <w:t>4</w:t>
            </w:r>
          </w:p>
        </w:tc>
        <w:tc>
          <w:tcPr>
            <w:tcW w:w="0" w:type="auto"/>
            <w:noWrap/>
            <w:vAlign w:val="bottom"/>
            <w:hideMark/>
          </w:tcPr>
          <w:p w14:paraId="1CD44E29" w14:textId="77777777" w:rsidR="00000000" w:rsidRDefault="003A1B5D">
            <w:pPr>
              <w:pStyle w:val="a3"/>
              <w:spacing w:before="0" w:beforeAutospacing="0" w:after="0" w:afterAutospacing="0"/>
              <w:rPr>
                <w:sz w:val="20"/>
                <w:szCs w:val="20"/>
              </w:rPr>
            </w:pPr>
            <w:r>
              <w:rPr>
                <w:sz w:val="20"/>
                <w:szCs w:val="20"/>
              </w:rPr>
              <w:t>%</w:t>
            </w:r>
            <w:r>
              <w:rPr>
                <w:sz w:val="20"/>
                <w:szCs w:val="20"/>
              </w:rPr>
              <w:t>)</w:t>
            </w:r>
          </w:p>
        </w:tc>
      </w:tr>
      <w:tr w:rsidR="00000000" w14:paraId="45362060" w14:textId="77777777">
        <w:trPr>
          <w:trHeight w:val="200"/>
          <w:tblCellSpacing w:w="15" w:type="dxa"/>
        </w:trPr>
        <w:tc>
          <w:tcPr>
            <w:tcW w:w="0" w:type="auto"/>
            <w:hideMark/>
          </w:tcPr>
          <w:p w14:paraId="53C2D0B6" w14:textId="77777777" w:rsidR="00000000" w:rsidRDefault="003A1B5D">
            <w:pPr>
              <w:pStyle w:val="a3"/>
              <w:spacing w:before="0" w:beforeAutospacing="0" w:after="0" w:afterAutospacing="0"/>
              <w:rPr>
                <w:sz w:val="20"/>
                <w:szCs w:val="20"/>
              </w:rPr>
            </w:pPr>
            <w:r>
              <w:rPr>
                <w:sz w:val="20"/>
                <w:szCs w:val="20"/>
              </w:rPr>
              <w:t>Lease revenu</w:t>
            </w:r>
            <w:r>
              <w:rPr>
                <w:sz w:val="20"/>
                <w:szCs w:val="20"/>
              </w:rPr>
              <w:t>e</w:t>
            </w:r>
          </w:p>
        </w:tc>
        <w:tc>
          <w:tcPr>
            <w:tcW w:w="0" w:type="auto"/>
            <w:vAlign w:val="bottom"/>
            <w:hideMark/>
          </w:tcPr>
          <w:p w14:paraId="73CDB8F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63D0C2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F083844" w14:textId="77777777" w:rsidR="00000000" w:rsidRDefault="003A1B5D">
            <w:pPr>
              <w:pStyle w:val="a3"/>
              <w:spacing w:before="0" w:beforeAutospacing="0" w:after="0" w:afterAutospacing="0"/>
              <w:jc w:val="right"/>
              <w:rPr>
                <w:sz w:val="20"/>
                <w:szCs w:val="20"/>
              </w:rPr>
            </w:pPr>
            <w:r>
              <w:rPr>
                <w:b/>
                <w:bCs/>
                <w:sz w:val="20"/>
                <w:szCs w:val="20"/>
              </w:rPr>
              <w:t>43.</w:t>
            </w:r>
            <w:r>
              <w:rPr>
                <w:b/>
                <w:bCs/>
                <w:sz w:val="20"/>
                <w:szCs w:val="20"/>
              </w:rPr>
              <w:t>7</w:t>
            </w:r>
          </w:p>
        </w:tc>
        <w:tc>
          <w:tcPr>
            <w:tcW w:w="0" w:type="auto"/>
            <w:noWrap/>
            <w:vAlign w:val="bottom"/>
            <w:hideMark/>
          </w:tcPr>
          <w:p w14:paraId="59636B7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61E50C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40DC3F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F250871" w14:textId="77777777" w:rsidR="00000000" w:rsidRDefault="003A1B5D">
            <w:pPr>
              <w:pStyle w:val="a3"/>
              <w:spacing w:before="0" w:beforeAutospacing="0" w:after="0" w:afterAutospacing="0"/>
              <w:jc w:val="right"/>
              <w:rPr>
                <w:sz w:val="20"/>
                <w:szCs w:val="20"/>
              </w:rPr>
            </w:pPr>
            <w:r>
              <w:rPr>
                <w:sz w:val="20"/>
                <w:szCs w:val="20"/>
              </w:rPr>
              <w:t>54.</w:t>
            </w:r>
            <w:r>
              <w:rPr>
                <w:sz w:val="20"/>
                <w:szCs w:val="20"/>
              </w:rPr>
              <w:t>9</w:t>
            </w:r>
          </w:p>
        </w:tc>
        <w:tc>
          <w:tcPr>
            <w:tcW w:w="0" w:type="auto"/>
            <w:noWrap/>
            <w:vAlign w:val="bottom"/>
            <w:hideMark/>
          </w:tcPr>
          <w:p w14:paraId="4AC1CC1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7BF5DB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37AA9F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3D65D71" w14:textId="77777777" w:rsidR="00000000" w:rsidRDefault="003A1B5D">
            <w:pPr>
              <w:pStyle w:val="a3"/>
              <w:spacing w:before="0" w:beforeAutospacing="0" w:after="0" w:afterAutospacing="0"/>
              <w:jc w:val="right"/>
              <w:rPr>
                <w:sz w:val="20"/>
                <w:szCs w:val="20"/>
              </w:rPr>
            </w:pPr>
            <w:r>
              <w:rPr>
                <w:sz w:val="20"/>
                <w:szCs w:val="20"/>
              </w:rPr>
              <w:t>(11.</w:t>
            </w:r>
            <w:r>
              <w:rPr>
                <w:sz w:val="20"/>
                <w:szCs w:val="20"/>
              </w:rPr>
              <w:t>2</w:t>
            </w:r>
          </w:p>
        </w:tc>
        <w:tc>
          <w:tcPr>
            <w:tcW w:w="0" w:type="auto"/>
            <w:noWrap/>
            <w:vAlign w:val="bottom"/>
            <w:hideMark/>
          </w:tcPr>
          <w:p w14:paraId="71CB7830"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25CEB5D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6238C7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CD09F61" w14:textId="77777777" w:rsidR="00000000" w:rsidRDefault="003A1B5D">
            <w:pPr>
              <w:pStyle w:val="a3"/>
              <w:spacing w:before="0" w:beforeAutospacing="0" w:after="0" w:afterAutospacing="0"/>
              <w:jc w:val="right"/>
              <w:rPr>
                <w:sz w:val="20"/>
                <w:szCs w:val="20"/>
              </w:rPr>
            </w:pPr>
            <w:r>
              <w:rPr>
                <w:sz w:val="20"/>
                <w:szCs w:val="20"/>
              </w:rPr>
              <w:t>(20.</w:t>
            </w:r>
            <w:r>
              <w:rPr>
                <w:sz w:val="20"/>
                <w:szCs w:val="20"/>
              </w:rPr>
              <w:t>4</w:t>
            </w:r>
          </w:p>
        </w:tc>
        <w:tc>
          <w:tcPr>
            <w:tcW w:w="0" w:type="auto"/>
            <w:noWrap/>
            <w:vAlign w:val="bottom"/>
            <w:hideMark/>
          </w:tcPr>
          <w:p w14:paraId="0A7F002B" w14:textId="77777777" w:rsidR="00000000" w:rsidRDefault="003A1B5D">
            <w:pPr>
              <w:pStyle w:val="a3"/>
              <w:spacing w:before="0" w:beforeAutospacing="0" w:after="0" w:afterAutospacing="0"/>
              <w:rPr>
                <w:sz w:val="20"/>
                <w:szCs w:val="20"/>
              </w:rPr>
            </w:pPr>
            <w:r>
              <w:rPr>
                <w:sz w:val="20"/>
                <w:szCs w:val="20"/>
              </w:rPr>
              <w:t>%</w:t>
            </w:r>
            <w:r>
              <w:rPr>
                <w:sz w:val="20"/>
                <w:szCs w:val="20"/>
              </w:rPr>
              <w:t>)</w:t>
            </w:r>
          </w:p>
        </w:tc>
      </w:tr>
      <w:tr w:rsidR="00000000" w14:paraId="3174D431" w14:textId="77777777">
        <w:trPr>
          <w:trHeight w:val="200"/>
          <w:tblCellSpacing w:w="15" w:type="dxa"/>
        </w:trPr>
        <w:tc>
          <w:tcPr>
            <w:tcW w:w="0" w:type="auto"/>
            <w:hideMark/>
          </w:tcPr>
          <w:p w14:paraId="4884E9E7" w14:textId="77777777" w:rsidR="00000000" w:rsidRDefault="003A1B5D">
            <w:pPr>
              <w:pStyle w:val="a3"/>
              <w:spacing w:before="0" w:beforeAutospacing="0" w:after="0" w:afterAutospacing="0"/>
              <w:rPr>
                <w:sz w:val="20"/>
                <w:szCs w:val="20"/>
              </w:rPr>
            </w:pPr>
            <w:r>
              <w:rPr>
                <w:sz w:val="20"/>
                <w:szCs w:val="20"/>
              </w:rPr>
              <w:t>Other revenu</w:t>
            </w:r>
            <w:r>
              <w:rPr>
                <w:sz w:val="20"/>
                <w:szCs w:val="20"/>
              </w:rPr>
              <w:t>e</w:t>
            </w:r>
          </w:p>
        </w:tc>
        <w:tc>
          <w:tcPr>
            <w:tcW w:w="0" w:type="auto"/>
            <w:vAlign w:val="bottom"/>
            <w:hideMark/>
          </w:tcPr>
          <w:p w14:paraId="2E0E136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D0AC05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080A6DC" w14:textId="77777777" w:rsidR="00000000" w:rsidRDefault="003A1B5D">
            <w:pPr>
              <w:pStyle w:val="a3"/>
              <w:spacing w:before="0" w:beforeAutospacing="0" w:after="0" w:afterAutospacing="0"/>
              <w:jc w:val="right"/>
              <w:rPr>
                <w:sz w:val="20"/>
                <w:szCs w:val="20"/>
              </w:rPr>
            </w:pPr>
            <w:r>
              <w:rPr>
                <w:b/>
                <w:bCs/>
                <w:sz w:val="20"/>
                <w:szCs w:val="20"/>
              </w:rPr>
              <w:t>0.</w:t>
            </w:r>
            <w:r>
              <w:rPr>
                <w:b/>
                <w:bCs/>
                <w:sz w:val="20"/>
                <w:szCs w:val="20"/>
              </w:rPr>
              <w:t>1</w:t>
            </w:r>
          </w:p>
        </w:tc>
        <w:tc>
          <w:tcPr>
            <w:tcW w:w="0" w:type="auto"/>
            <w:noWrap/>
            <w:vAlign w:val="bottom"/>
            <w:hideMark/>
          </w:tcPr>
          <w:p w14:paraId="728E320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422ADF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178617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23F63A1" w14:textId="77777777" w:rsidR="00000000" w:rsidRDefault="003A1B5D">
            <w:pPr>
              <w:pStyle w:val="a3"/>
              <w:spacing w:before="0" w:beforeAutospacing="0" w:after="0" w:afterAutospacing="0"/>
              <w:jc w:val="right"/>
              <w:rPr>
                <w:sz w:val="20"/>
                <w:szCs w:val="20"/>
              </w:rPr>
            </w:pPr>
            <w:r>
              <w:rPr>
                <w:sz w:val="20"/>
                <w:szCs w:val="20"/>
              </w:rPr>
              <w:t>0.</w:t>
            </w:r>
            <w:r>
              <w:rPr>
                <w:sz w:val="20"/>
                <w:szCs w:val="20"/>
              </w:rPr>
              <w:t>3</w:t>
            </w:r>
          </w:p>
        </w:tc>
        <w:tc>
          <w:tcPr>
            <w:tcW w:w="0" w:type="auto"/>
            <w:noWrap/>
            <w:vAlign w:val="bottom"/>
            <w:hideMark/>
          </w:tcPr>
          <w:p w14:paraId="24DDCBB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BDCF61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6DA66B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3A34C87" w14:textId="77777777" w:rsidR="00000000" w:rsidRDefault="003A1B5D">
            <w:pPr>
              <w:pStyle w:val="a3"/>
              <w:spacing w:before="0" w:beforeAutospacing="0" w:after="0" w:afterAutospacing="0"/>
              <w:jc w:val="right"/>
              <w:rPr>
                <w:sz w:val="20"/>
                <w:szCs w:val="20"/>
              </w:rPr>
            </w:pPr>
            <w:r>
              <w:rPr>
                <w:sz w:val="20"/>
                <w:szCs w:val="20"/>
              </w:rPr>
              <w:t>(0.</w:t>
            </w:r>
            <w:r>
              <w:rPr>
                <w:sz w:val="20"/>
                <w:szCs w:val="20"/>
              </w:rPr>
              <w:t>2</w:t>
            </w:r>
          </w:p>
        </w:tc>
        <w:tc>
          <w:tcPr>
            <w:tcW w:w="0" w:type="auto"/>
            <w:noWrap/>
            <w:vAlign w:val="bottom"/>
            <w:hideMark/>
          </w:tcPr>
          <w:p w14:paraId="3ABBACE9"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4CE546A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2D35C1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181A544" w14:textId="77777777" w:rsidR="00000000" w:rsidRDefault="003A1B5D">
            <w:pPr>
              <w:pStyle w:val="a3"/>
              <w:spacing w:before="0" w:beforeAutospacing="0" w:after="0" w:afterAutospacing="0"/>
              <w:jc w:val="right"/>
              <w:rPr>
                <w:sz w:val="20"/>
                <w:szCs w:val="20"/>
              </w:rPr>
            </w:pPr>
            <w:r>
              <w:rPr>
                <w:sz w:val="20"/>
                <w:szCs w:val="20"/>
              </w:rPr>
              <w:t>(66.</w:t>
            </w:r>
            <w:r>
              <w:rPr>
                <w:sz w:val="20"/>
                <w:szCs w:val="20"/>
              </w:rPr>
              <w:t>7</w:t>
            </w:r>
          </w:p>
        </w:tc>
        <w:tc>
          <w:tcPr>
            <w:tcW w:w="0" w:type="auto"/>
            <w:noWrap/>
            <w:vAlign w:val="bottom"/>
            <w:hideMark/>
          </w:tcPr>
          <w:p w14:paraId="75AE0EA5" w14:textId="77777777" w:rsidR="00000000" w:rsidRDefault="003A1B5D">
            <w:pPr>
              <w:pStyle w:val="a3"/>
              <w:spacing w:before="0" w:beforeAutospacing="0" w:after="0" w:afterAutospacing="0"/>
              <w:rPr>
                <w:sz w:val="20"/>
                <w:szCs w:val="20"/>
              </w:rPr>
            </w:pPr>
            <w:r>
              <w:rPr>
                <w:sz w:val="20"/>
                <w:szCs w:val="20"/>
              </w:rPr>
              <w:t>%</w:t>
            </w:r>
            <w:r>
              <w:rPr>
                <w:sz w:val="20"/>
                <w:szCs w:val="20"/>
              </w:rPr>
              <w:t>)</w:t>
            </w:r>
          </w:p>
        </w:tc>
      </w:tr>
      <w:tr w:rsidR="00000000" w14:paraId="4DFA1B7D" w14:textId="77777777">
        <w:trPr>
          <w:trHeight w:val="200"/>
          <w:tblCellSpacing w:w="15" w:type="dxa"/>
        </w:trPr>
        <w:tc>
          <w:tcPr>
            <w:tcW w:w="0" w:type="auto"/>
            <w:hideMark/>
          </w:tcPr>
          <w:p w14:paraId="69FD2634" w14:textId="77777777" w:rsidR="00000000" w:rsidRDefault="003A1B5D">
            <w:pPr>
              <w:pStyle w:val="a3"/>
              <w:spacing w:before="0" w:beforeAutospacing="0" w:after="0" w:afterAutospacing="0"/>
              <w:rPr>
                <w:sz w:val="20"/>
                <w:szCs w:val="20"/>
              </w:rPr>
            </w:pPr>
            <w:r>
              <w:rPr>
                <w:sz w:val="20"/>
                <w:szCs w:val="20"/>
              </w:rPr>
              <w:t>Total revenu</w:t>
            </w:r>
            <w:r>
              <w:rPr>
                <w:sz w:val="20"/>
                <w:szCs w:val="20"/>
              </w:rPr>
              <w:t>e</w:t>
            </w:r>
          </w:p>
        </w:tc>
        <w:tc>
          <w:tcPr>
            <w:tcW w:w="0" w:type="auto"/>
            <w:vAlign w:val="bottom"/>
            <w:hideMark/>
          </w:tcPr>
          <w:p w14:paraId="2FAF80E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AF08929"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78CADE08" w14:textId="77777777" w:rsidR="00000000" w:rsidRDefault="003A1B5D">
            <w:pPr>
              <w:pStyle w:val="a3"/>
              <w:spacing w:before="0" w:beforeAutospacing="0" w:after="0" w:afterAutospacing="0"/>
              <w:jc w:val="right"/>
              <w:rPr>
                <w:sz w:val="20"/>
                <w:szCs w:val="20"/>
              </w:rPr>
            </w:pPr>
            <w:r>
              <w:rPr>
                <w:b/>
                <w:bCs/>
                <w:sz w:val="20"/>
                <w:szCs w:val="20"/>
              </w:rPr>
              <w:t>1,373.</w:t>
            </w:r>
            <w:r>
              <w:rPr>
                <w:b/>
                <w:bCs/>
                <w:sz w:val="20"/>
                <w:szCs w:val="20"/>
              </w:rPr>
              <w:t>9</w:t>
            </w:r>
          </w:p>
        </w:tc>
        <w:tc>
          <w:tcPr>
            <w:tcW w:w="0" w:type="auto"/>
            <w:noWrap/>
            <w:vAlign w:val="bottom"/>
            <w:hideMark/>
          </w:tcPr>
          <w:p w14:paraId="19B4C7B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75EF6E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1339919"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538513FF" w14:textId="77777777" w:rsidR="00000000" w:rsidRDefault="003A1B5D">
            <w:pPr>
              <w:pStyle w:val="a3"/>
              <w:spacing w:before="0" w:beforeAutospacing="0" w:after="0" w:afterAutospacing="0"/>
              <w:jc w:val="right"/>
              <w:rPr>
                <w:sz w:val="20"/>
                <w:szCs w:val="20"/>
              </w:rPr>
            </w:pPr>
            <w:r>
              <w:rPr>
                <w:sz w:val="20"/>
                <w:szCs w:val="20"/>
              </w:rPr>
              <w:t>1,390.</w:t>
            </w:r>
            <w:r>
              <w:rPr>
                <w:sz w:val="20"/>
                <w:szCs w:val="20"/>
              </w:rPr>
              <w:t>5</w:t>
            </w:r>
          </w:p>
        </w:tc>
        <w:tc>
          <w:tcPr>
            <w:tcW w:w="0" w:type="auto"/>
            <w:noWrap/>
            <w:vAlign w:val="bottom"/>
            <w:hideMark/>
          </w:tcPr>
          <w:p w14:paraId="335CF52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035B90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8071B0D"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43A5AAB3" w14:textId="77777777" w:rsidR="00000000" w:rsidRDefault="003A1B5D">
            <w:pPr>
              <w:pStyle w:val="a3"/>
              <w:spacing w:before="0" w:beforeAutospacing="0" w:after="0" w:afterAutospacing="0"/>
              <w:jc w:val="right"/>
              <w:rPr>
                <w:sz w:val="20"/>
                <w:szCs w:val="20"/>
              </w:rPr>
            </w:pPr>
            <w:r>
              <w:rPr>
                <w:sz w:val="20"/>
                <w:szCs w:val="20"/>
              </w:rPr>
              <w:t>(16.</w:t>
            </w:r>
            <w:r>
              <w:rPr>
                <w:sz w:val="20"/>
                <w:szCs w:val="20"/>
              </w:rPr>
              <w:t>6</w:t>
            </w:r>
          </w:p>
        </w:tc>
        <w:tc>
          <w:tcPr>
            <w:tcW w:w="0" w:type="auto"/>
            <w:noWrap/>
            <w:vAlign w:val="bottom"/>
            <w:hideMark/>
          </w:tcPr>
          <w:p w14:paraId="45925AEF"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1AB76EB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A1F784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4557FFF" w14:textId="77777777" w:rsidR="00000000" w:rsidRDefault="003A1B5D">
            <w:pPr>
              <w:pStyle w:val="a3"/>
              <w:spacing w:before="0" w:beforeAutospacing="0" w:after="0" w:afterAutospacing="0"/>
              <w:jc w:val="right"/>
              <w:rPr>
                <w:sz w:val="20"/>
                <w:szCs w:val="20"/>
              </w:rPr>
            </w:pPr>
            <w:r>
              <w:rPr>
                <w:sz w:val="20"/>
                <w:szCs w:val="20"/>
              </w:rPr>
              <w:t>(1.</w:t>
            </w:r>
            <w:r>
              <w:rPr>
                <w:sz w:val="20"/>
                <w:szCs w:val="20"/>
              </w:rPr>
              <w:t>2</w:t>
            </w:r>
          </w:p>
        </w:tc>
        <w:tc>
          <w:tcPr>
            <w:tcW w:w="0" w:type="auto"/>
            <w:noWrap/>
            <w:vAlign w:val="bottom"/>
            <w:hideMark/>
          </w:tcPr>
          <w:p w14:paraId="0F1C5BCA" w14:textId="77777777" w:rsidR="00000000" w:rsidRDefault="003A1B5D">
            <w:pPr>
              <w:pStyle w:val="a3"/>
              <w:spacing w:before="0" w:beforeAutospacing="0" w:after="0" w:afterAutospacing="0"/>
              <w:rPr>
                <w:sz w:val="20"/>
                <w:szCs w:val="20"/>
              </w:rPr>
            </w:pPr>
            <w:r>
              <w:rPr>
                <w:sz w:val="20"/>
                <w:szCs w:val="20"/>
              </w:rPr>
              <w:t>%</w:t>
            </w:r>
            <w:r>
              <w:rPr>
                <w:sz w:val="20"/>
                <w:szCs w:val="20"/>
              </w:rPr>
              <w:t>)</w:t>
            </w:r>
          </w:p>
        </w:tc>
      </w:tr>
    </w:tbl>
    <w:p w14:paraId="0EFD72B7" w14:textId="77777777" w:rsidR="00000000" w:rsidRDefault="003A1B5D">
      <w:pPr>
        <w:pStyle w:val="a3"/>
        <w:spacing w:before="0" w:beforeAutospacing="0" w:after="0" w:afterAutospacing="0"/>
        <w:rPr>
          <w:sz w:val="20"/>
          <w:szCs w:val="20"/>
        </w:rPr>
      </w:pPr>
      <w:r>
        <w:rPr>
          <w:sz w:val="20"/>
          <w:szCs w:val="20"/>
        </w:rPr>
        <w:t> </w:t>
      </w:r>
    </w:p>
    <w:p w14:paraId="2C2683F7" w14:textId="77777777" w:rsidR="00000000" w:rsidRDefault="003A1B5D">
      <w:pPr>
        <w:pStyle w:val="a3"/>
        <w:spacing w:before="240" w:beforeAutospacing="0" w:after="0" w:afterAutospacing="0"/>
        <w:jc w:val="center"/>
        <w:rPr>
          <w:sz w:val="20"/>
          <w:szCs w:val="20"/>
        </w:rPr>
      </w:pPr>
      <w:r>
        <w:rPr>
          <w:sz w:val="20"/>
          <w:szCs w:val="20"/>
        </w:rPr>
        <w:t>2</w:t>
      </w:r>
      <w:r>
        <w:rPr>
          <w:sz w:val="20"/>
          <w:szCs w:val="20"/>
        </w:rPr>
        <w:t>6</w:t>
      </w:r>
    </w:p>
    <w:p w14:paraId="5CA15805" w14:textId="77777777" w:rsidR="00000000" w:rsidRDefault="003A1B5D">
      <w:pPr>
        <w:rPr>
          <w:rFonts w:eastAsia="Times New Roman"/>
        </w:rPr>
      </w:pPr>
      <w:r>
        <w:rPr>
          <w:rFonts w:eastAsia="Times New Roman"/>
        </w:rPr>
        <w:pict w14:anchorId="6E4DC2BB">
          <v:rect id="_x0000_i1052" style="width:0;height:1.5pt" o:hralign="center" o:hrstd="t" o:hr="t" fillcolor="#a0a0a0" stroked="f"/>
        </w:pict>
      </w:r>
    </w:p>
    <w:p w14:paraId="34BAA7FC" w14:textId="77777777" w:rsidR="00000000" w:rsidRDefault="003A1B5D">
      <w:pPr>
        <w:pStyle w:val="a3"/>
        <w:spacing w:before="0" w:beforeAutospacing="0" w:after="0" w:afterAutospacing="0"/>
        <w:rPr>
          <w:sz w:val="20"/>
          <w:szCs w:val="20"/>
        </w:rPr>
      </w:pPr>
      <w:r>
        <w:rPr>
          <w:sz w:val="20"/>
          <w:szCs w:val="20"/>
        </w:rPr>
        <w:t> </w:t>
      </w:r>
    </w:p>
    <w:p w14:paraId="77CB4529" w14:textId="77777777" w:rsidR="00000000" w:rsidRDefault="003A1B5D">
      <w:pPr>
        <w:pStyle w:val="a3"/>
        <w:spacing w:before="0" w:beforeAutospacing="0" w:after="0" w:afterAutospacing="0"/>
        <w:jc w:val="both"/>
        <w:rPr>
          <w:sz w:val="20"/>
          <w:szCs w:val="20"/>
        </w:rPr>
      </w:pPr>
      <w:r>
        <w:rPr>
          <w:sz w:val="20"/>
          <w:szCs w:val="20"/>
        </w:rPr>
        <w:t> </w:t>
      </w:r>
    </w:p>
    <w:p w14:paraId="4C293533" w14:textId="77777777" w:rsidR="00000000" w:rsidRDefault="003A1B5D">
      <w:pPr>
        <w:pStyle w:val="a3"/>
        <w:spacing w:before="0" w:beforeAutospacing="0" w:after="0" w:afterAutospacing="0"/>
        <w:jc w:val="both"/>
        <w:rPr>
          <w:sz w:val="20"/>
          <w:szCs w:val="20"/>
        </w:rPr>
      </w:pPr>
      <w:r>
        <w:rPr>
          <w:sz w:val="20"/>
          <w:szCs w:val="20"/>
        </w:rPr>
        <w:t xml:space="preserve">The $7.5 million, or 1.6%, decrease in total management revenue for the three months ended September 30, 2022 as compared with the same period in 2021 was primarily a result of a decrease in revenue of approximately </w:t>
      </w:r>
      <w:r>
        <w:rPr>
          <w:sz w:val="20"/>
          <w:szCs w:val="20"/>
        </w:rPr>
        <w:t xml:space="preserve">$22.8 million driven primarily by a decrease in the average daily compensated population from 2021 to 2022. The decrease in management revenue in the three-month period was partially offset by an increase in revenue of $15.0 million driven primarily by an </w:t>
      </w:r>
      <w:r>
        <w:rPr>
          <w:sz w:val="20"/>
          <w:szCs w:val="20"/>
        </w:rPr>
        <w:t>increase of 3.5% in average revenue per compensated man-day. The $5.2 million, or 0.4%, decrease in total management revenue for the nine months ended September 30, 2022 as compared with the same period in 2021 was primarily a result of a decrease in reven</w:t>
      </w:r>
      <w:r>
        <w:rPr>
          <w:sz w:val="20"/>
          <w:szCs w:val="20"/>
        </w:rPr>
        <w:t>ue of approximately $49.9 million driven primarily by a decrease in the average daily compensated population from 2021 to 2022. The decrease in management revenue in the nine-month period was partially offset by an increase in revenue of $43.8 million driv</w:t>
      </w:r>
      <w:r>
        <w:rPr>
          <w:sz w:val="20"/>
          <w:szCs w:val="20"/>
        </w:rPr>
        <w:t>en primarily by an increase of 3.5% in average revenue per compensated man-day. The increase in average revenue per compensated man-day in both periods resulted from the effect of per diem increases at several of our facilities.</w:t>
      </w:r>
      <w:r>
        <w:rPr>
          <w:sz w:val="20"/>
          <w:szCs w:val="20"/>
        </w:rPr>
        <w:t xml:space="preserve"> </w:t>
      </w:r>
      <w:r>
        <w:rPr>
          <w:sz w:val="20"/>
          <w:szCs w:val="20"/>
        </w:rPr>
        <w:t>We believe the impact of th</w:t>
      </w:r>
      <w:r>
        <w:rPr>
          <w:sz w:val="20"/>
          <w:szCs w:val="20"/>
        </w:rPr>
        <w:t>ese per diem increases will provide further benefit to our operating margins as residential populations recover from the impact of COVID-19 and will help offset the wage and employee benefit increases we have been incurring, as further discussed hereinafte</w:t>
      </w:r>
      <w:r>
        <w:rPr>
          <w:sz w:val="20"/>
          <w:szCs w:val="20"/>
        </w:rPr>
        <w:t>r.</w:t>
      </w:r>
      <w:r>
        <w:rPr>
          <w:sz w:val="20"/>
          <w:szCs w:val="20"/>
        </w:rPr>
        <w:t xml:space="preserve"> </w:t>
      </w:r>
      <w:r>
        <w:rPr>
          <w:sz w:val="20"/>
          <w:szCs w:val="20"/>
        </w:rPr>
        <w:t>Revenue generated from our electronic monitoring and case management services during the three and nine months ended September 30, 2022 increased $0.3 million (from $8.9 million during the three months ended September 30, 2021 to $9.2 million during the</w:t>
      </w:r>
      <w:r>
        <w:rPr>
          <w:sz w:val="20"/>
          <w:szCs w:val="20"/>
        </w:rPr>
        <w:t xml:space="preserve"> three months ended September 30, 2022) and $0.9 million (from $26.0 million during the nine months ended September 30, 2021 to $26.9 million during the nine months ended September 30, 2022), respectively</w:t>
      </w:r>
      <w:r>
        <w:rPr>
          <w:sz w:val="20"/>
          <w:szCs w:val="20"/>
        </w:rPr>
        <w:t>.</w:t>
      </w:r>
      <w:r>
        <w:rPr>
          <w:sz w:val="20"/>
          <w:szCs w:val="20"/>
        </w:rPr>
        <w:t xml:space="preserve"> </w:t>
      </w:r>
    </w:p>
    <w:p w14:paraId="63EAB061" w14:textId="77777777" w:rsidR="00000000" w:rsidRDefault="003A1B5D">
      <w:pPr>
        <w:pStyle w:val="a3"/>
        <w:spacing w:before="240" w:beforeAutospacing="0" w:after="0" w:afterAutospacing="0"/>
        <w:jc w:val="both"/>
        <w:rPr>
          <w:sz w:val="20"/>
          <w:szCs w:val="20"/>
        </w:rPr>
      </w:pPr>
      <w:r>
        <w:rPr>
          <w:sz w:val="20"/>
          <w:szCs w:val="20"/>
        </w:rPr>
        <w:t>Average daily compensated population decreased 2,751, or 5.1%, to 51,355 during the three months ended September 30, 2022 compared to 54,106 during the three months ended September 30, 2021. Average daily compensated population decreased 2,038, or 3.8%, to</w:t>
      </w:r>
      <w:r>
        <w:rPr>
          <w:sz w:val="20"/>
          <w:szCs w:val="20"/>
        </w:rPr>
        <w:t xml:space="preserve"> 51,404 during the nine months ended September 30, 2022 compared to 53,442 during the nine months ended September 30, 2021. The decrease in average daily compensated population in both periods was a result of the contract terminations at our 600-bed West T</w:t>
      </w:r>
      <w:r>
        <w:rPr>
          <w:sz w:val="20"/>
          <w:szCs w:val="20"/>
        </w:rPr>
        <w:t>ennessee Detention Facility effective September 30, 2021, at our 1,033-bed Leavenworth Detention Center effective December 31, 2021, and at the 1,030-bed managed-only Marion County Jail effective January 31, 2022, all as further described hereinafter. In a</w:t>
      </w:r>
      <w:r>
        <w:rPr>
          <w:sz w:val="20"/>
          <w:szCs w:val="20"/>
        </w:rPr>
        <w:t xml:space="preserve">ddition, the decrease in average daily compensated population in both periods also resulted from the three-year lease agreement we entered into with the state of New Mexico under which the state of New Mexico began leasing our 596-bed Northwest New Mexico </w:t>
      </w:r>
      <w:r>
        <w:rPr>
          <w:sz w:val="20"/>
          <w:szCs w:val="20"/>
        </w:rPr>
        <w:t xml:space="preserve">Correctional Center on November 1, 2021. We previously operated the Northwest New Mexico facility in our Safety segment under a contract with the state of New Mexico. Further, a decrease in ICE populations at our La Palma Correctional Center was partially </w:t>
      </w:r>
      <w:r>
        <w:rPr>
          <w:sz w:val="20"/>
          <w:szCs w:val="20"/>
        </w:rPr>
        <w:t>offset by an increase in state populations as the state of Arizona continues to ramp-up populations pursuant to a new management contract that commenced in April 2022. We expect the transition to the state residents from the state of Arizona to be complete</w:t>
      </w:r>
      <w:r>
        <w:rPr>
          <w:sz w:val="20"/>
          <w:szCs w:val="20"/>
        </w:rPr>
        <w:t xml:space="preserve">d in the fourth quarter of 2022. These factors, which contributed, in the aggregate, to the decrease in average daily compensated population in both the three- and nine-month periods, were partially offset by increases in other state populations as states </w:t>
      </w:r>
      <w:r>
        <w:rPr>
          <w:sz w:val="20"/>
          <w:szCs w:val="20"/>
        </w:rPr>
        <w:t>continue to recover from COVID-19 and operations of criminal justice systems continue to return to pre-COVID-19 operations</w:t>
      </w:r>
      <w:r>
        <w:rPr>
          <w:sz w:val="20"/>
          <w:szCs w:val="20"/>
        </w:rPr>
        <w:t>.</w:t>
      </w:r>
      <w:r>
        <w:rPr>
          <w:sz w:val="20"/>
          <w:szCs w:val="20"/>
        </w:rPr>
        <w:t xml:space="preserve"> </w:t>
      </w:r>
    </w:p>
    <w:p w14:paraId="3D7D64B0" w14:textId="77777777" w:rsidR="00000000" w:rsidRDefault="003A1B5D">
      <w:pPr>
        <w:pStyle w:val="a3"/>
        <w:spacing w:before="240" w:beforeAutospacing="0" w:after="0" w:afterAutospacing="0"/>
        <w:jc w:val="both"/>
        <w:rPr>
          <w:sz w:val="20"/>
          <w:szCs w:val="20"/>
        </w:rPr>
      </w:pPr>
      <w:r>
        <w:rPr>
          <w:sz w:val="20"/>
          <w:szCs w:val="20"/>
        </w:rPr>
        <w:t>The solutions we provide to our federal customers, including primarily ICE, the USMS, and the BOP, continue to be a significant com</w:t>
      </w:r>
      <w:r>
        <w:rPr>
          <w:sz w:val="20"/>
          <w:szCs w:val="20"/>
        </w:rPr>
        <w:t xml:space="preserve">ponent of our business. The federal customers in our Safety and Community segments generated approximately 54% and 56% of our total revenue for the three months ended September 30, 2022 and 2021, respectively, decreasing $17.8 million, or 6.7%, during the </w:t>
      </w:r>
      <w:r>
        <w:rPr>
          <w:sz w:val="20"/>
          <w:szCs w:val="20"/>
        </w:rPr>
        <w:t>three months ended September 30, 2022 as compared with the same period in 2021. The federal customers in our Safety and Community segments generated approximately 54% and 56% of our total revenue for the nine months ended September 30, 2022 and 2021, respe</w:t>
      </w:r>
      <w:r>
        <w:rPr>
          <w:sz w:val="20"/>
          <w:szCs w:val="20"/>
        </w:rPr>
        <w:t>ctively, decreasing $36.0 million, or 4.6%, during the nine months ended September 30, 2022 as compared with the same period in 2021</w:t>
      </w:r>
      <w:r>
        <w:rPr>
          <w:sz w:val="20"/>
          <w:szCs w:val="20"/>
        </w:rPr>
        <w:t>.</w:t>
      </w:r>
    </w:p>
    <w:p w14:paraId="0E8C798D" w14:textId="77777777" w:rsidR="00000000" w:rsidRDefault="003A1B5D">
      <w:pPr>
        <w:pStyle w:val="a3"/>
        <w:spacing w:before="240" w:beforeAutospacing="0" w:after="0" w:afterAutospacing="0"/>
        <w:jc w:val="both"/>
        <w:rPr>
          <w:sz w:val="20"/>
          <w:szCs w:val="20"/>
        </w:rPr>
      </w:pPr>
      <w:r>
        <w:rPr>
          <w:sz w:val="20"/>
          <w:szCs w:val="20"/>
        </w:rPr>
        <w:t>The decision near the end of the first quarter of 2020 by the federal government to deny entry at the United States southe</w:t>
      </w:r>
      <w:r>
        <w:rPr>
          <w:sz w:val="20"/>
          <w:szCs w:val="20"/>
        </w:rPr>
        <w:t>rn border to asylum-seekers and anyone crossing the southern border without proper documentation or authority in an effort to contain the spread of COVID-19, a policy known as Title 42, resulted in a reduction in people being apprehended and detained by IC</w:t>
      </w:r>
      <w:r>
        <w:rPr>
          <w:sz w:val="20"/>
          <w:szCs w:val="20"/>
        </w:rPr>
        <w:t>E. The financial impact was somewhat mitigated by fixed monthly payments from ICE at certain facilities, to ensure ICE has adequate bed capacity in the event of a surge in the future. During 2021, revenue from ICE was $552.2 million compared to $542.0 mill</w:t>
      </w:r>
      <w:r>
        <w:rPr>
          <w:sz w:val="20"/>
          <w:szCs w:val="20"/>
        </w:rPr>
        <w:t>ion during 2020, and compared to $579.5 million during 2019, prior to the implementation of Title 42. During the three and nine months ended September 30, 2022, revenue from ICE was $129.7 million and $398.0 million, respectively, compared to $140.3 millio</w:t>
      </w:r>
      <w:r>
        <w:rPr>
          <w:sz w:val="20"/>
          <w:szCs w:val="20"/>
        </w:rPr>
        <w:t>n and $411.5 million during the three and nine months ended September 30, 2021, respectively. Revenue from ICE for the three- and nine-month periods declined as a result of a decrease in detainees at our La Palma facility, where we are transitioning popula</w:t>
      </w:r>
      <w:r>
        <w:rPr>
          <w:sz w:val="20"/>
          <w:szCs w:val="20"/>
        </w:rPr>
        <w:t xml:space="preserve">tions from an ICE population to a population of residents from the state of Arizona, pursuant to a new management contract that commenced in April 2022. The transfer process at our La Palma facility is expected to be completed during the fourth quarter of </w:t>
      </w:r>
      <w:r>
        <w:rPr>
          <w:sz w:val="20"/>
          <w:szCs w:val="20"/>
        </w:rPr>
        <w:t>2022. During the three and nine months ended September 30, 2022, revenue from ICE at the La Palma facility was $6.2 million and $33.2 million, respectively, compared with $19.6 million and $58.5 million for the three and nine months ended September 30, 202</w:t>
      </w:r>
      <w:r>
        <w:rPr>
          <w:sz w:val="20"/>
          <w:szCs w:val="20"/>
        </w:rPr>
        <w:t xml:space="preserve">1, respectively. Upon full utilization of the new contract, we expect to generate approximately $75.0 million to $85.0 million in annualized revenue at the La Palma facility. On April 1, 2022, the CDC issued a Public Health Determination terminating Title </w:t>
      </w:r>
      <w:r>
        <w:rPr>
          <w:sz w:val="20"/>
          <w:szCs w:val="20"/>
        </w:rPr>
        <w:t>42 with an effective date of May 23, 2022. However, on April 25, 2022, a federal judge issued a temporary restraining order blocking the termination of Title 42, and on May 20, 2022, ruled that the administration violated administrative law when it announc</w:t>
      </w:r>
      <w:r>
        <w:rPr>
          <w:sz w:val="20"/>
          <w:szCs w:val="20"/>
        </w:rPr>
        <w:t>ed that it planned to cease Title 42. If Title 42 is terminated, such action may result in an increase in the number of undocumented people permitted to enter the United States claiming asylum, and could resul</w:t>
      </w:r>
      <w:r>
        <w:rPr>
          <w:sz w:val="20"/>
          <w:szCs w:val="20"/>
        </w:rPr>
        <w:t>t</w:t>
      </w:r>
      <w:r>
        <w:rPr>
          <w:sz w:val="20"/>
          <w:szCs w:val="20"/>
        </w:rPr>
        <w:t xml:space="preserve"> </w:t>
      </w:r>
    </w:p>
    <w:p w14:paraId="3E1FBFE2" w14:textId="77777777" w:rsidR="00000000" w:rsidRDefault="003A1B5D">
      <w:pPr>
        <w:pStyle w:val="a3"/>
        <w:spacing w:before="240" w:beforeAutospacing="0" w:after="0" w:afterAutospacing="0"/>
        <w:jc w:val="center"/>
        <w:rPr>
          <w:sz w:val="20"/>
          <w:szCs w:val="20"/>
        </w:rPr>
      </w:pPr>
      <w:r>
        <w:rPr>
          <w:sz w:val="20"/>
          <w:szCs w:val="20"/>
        </w:rPr>
        <w:t>2</w:t>
      </w:r>
      <w:r>
        <w:rPr>
          <w:sz w:val="20"/>
          <w:szCs w:val="20"/>
        </w:rPr>
        <w:t>7</w:t>
      </w:r>
    </w:p>
    <w:p w14:paraId="63111AA4" w14:textId="77777777" w:rsidR="00000000" w:rsidRDefault="003A1B5D">
      <w:pPr>
        <w:rPr>
          <w:rFonts w:eastAsia="Times New Roman"/>
        </w:rPr>
      </w:pPr>
      <w:r>
        <w:rPr>
          <w:rFonts w:eastAsia="Times New Roman"/>
        </w:rPr>
        <w:pict w14:anchorId="38348049">
          <v:rect id="_x0000_i1053" style="width:0;height:1.5pt" o:hralign="center" o:hrstd="t" o:hr="t" fillcolor="#a0a0a0" stroked="f"/>
        </w:pict>
      </w:r>
    </w:p>
    <w:p w14:paraId="2237E1BE" w14:textId="77777777" w:rsidR="00000000" w:rsidRDefault="003A1B5D">
      <w:pPr>
        <w:pStyle w:val="a3"/>
        <w:spacing w:before="0" w:beforeAutospacing="0" w:after="0" w:afterAutospacing="0"/>
        <w:rPr>
          <w:sz w:val="20"/>
          <w:szCs w:val="20"/>
        </w:rPr>
      </w:pPr>
      <w:r>
        <w:rPr>
          <w:sz w:val="20"/>
          <w:szCs w:val="20"/>
        </w:rPr>
        <w:t> </w:t>
      </w:r>
    </w:p>
    <w:p w14:paraId="54DBF988" w14:textId="77777777" w:rsidR="00000000" w:rsidRDefault="003A1B5D">
      <w:pPr>
        <w:pStyle w:val="a3"/>
        <w:spacing w:before="240" w:beforeAutospacing="0" w:after="0" w:afterAutospacing="0"/>
        <w:jc w:val="both"/>
        <w:rPr>
          <w:sz w:val="20"/>
          <w:szCs w:val="20"/>
        </w:rPr>
      </w:pPr>
      <w:r>
        <w:rPr>
          <w:sz w:val="20"/>
          <w:szCs w:val="20"/>
        </w:rPr>
        <w:t>in</w:t>
      </w:r>
      <w:r>
        <w:rPr>
          <w:sz w:val="20"/>
          <w:szCs w:val="20"/>
        </w:rPr>
        <w:t xml:space="preserve"> an increase in the number of people apprehended and detained by ICE. The number of people apprehended by ICE could also increase if the federal government prevails over its attempt to reverse the MPP implemented by the Trump administration. As previously </w:t>
      </w:r>
      <w:r>
        <w:rPr>
          <w:sz w:val="20"/>
          <w:szCs w:val="20"/>
        </w:rPr>
        <w:t>described, litigation over MPP is ongoing. On April 26, 2022 the Supreme Court heard arguments on MPP, and on June 30, 2022, the Supreme Court ruled that immigration law gives the federal government the discretion to end the program. The Supreme Court also</w:t>
      </w:r>
      <w:r>
        <w:rPr>
          <w:sz w:val="20"/>
          <w:szCs w:val="20"/>
        </w:rPr>
        <w:t xml:space="preserve"> indicated that lower courts must now determine whether issuing the memorandum asserting the termination of MPP complied with administrative law, although the Supreme Court found that the order was a proper agency action</w:t>
      </w:r>
      <w:r>
        <w:rPr>
          <w:sz w:val="20"/>
          <w:szCs w:val="20"/>
        </w:rPr>
        <w:t>.</w:t>
      </w:r>
    </w:p>
    <w:p w14:paraId="1600C980" w14:textId="77777777" w:rsidR="00000000" w:rsidRDefault="003A1B5D">
      <w:pPr>
        <w:pStyle w:val="a3"/>
        <w:spacing w:before="240" w:beforeAutospacing="0" w:after="0" w:afterAutospacing="0"/>
        <w:jc w:val="both"/>
        <w:rPr>
          <w:sz w:val="20"/>
          <w:szCs w:val="20"/>
        </w:rPr>
      </w:pPr>
      <w:r>
        <w:rPr>
          <w:sz w:val="20"/>
          <w:szCs w:val="20"/>
        </w:rPr>
        <w:t>State revenues from contracts at c</w:t>
      </w:r>
      <w:r>
        <w:rPr>
          <w:sz w:val="20"/>
          <w:szCs w:val="20"/>
        </w:rPr>
        <w:t>orrectional, detention, and residential reentry facilities that we operate increased $16.9 million, or 10.9%, from the third quarter of 2021 to the third quarter of 2022. State revenues increased $43.4 million, or 9.7%, from the nine months ended September</w:t>
      </w:r>
      <w:r>
        <w:rPr>
          <w:sz w:val="20"/>
          <w:szCs w:val="20"/>
        </w:rPr>
        <w:t xml:space="preserve"> 30, 2021 to the comparable period in 2022. State revenues increased in both periods primarily as a result of the new management contract with the state of Arizona at our 3,060-bed La Palma Correctional Center for up to 2,706 inmates, as the state continue</w:t>
      </w:r>
      <w:r>
        <w:rPr>
          <w:sz w:val="20"/>
          <w:szCs w:val="20"/>
        </w:rPr>
        <w:t>s to transfer inmate populations from public sector facilities into our La Palma facility. We began receiving inmates from the state of Arizona in April 2022 and expect the transfer process to be complete in the fourth quarter of 2022. Before the new award</w:t>
      </w:r>
      <w:r>
        <w:rPr>
          <w:sz w:val="20"/>
          <w:szCs w:val="20"/>
        </w:rPr>
        <w:t>, the La Palma facility supported the mission of ICE by caring for approximately 1,800 detainees. State revenues also increased in both periods because of an amended contract with the state of Montana to utilize all of the capacity at the Crossroads Correc</w:t>
      </w:r>
      <w:r>
        <w:rPr>
          <w:sz w:val="20"/>
          <w:szCs w:val="20"/>
        </w:rPr>
        <w:t xml:space="preserve">tional Center, including the space vacated by the USMS, as previously discussed herein. In addition, state revenues increased in both periods as a result of higher state inmate populations at other facilities, and from per diem increases under a number of </w:t>
      </w:r>
      <w:r>
        <w:rPr>
          <w:sz w:val="20"/>
          <w:szCs w:val="20"/>
        </w:rPr>
        <w:t>our state contracts, as certain states have recognized the need to provide additional funding to address increases in the wages of our employees. The increase in state revenues was partially offset by the effect of the new lease agreement between us and th</w:t>
      </w:r>
      <w:r>
        <w:rPr>
          <w:sz w:val="20"/>
          <w:szCs w:val="20"/>
        </w:rPr>
        <w:t xml:space="preserve">e state of New Mexico at our Northwest New Mexico Correctional Center effective November 1, 2021. We previously operated the facility in our Safety segment under a contract with the state of New Mexico; however, as a result of our new lease agreement, the </w:t>
      </w:r>
      <w:r>
        <w:rPr>
          <w:sz w:val="20"/>
          <w:szCs w:val="20"/>
        </w:rPr>
        <w:t>Northwest New Mexico facility is now a part of our Properties segment. Excluding state inmate populations at the Northwest New Mexico facility, average daily state inmate populations increased from 27,283 during the third quarter of 2021 to 28,240 during t</w:t>
      </w:r>
      <w:r>
        <w:rPr>
          <w:sz w:val="20"/>
          <w:szCs w:val="20"/>
        </w:rPr>
        <w:t>he third quarter of 2022, and increased from 26,877 during the nine months ended September 30, 2021 to 28,079 during the nine months ended September 30, 2022, an increase of 3.5% and 4.5%, respectively</w:t>
      </w:r>
      <w:r>
        <w:rPr>
          <w:sz w:val="20"/>
          <w:szCs w:val="20"/>
        </w:rPr>
        <w:t>.</w:t>
      </w:r>
      <w:r>
        <w:rPr>
          <w:sz w:val="20"/>
          <w:szCs w:val="20"/>
        </w:rPr>
        <w:t xml:space="preserve"> </w:t>
      </w:r>
    </w:p>
    <w:p w14:paraId="373EE6FA" w14:textId="77777777" w:rsidR="00000000" w:rsidRDefault="003A1B5D">
      <w:pPr>
        <w:pStyle w:val="a3"/>
        <w:spacing w:before="240" w:beforeAutospacing="0" w:after="0" w:afterAutospacing="0"/>
        <w:jc w:val="both"/>
        <w:rPr>
          <w:sz w:val="20"/>
          <w:szCs w:val="20"/>
        </w:rPr>
      </w:pPr>
      <w:r>
        <w:rPr>
          <w:sz w:val="20"/>
          <w:szCs w:val="20"/>
        </w:rPr>
        <w:t>Local revenues from contracts at correctional, deten</w:t>
      </w:r>
      <w:r>
        <w:rPr>
          <w:sz w:val="20"/>
          <w:szCs w:val="20"/>
        </w:rPr>
        <w:t>tion, and residential reentry facilities that we operate decreased $4.2 million, or 31.8%, from the third quarter of 2021 to the third quarter of 2022. Local revenues decreased $11.9 million, or 31.2%, from the nine months ended September 30, 2021 to the n</w:t>
      </w:r>
      <w:r>
        <w:rPr>
          <w:sz w:val="20"/>
          <w:szCs w:val="20"/>
        </w:rPr>
        <w:t>ine months ended September 30, 2022. The decrease in local revenue in both periods is primarily a result of the contract termination at the 1,030-bed managed-only Marion County Jail on January 31, 2022. This facility contributed to the reduction in local r</w:t>
      </w:r>
      <w:r>
        <w:rPr>
          <w:sz w:val="20"/>
          <w:szCs w:val="20"/>
        </w:rPr>
        <w:t>evenues of $5.1 million and $13.7 million during the three- and nine-month periods, respectively</w:t>
      </w:r>
      <w:r>
        <w:rPr>
          <w:sz w:val="20"/>
          <w:szCs w:val="20"/>
        </w:rPr>
        <w:t>.</w:t>
      </w:r>
      <w:r>
        <w:rPr>
          <w:sz w:val="20"/>
          <w:szCs w:val="20"/>
        </w:rPr>
        <w:t xml:space="preserve"> </w:t>
      </w:r>
    </w:p>
    <w:p w14:paraId="032FD67F" w14:textId="77777777" w:rsidR="00000000" w:rsidRDefault="003A1B5D">
      <w:pPr>
        <w:pStyle w:val="a3"/>
        <w:spacing w:before="240" w:beforeAutospacing="0" w:after="0" w:afterAutospacing="0"/>
        <w:jc w:val="both"/>
        <w:rPr>
          <w:sz w:val="20"/>
          <w:szCs w:val="20"/>
        </w:rPr>
      </w:pPr>
      <w:r>
        <w:rPr>
          <w:sz w:val="20"/>
          <w:szCs w:val="20"/>
        </w:rPr>
        <w:t xml:space="preserve">The $0.7 million, or 5.0%, increase in lease revenue from the third quarter of 2021 to the third quarter of 2022 was primarily a result of the lease revenue </w:t>
      </w:r>
      <w:r>
        <w:rPr>
          <w:sz w:val="20"/>
          <w:szCs w:val="20"/>
        </w:rPr>
        <w:t xml:space="preserve">generated from the commencement of the lease of the 596-bed Northwest New Mexico Correctional Center to the state of New Mexico effective November 1, 2021, which was previously operated as a facility in our Safety segment but is now part of our Properties </w:t>
      </w:r>
      <w:r>
        <w:rPr>
          <w:sz w:val="20"/>
          <w:szCs w:val="20"/>
        </w:rPr>
        <w:t>segment. The increase in lease revenue in the three-month period was partially offset by the decrease in revenue that resulted from the sale of two actively leased properties during the third quarter of 2022, as further described hereinafter. The $11.2 mil</w:t>
      </w:r>
      <w:r>
        <w:rPr>
          <w:sz w:val="20"/>
          <w:szCs w:val="20"/>
        </w:rPr>
        <w:t>lion, or 20.4%, decrease in lease revenue from the nine months ended September 30, 2021 to the comparable period in 2022, was primarily a result of the sale of three actively leased properties during the second quarter of 2021 and two actively leased prope</w:t>
      </w:r>
      <w:r>
        <w:rPr>
          <w:sz w:val="20"/>
          <w:szCs w:val="20"/>
        </w:rPr>
        <w:t>rties during the third quarter of 2022, all as further described hereinafter. The decrease in lease revenue in the nine-month period was partially offset by the lease revenue generated from the commencement of the lease at our Northwest New Mexico facility</w:t>
      </w:r>
      <w:r>
        <w:rPr>
          <w:sz w:val="20"/>
          <w:szCs w:val="20"/>
        </w:rPr>
        <w:t>.</w:t>
      </w:r>
      <w:r>
        <w:rPr>
          <w:sz w:val="20"/>
          <w:szCs w:val="20"/>
        </w:rPr>
        <w:t xml:space="preserve"> </w:t>
      </w:r>
    </w:p>
    <w:p w14:paraId="5D447929" w14:textId="77777777" w:rsidR="00000000" w:rsidRDefault="003A1B5D">
      <w:pPr>
        <w:pStyle w:val="a3"/>
        <w:spacing w:before="360" w:beforeAutospacing="0" w:after="0" w:afterAutospacing="0"/>
        <w:jc w:val="both"/>
        <w:rPr>
          <w:sz w:val="20"/>
          <w:szCs w:val="20"/>
        </w:rPr>
      </w:pPr>
      <w:r>
        <w:rPr>
          <w:i/>
          <w:iCs/>
          <w:sz w:val="20"/>
          <w:szCs w:val="20"/>
        </w:rPr>
        <w:t>Operating Expense</w:t>
      </w:r>
      <w:r>
        <w:rPr>
          <w:i/>
          <w:iCs/>
          <w:sz w:val="20"/>
          <w:szCs w:val="20"/>
        </w:rPr>
        <w:t>s</w:t>
      </w:r>
    </w:p>
    <w:p w14:paraId="26E90E7D" w14:textId="77777777" w:rsidR="00000000" w:rsidRDefault="003A1B5D">
      <w:pPr>
        <w:pStyle w:val="a3"/>
        <w:spacing w:before="120" w:beforeAutospacing="0" w:after="0" w:afterAutospacing="0"/>
        <w:jc w:val="both"/>
        <w:rPr>
          <w:sz w:val="20"/>
          <w:szCs w:val="20"/>
        </w:rPr>
      </w:pPr>
      <w:r>
        <w:rPr>
          <w:sz w:val="20"/>
          <w:szCs w:val="20"/>
        </w:rPr>
        <w:t>Operating expenses totaled $368.2 million and $338.2 million for the three months ended September 30, 2022 and 2021, respectively, while operating expenses for the nine months ended September 30, 2022 and 2021 totaled $1,061.8 million</w:t>
      </w:r>
      <w:r>
        <w:rPr>
          <w:sz w:val="20"/>
          <w:szCs w:val="20"/>
        </w:rPr>
        <w:t xml:space="preserve"> and $1,004.1 million, respectively. Operating expenses consist of those expenses incurred in the operation and management of correctional, detention, and residential reentry facilities, as well as those expenses incurred in the operations of TransCor and </w:t>
      </w:r>
      <w:r>
        <w:rPr>
          <w:sz w:val="20"/>
          <w:szCs w:val="20"/>
        </w:rPr>
        <w:t>our electronic monitoring and case management services. Operating expenses also consist of those expenses incurred in the operation of facilities we lease to third-party operators</w:t>
      </w:r>
      <w:r>
        <w:rPr>
          <w:sz w:val="20"/>
          <w:szCs w:val="20"/>
        </w:rPr>
        <w:t>.</w:t>
      </w:r>
      <w:r>
        <w:rPr>
          <w:sz w:val="20"/>
          <w:szCs w:val="20"/>
        </w:rPr>
        <w:t xml:space="preserve"> </w:t>
      </w:r>
    </w:p>
    <w:p w14:paraId="55DD8DCD" w14:textId="77777777" w:rsidR="00000000" w:rsidRDefault="003A1B5D">
      <w:pPr>
        <w:pStyle w:val="a3"/>
        <w:spacing w:before="240" w:beforeAutospacing="0" w:after="0" w:afterAutospacing="0"/>
        <w:jc w:val="both"/>
        <w:rPr>
          <w:sz w:val="20"/>
          <w:szCs w:val="20"/>
        </w:rPr>
      </w:pPr>
      <w:r>
        <w:rPr>
          <w:sz w:val="20"/>
          <w:szCs w:val="20"/>
        </w:rPr>
        <w:t>Operating expenses incurred by CoreCivic Safety and CoreCivic Community in</w:t>
      </w:r>
      <w:r>
        <w:rPr>
          <w:sz w:val="20"/>
          <w:szCs w:val="20"/>
        </w:rPr>
        <w:t xml:space="preserve"> connection with the operation and management of our correctional, detention, and residential reentry facilities, as well as those incurred in the operations of TransCor and our electronic monitoring and case management services, increased $29.5 million, o</w:t>
      </w:r>
      <w:r>
        <w:rPr>
          <w:sz w:val="20"/>
          <w:szCs w:val="20"/>
        </w:rPr>
        <w:t xml:space="preserve">r 8.8%, during the third quarter of 2022 when compared with the same period in 2021. Operating expenses incurred by these segments increased $62.5 million, or 6.3%, during the nine months ended September 30, 2022, when compared to the same period in 2021. </w:t>
      </w:r>
      <w:r>
        <w:rPr>
          <w:sz w:val="20"/>
          <w:szCs w:val="20"/>
        </w:rPr>
        <w:t>Operating expenses increased in both periods primarily as a result of wage and employee benefits increases and related incremental expenses resulting from labor shortages and wage pressures, as further described hereinafter. We achieved higher staffing lev</w:t>
      </w:r>
      <w:r>
        <w:rPr>
          <w:sz w:val="20"/>
          <w:szCs w:val="20"/>
        </w:rPr>
        <w:t>els and, during the three and nine months ended September 30, 2022, we incurred $5.6 million and $18.0 million, respectively, more in temporary incentives than in the prior year periods to attract and retain facilit</w:t>
      </w:r>
      <w:r>
        <w:rPr>
          <w:sz w:val="20"/>
          <w:szCs w:val="20"/>
        </w:rPr>
        <w:t>y</w:t>
      </w:r>
      <w:r>
        <w:rPr>
          <w:sz w:val="20"/>
          <w:szCs w:val="20"/>
        </w:rPr>
        <w:t xml:space="preserve"> </w:t>
      </w:r>
    </w:p>
    <w:p w14:paraId="2F95DAC0" w14:textId="77777777" w:rsidR="00000000" w:rsidRDefault="003A1B5D">
      <w:pPr>
        <w:pStyle w:val="a3"/>
        <w:spacing w:before="240" w:beforeAutospacing="0" w:after="0" w:afterAutospacing="0"/>
        <w:jc w:val="center"/>
        <w:rPr>
          <w:sz w:val="20"/>
          <w:szCs w:val="20"/>
        </w:rPr>
      </w:pPr>
      <w:r>
        <w:rPr>
          <w:sz w:val="20"/>
          <w:szCs w:val="20"/>
        </w:rPr>
        <w:t>2</w:t>
      </w:r>
      <w:r>
        <w:rPr>
          <w:sz w:val="20"/>
          <w:szCs w:val="20"/>
        </w:rPr>
        <w:t>8</w:t>
      </w:r>
    </w:p>
    <w:p w14:paraId="22F5B318" w14:textId="77777777" w:rsidR="00000000" w:rsidRDefault="003A1B5D">
      <w:pPr>
        <w:rPr>
          <w:rFonts w:eastAsia="Times New Roman"/>
        </w:rPr>
      </w:pPr>
      <w:r>
        <w:rPr>
          <w:rFonts w:eastAsia="Times New Roman"/>
        </w:rPr>
        <w:pict w14:anchorId="512A5034">
          <v:rect id="_x0000_i1054" style="width:0;height:1.5pt" o:hralign="center" o:hrstd="t" o:hr="t" fillcolor="#a0a0a0" stroked="f"/>
        </w:pict>
      </w:r>
    </w:p>
    <w:p w14:paraId="46E4742A" w14:textId="77777777" w:rsidR="00000000" w:rsidRDefault="003A1B5D">
      <w:pPr>
        <w:pStyle w:val="a3"/>
        <w:spacing w:before="0" w:beforeAutospacing="0" w:after="0" w:afterAutospacing="0"/>
        <w:rPr>
          <w:sz w:val="20"/>
          <w:szCs w:val="20"/>
        </w:rPr>
      </w:pPr>
      <w:r>
        <w:rPr>
          <w:sz w:val="20"/>
          <w:szCs w:val="20"/>
        </w:rPr>
        <w:t> </w:t>
      </w:r>
    </w:p>
    <w:p w14:paraId="45493DEF" w14:textId="77777777" w:rsidR="00000000" w:rsidRDefault="003A1B5D">
      <w:pPr>
        <w:pStyle w:val="a3"/>
        <w:spacing w:before="240" w:beforeAutospacing="0" w:after="0" w:afterAutospacing="0"/>
        <w:jc w:val="both"/>
        <w:rPr>
          <w:sz w:val="20"/>
          <w:szCs w:val="20"/>
        </w:rPr>
      </w:pPr>
      <w:r>
        <w:rPr>
          <w:sz w:val="20"/>
          <w:szCs w:val="20"/>
        </w:rPr>
        <w:t xml:space="preserve">staff in this challenging labor market. </w:t>
      </w:r>
      <w:r>
        <w:rPr>
          <w:sz w:val="20"/>
          <w:szCs w:val="20"/>
        </w:rPr>
        <w:t>We believe these investments in staffing are preparing us to manage the increased number of residents we anticipate at our facilities once the remaining occupancy restrictions caused by the COVID-19 pandemic are removed. As the labor market improves, which</w:t>
      </w:r>
      <w:r>
        <w:rPr>
          <w:sz w:val="20"/>
          <w:szCs w:val="20"/>
        </w:rPr>
        <w:t xml:space="preserve"> we believe will take some additional time, we expect to reduce our reliance on these temporary incentives. Additionally, operating expenses increased as a result of expenses incurred as we transition inmate populations at our La Palma Correctional Center </w:t>
      </w:r>
      <w:r>
        <w:rPr>
          <w:sz w:val="20"/>
          <w:szCs w:val="20"/>
        </w:rPr>
        <w:t>as a result of a new contract with the state of Arizona. The increase in operating expenses was partially offset by the contract terminations at our 600-bed West Tennessee Detention Facility effective September 30, 2021, at our 1,033-bed Leavenworth Detent</w:t>
      </w:r>
      <w:r>
        <w:rPr>
          <w:sz w:val="20"/>
          <w:szCs w:val="20"/>
        </w:rPr>
        <w:t>ion Center effective December 31, 2021, and at the 1,030-bed managed-only Marion County Jail effective January 31, 2022. In addition, the increase in operating expenses was partially offset by the three-year lease agreement we entered into with the state o</w:t>
      </w:r>
      <w:r>
        <w:rPr>
          <w:sz w:val="20"/>
          <w:szCs w:val="20"/>
        </w:rPr>
        <w:t>f New Mexico at our 596-bed Northwest New Mexico Correctional Center effective November 1, 2021. We previously operated the Northwest New Mexico facility in our Safety segment</w:t>
      </w:r>
      <w:r>
        <w:rPr>
          <w:sz w:val="20"/>
          <w:szCs w:val="20"/>
        </w:rPr>
        <w:t>.</w:t>
      </w:r>
      <w:r>
        <w:rPr>
          <w:sz w:val="20"/>
          <w:szCs w:val="20"/>
        </w:rPr>
        <w:t xml:space="preserve"> </w:t>
      </w:r>
    </w:p>
    <w:p w14:paraId="25D9C906" w14:textId="77777777" w:rsidR="00000000" w:rsidRDefault="003A1B5D">
      <w:pPr>
        <w:pStyle w:val="a3"/>
        <w:spacing w:before="240" w:beforeAutospacing="0" w:after="0" w:afterAutospacing="0"/>
        <w:jc w:val="both"/>
        <w:rPr>
          <w:sz w:val="20"/>
          <w:szCs w:val="20"/>
        </w:rPr>
      </w:pPr>
      <w:r>
        <w:rPr>
          <w:sz w:val="20"/>
          <w:szCs w:val="20"/>
        </w:rPr>
        <w:t>Total expenses per compensated man-day increased to $75.28 during the three mo</w:t>
      </w:r>
      <w:r>
        <w:rPr>
          <w:sz w:val="20"/>
          <w:szCs w:val="20"/>
        </w:rPr>
        <w:t>nths ended September 30, 2022 from $65.54 during the three months ended September 30, 2021, and increased to $73.09 during the nine months ended September 30, 2022 from $66.04 during the same period in the prior year. Fixed expenses per compensated man-day</w:t>
      </w:r>
      <w:r>
        <w:rPr>
          <w:sz w:val="20"/>
          <w:szCs w:val="20"/>
        </w:rPr>
        <w:t xml:space="preserve"> increased to $53.10 during the three months ended September 30, 2022 from $47.70 during the same period in the prior year, and increased to $51.62 during the nine months ended September 30, 2022 from $48.08 during the same period in the prior year. We hav</w:t>
      </w:r>
      <w:r>
        <w:rPr>
          <w:sz w:val="20"/>
          <w:szCs w:val="20"/>
        </w:rPr>
        <w:t xml:space="preserve">e experienced labor shortages and wage pressures in many markets across the country, and have provided customary inflationary wage increases to remain competitive, including increases to most of our facility staff during July of the last three years since </w:t>
      </w:r>
      <w:r>
        <w:rPr>
          <w:sz w:val="20"/>
          <w:szCs w:val="20"/>
        </w:rPr>
        <w:t>the COVID-19 pandemic started. Recruiting has been particularly challenging during the pandemic due to the front-line nature of the services we provide, and the shortage of nursing staff across the country has intensified as a result of the COVID-19 pandem</w:t>
      </w:r>
      <w:r>
        <w:rPr>
          <w:sz w:val="20"/>
          <w:szCs w:val="20"/>
        </w:rPr>
        <w:t xml:space="preserve">ic, resulting in a significant increase in registry nursing expenses. The challenges of recruiting and retaining staff, including nursing, has been and could continue to be exacerbated by actions taken or contemplated to be taken by government authorities </w:t>
      </w:r>
      <w:r>
        <w:rPr>
          <w:sz w:val="20"/>
          <w:szCs w:val="20"/>
        </w:rPr>
        <w:t xml:space="preserve">intended to mitigate the spread of COVID-19 such as health and safety directives or other requirements that apply to us and our facilities. Further, we have incurred, and expect to continue to incur, incremental expenses to help ensure sufficient staffing </w:t>
      </w:r>
      <w:r>
        <w:rPr>
          <w:sz w:val="20"/>
          <w:szCs w:val="20"/>
        </w:rPr>
        <w:t>levels under unique and challenging working conditions. Incremental expenses include, but may not be limited to, incentive payments to our front-line and field staff, temporary employee housing expenses and other travel related reimbursements, additional p</w:t>
      </w:r>
      <w:r>
        <w:rPr>
          <w:sz w:val="20"/>
          <w:szCs w:val="20"/>
        </w:rPr>
        <w:t>aid time off, off-cycle wage increases in certain markets to remain competitive, further increases in registry nursing expenses, as well as expenses to procure personal protective equipment and other supplies. The increase in fixed expenses per compensated</w:t>
      </w:r>
      <w:r>
        <w:rPr>
          <w:sz w:val="20"/>
          <w:szCs w:val="20"/>
        </w:rPr>
        <w:t xml:space="preserve"> man-day also resulted from leveraging our fixed expenses over lower compensated populations, as well as expenses incurred during the aforementioned transition of populations at our La Palma facility</w:t>
      </w:r>
      <w:r>
        <w:rPr>
          <w:sz w:val="20"/>
          <w:szCs w:val="20"/>
        </w:rPr>
        <w:t>.</w:t>
      </w:r>
      <w:r>
        <w:rPr>
          <w:sz w:val="20"/>
          <w:szCs w:val="20"/>
        </w:rPr>
        <w:t xml:space="preserve"> </w:t>
      </w:r>
    </w:p>
    <w:p w14:paraId="2F01C4CC" w14:textId="77777777" w:rsidR="00000000" w:rsidRDefault="003A1B5D">
      <w:pPr>
        <w:pStyle w:val="a3"/>
        <w:spacing w:before="240" w:beforeAutospacing="0" w:after="0" w:afterAutospacing="0"/>
        <w:jc w:val="both"/>
        <w:rPr>
          <w:sz w:val="20"/>
          <w:szCs w:val="20"/>
        </w:rPr>
      </w:pPr>
      <w:r>
        <w:rPr>
          <w:sz w:val="20"/>
          <w:szCs w:val="20"/>
        </w:rPr>
        <w:t>We continually monitor compensation levels very closel</w:t>
      </w:r>
      <w:r>
        <w:rPr>
          <w:sz w:val="20"/>
          <w:szCs w:val="20"/>
        </w:rPr>
        <w:t>y along with overall economic conditions and will adjust wage levels necessary to help ensure the long-term success of our business. Further, we continually evaluate the structure of our employee benefits package and training programs to ensure we are bett</w:t>
      </w:r>
      <w:r>
        <w:rPr>
          <w:sz w:val="20"/>
          <w:szCs w:val="20"/>
        </w:rPr>
        <w:t>er able to attract and retain our employees. Salaries and benefits represent the most significant component of our operating expenses, representing approximately 58% and 60% of our total operating expenses during the nine months ended September 30, 2022 an</w:t>
      </w:r>
      <w:r>
        <w:rPr>
          <w:sz w:val="20"/>
          <w:szCs w:val="20"/>
        </w:rPr>
        <w:t>d 2021, respectively. As mentioned, recruiting and retaining staff has become particularly challenging in the current employment market for us and for the corrections and detention industry as a whole. An inability to attract and retain sufficient personne</w:t>
      </w:r>
      <w:r>
        <w:rPr>
          <w:sz w:val="20"/>
          <w:szCs w:val="20"/>
        </w:rPr>
        <w:t>l could prevent us from caring for additional residential populations for government agencies in need of additional capacity due to an increase in inmate populations or an inability to adequately staff their facilities. An inability to attract and retain s</w:t>
      </w:r>
      <w:r>
        <w:rPr>
          <w:sz w:val="20"/>
          <w:szCs w:val="20"/>
        </w:rPr>
        <w:t>ufficient personnel in our existing facilities could also cause our government partners to assess liquidated damages, reduce our residential populations, or in extreme circumstances, cancel our contracts. We have also been subjected to increasing staff vac</w:t>
      </w:r>
      <w:r>
        <w:rPr>
          <w:sz w:val="20"/>
          <w:szCs w:val="20"/>
        </w:rPr>
        <w:t xml:space="preserve">ancy deductions as a result of the labor shortages, which are reflected as reductions to other management revenue. Estimating vacancy deduction amounts can be complex and subject to management judgment and estimations. Some of our government partners have </w:t>
      </w:r>
      <w:r>
        <w:rPr>
          <w:sz w:val="20"/>
          <w:szCs w:val="20"/>
        </w:rPr>
        <w:t xml:space="preserve">granted waivers for vacancy deductions in recognition of the unique and challenging labor market, while others have discretionarily adjusted such deductions based on our extraordinary costs, efforts and incentive programs implemented to attract and retain </w:t>
      </w:r>
      <w:r>
        <w:rPr>
          <w:sz w:val="20"/>
          <w:szCs w:val="20"/>
        </w:rPr>
        <w:t>staff</w:t>
      </w:r>
      <w:r>
        <w:rPr>
          <w:sz w:val="20"/>
          <w:szCs w:val="20"/>
        </w:rPr>
        <w:t>.</w:t>
      </w:r>
      <w:r>
        <w:rPr>
          <w:sz w:val="20"/>
          <w:szCs w:val="20"/>
        </w:rPr>
        <w:t xml:space="preserve"> </w:t>
      </w:r>
    </w:p>
    <w:p w14:paraId="71E782E0" w14:textId="77777777" w:rsidR="00000000" w:rsidRDefault="003A1B5D">
      <w:pPr>
        <w:pStyle w:val="a3"/>
        <w:spacing w:before="240" w:beforeAutospacing="0" w:after="0" w:afterAutospacing="0"/>
        <w:jc w:val="both"/>
        <w:rPr>
          <w:sz w:val="20"/>
          <w:szCs w:val="20"/>
        </w:rPr>
      </w:pPr>
      <w:r>
        <w:rPr>
          <w:sz w:val="20"/>
          <w:szCs w:val="20"/>
        </w:rPr>
        <w:t>Variable expenses per compensated man-day increased to $22.1</w:t>
      </w:r>
      <w:r>
        <w:rPr>
          <w:sz w:val="20"/>
          <w:szCs w:val="20"/>
        </w:rPr>
        <w:t>8</w:t>
      </w:r>
      <w:r>
        <w:rPr>
          <w:b/>
          <w:bCs/>
          <w:sz w:val="20"/>
          <w:szCs w:val="20"/>
        </w:rPr>
        <w:t xml:space="preserve"> </w:t>
      </w:r>
      <w:r>
        <w:rPr>
          <w:sz w:val="20"/>
          <w:szCs w:val="20"/>
        </w:rPr>
        <w:t>during the three months ended September 30, 2022, from $17.84 during the same period in the prior year, and increased to $21.47 during the nine months ended September 30, 2022, from $17.</w:t>
      </w:r>
      <w:r>
        <w:rPr>
          <w:sz w:val="20"/>
          <w:szCs w:val="20"/>
        </w:rPr>
        <w:t>96 during the same period in the prior year. The increase in variable expenses per compensated man-day in the three- and nine-month periods was primarily a result of an increase in registry nursing expenses of $4.0 million, or $0.89 per compensated man-day</w:t>
      </w:r>
      <w:r>
        <w:rPr>
          <w:sz w:val="20"/>
          <w:szCs w:val="20"/>
        </w:rPr>
        <w:t>, and $15.5 million, or $1.14 per compensated man-day, respectively, due to the shortage of nursing staff across the country</w:t>
      </w:r>
      <w:r>
        <w:rPr>
          <w:sz w:val="20"/>
          <w:szCs w:val="20"/>
        </w:rPr>
        <w:t>.</w:t>
      </w:r>
      <w:r>
        <w:rPr>
          <w:b/>
          <w:bCs/>
          <w:sz w:val="20"/>
          <w:szCs w:val="20"/>
        </w:rPr>
        <w:t xml:space="preserve"> </w:t>
      </w:r>
      <w:r>
        <w:rPr>
          <w:sz w:val="20"/>
          <w:szCs w:val="20"/>
        </w:rPr>
        <w:t>In addition, we experienced an increase in travel expenses from the same periods in the prior year as we supported our staff who a</w:t>
      </w:r>
      <w:r>
        <w:rPr>
          <w:sz w:val="20"/>
          <w:szCs w:val="20"/>
        </w:rPr>
        <w:t>re temporarily deployed across the Company to help address the labor shortages we are experiencing in certain regions. Travel expenses increased $5.8 million, or $1.26 per compensated man-day, and $13.8 million, or $1.01 per compensated man-day, in the thr</w:t>
      </w:r>
      <w:r>
        <w:rPr>
          <w:sz w:val="20"/>
          <w:szCs w:val="20"/>
        </w:rPr>
        <w:t>ee- and nine-month periods, respectively</w:t>
      </w:r>
      <w:r>
        <w:rPr>
          <w:sz w:val="20"/>
          <w:szCs w:val="20"/>
        </w:rPr>
        <w:t>.</w:t>
      </w:r>
    </w:p>
    <w:p w14:paraId="5994B120" w14:textId="77777777" w:rsidR="00000000" w:rsidRDefault="003A1B5D">
      <w:pPr>
        <w:pStyle w:val="a3"/>
        <w:spacing w:before="240" w:beforeAutospacing="0" w:after="0" w:afterAutospacing="0"/>
        <w:jc w:val="both"/>
        <w:rPr>
          <w:sz w:val="20"/>
          <w:szCs w:val="20"/>
        </w:rPr>
      </w:pPr>
      <w:r>
        <w:rPr>
          <w:sz w:val="20"/>
          <w:szCs w:val="20"/>
        </w:rPr>
        <w:t>Operating expenses incurred by CoreCivic Properties in connection with facilities we lease to third-party operators increased $0.5 million, or 15.4%, during the third quarter of 2022 when compared with the same per</w:t>
      </w:r>
      <w:r>
        <w:rPr>
          <w:sz w:val="20"/>
          <w:szCs w:val="20"/>
        </w:rPr>
        <w:t xml:space="preserve">iod in 2021, and decreased $4.8 million, or 31.1%, during the nine months ended September 30, 2022 when compared with the same period in 2021. The increase in expenses in this segment in the three-month period was primarily a result of the commencement of </w:t>
      </w:r>
      <w:r>
        <w:rPr>
          <w:sz w:val="20"/>
          <w:szCs w:val="20"/>
        </w:rPr>
        <w:t>the lease of the 596-bed Northwest New Mexico Correctional Center effective November 1, 2021, as further described hereinafter. The decrease in expenses in this segment in th</w:t>
      </w:r>
      <w:r>
        <w:rPr>
          <w:sz w:val="20"/>
          <w:szCs w:val="20"/>
        </w:rPr>
        <w:t>e</w:t>
      </w:r>
      <w:r>
        <w:rPr>
          <w:sz w:val="20"/>
          <w:szCs w:val="20"/>
        </w:rPr>
        <w:t xml:space="preserve"> </w:t>
      </w:r>
    </w:p>
    <w:p w14:paraId="385C0C3D" w14:textId="77777777" w:rsidR="00000000" w:rsidRDefault="003A1B5D">
      <w:pPr>
        <w:pStyle w:val="a3"/>
        <w:spacing w:before="240" w:beforeAutospacing="0" w:after="0" w:afterAutospacing="0"/>
        <w:jc w:val="center"/>
        <w:rPr>
          <w:sz w:val="20"/>
          <w:szCs w:val="20"/>
        </w:rPr>
      </w:pPr>
      <w:r>
        <w:rPr>
          <w:sz w:val="20"/>
          <w:szCs w:val="20"/>
        </w:rPr>
        <w:t>2</w:t>
      </w:r>
      <w:r>
        <w:rPr>
          <w:sz w:val="20"/>
          <w:szCs w:val="20"/>
        </w:rPr>
        <w:t>9</w:t>
      </w:r>
    </w:p>
    <w:p w14:paraId="3E4E646A" w14:textId="77777777" w:rsidR="00000000" w:rsidRDefault="003A1B5D">
      <w:pPr>
        <w:rPr>
          <w:rFonts w:eastAsia="Times New Roman"/>
        </w:rPr>
      </w:pPr>
      <w:r>
        <w:rPr>
          <w:rFonts w:eastAsia="Times New Roman"/>
        </w:rPr>
        <w:pict w14:anchorId="5F53B301">
          <v:rect id="_x0000_i1055" style="width:0;height:1.5pt" o:hralign="center" o:hrstd="t" o:hr="t" fillcolor="#a0a0a0" stroked="f"/>
        </w:pict>
      </w:r>
    </w:p>
    <w:p w14:paraId="606F11B2" w14:textId="77777777" w:rsidR="00000000" w:rsidRDefault="003A1B5D">
      <w:pPr>
        <w:pStyle w:val="a3"/>
        <w:spacing w:before="0" w:beforeAutospacing="0" w:after="0" w:afterAutospacing="0"/>
        <w:rPr>
          <w:sz w:val="20"/>
          <w:szCs w:val="20"/>
        </w:rPr>
      </w:pPr>
      <w:r>
        <w:rPr>
          <w:sz w:val="20"/>
          <w:szCs w:val="20"/>
        </w:rPr>
        <w:t> </w:t>
      </w:r>
    </w:p>
    <w:p w14:paraId="2006B5AE" w14:textId="77777777" w:rsidR="00000000" w:rsidRDefault="003A1B5D">
      <w:pPr>
        <w:pStyle w:val="a3"/>
        <w:spacing w:before="240" w:beforeAutospacing="0" w:after="0" w:afterAutospacing="0"/>
        <w:jc w:val="both"/>
        <w:rPr>
          <w:sz w:val="20"/>
          <w:szCs w:val="20"/>
        </w:rPr>
      </w:pPr>
      <w:r>
        <w:rPr>
          <w:sz w:val="20"/>
          <w:szCs w:val="20"/>
        </w:rPr>
        <w:t>nine-month period was primarily a result of the sale of three actively leased properties during the second quarter of 2021, as further described hereinafter, partially offset by the operating expenses incurred as a res</w:t>
      </w:r>
      <w:r>
        <w:rPr>
          <w:sz w:val="20"/>
          <w:szCs w:val="20"/>
        </w:rPr>
        <w:t>ult of the commencement of the lease of the Northwest New Mexico facility</w:t>
      </w:r>
      <w:r>
        <w:rPr>
          <w:sz w:val="20"/>
          <w:szCs w:val="20"/>
        </w:rPr>
        <w:t>.</w:t>
      </w:r>
      <w:r>
        <w:rPr>
          <w:sz w:val="20"/>
          <w:szCs w:val="20"/>
        </w:rPr>
        <w:t xml:space="preserve"> </w:t>
      </w:r>
    </w:p>
    <w:p w14:paraId="3C7489C9" w14:textId="77777777" w:rsidR="00000000" w:rsidRDefault="003A1B5D">
      <w:pPr>
        <w:pStyle w:val="a3"/>
        <w:spacing w:before="360" w:beforeAutospacing="0" w:after="0" w:afterAutospacing="0"/>
        <w:jc w:val="both"/>
        <w:rPr>
          <w:sz w:val="20"/>
          <w:szCs w:val="20"/>
        </w:rPr>
      </w:pPr>
      <w:r>
        <w:rPr>
          <w:i/>
          <w:iCs/>
          <w:sz w:val="20"/>
          <w:szCs w:val="20"/>
        </w:rPr>
        <w:t>Facility Management Contract</w:t>
      </w:r>
      <w:r>
        <w:rPr>
          <w:i/>
          <w:iCs/>
          <w:sz w:val="20"/>
          <w:szCs w:val="20"/>
        </w:rPr>
        <w:t>s</w:t>
      </w:r>
    </w:p>
    <w:p w14:paraId="5DD6B8FD" w14:textId="77777777" w:rsidR="00000000" w:rsidRDefault="003A1B5D">
      <w:pPr>
        <w:pStyle w:val="a3"/>
        <w:spacing w:before="120" w:beforeAutospacing="0" w:after="0" w:afterAutospacing="0"/>
        <w:jc w:val="both"/>
        <w:rPr>
          <w:sz w:val="20"/>
          <w:szCs w:val="20"/>
        </w:rPr>
      </w:pPr>
      <w:r>
        <w:rPr>
          <w:sz w:val="20"/>
          <w:szCs w:val="20"/>
        </w:rPr>
        <w:t>We enter into facility management contracts to provide bed capacity and management services to governmental entities in our CoreCivic Safety and CoreC</w:t>
      </w:r>
      <w:r>
        <w:rPr>
          <w:sz w:val="20"/>
          <w:szCs w:val="20"/>
        </w:rPr>
        <w:t>ivic Community segments for terms typically ranging from three to five years, with additional renewal periods at the option of the contracting governmental agency. Accordingly, a substantial portion of our facility management contracts are scheduled to exp</w:t>
      </w:r>
      <w:r>
        <w:rPr>
          <w:sz w:val="20"/>
          <w:szCs w:val="20"/>
        </w:rPr>
        <w:t>ire each year, notwithstanding contractual renewal options that a government agency may exercise. Although we generally expect these customers to exercise renewal options or negotiate new contracts with us, one or more of these contracts may not be renewed</w:t>
      </w:r>
      <w:r>
        <w:rPr>
          <w:sz w:val="20"/>
          <w:szCs w:val="20"/>
        </w:rPr>
        <w:t xml:space="preserve"> by the corresponding governmental agency. Further, our government partners can generally terminate our management contracts for non-appropriation of funds or for convenience</w:t>
      </w:r>
      <w:r>
        <w:rPr>
          <w:sz w:val="20"/>
          <w:szCs w:val="20"/>
        </w:rPr>
        <w:t>.</w:t>
      </w:r>
      <w:r>
        <w:rPr>
          <w:sz w:val="20"/>
          <w:szCs w:val="20"/>
        </w:rPr>
        <w:t xml:space="preserve"> </w:t>
      </w:r>
    </w:p>
    <w:p w14:paraId="11839B01" w14:textId="77777777" w:rsidR="00000000" w:rsidRDefault="003A1B5D">
      <w:pPr>
        <w:pStyle w:val="a3"/>
        <w:spacing w:before="240" w:beforeAutospacing="0" w:after="0" w:afterAutospacing="0"/>
        <w:jc w:val="both"/>
        <w:rPr>
          <w:sz w:val="20"/>
          <w:szCs w:val="20"/>
        </w:rPr>
      </w:pPr>
      <w:r>
        <w:rPr>
          <w:sz w:val="20"/>
          <w:szCs w:val="20"/>
        </w:rPr>
        <w:t>Additionally, the Private Prison EO issued by President Biden on January 26, 20</w:t>
      </w:r>
      <w:r>
        <w:rPr>
          <w:sz w:val="20"/>
          <w:szCs w:val="20"/>
        </w:rPr>
        <w:t>21, directs the Attorney General to not renew DOJ contracts with privately operated criminal detention facilities. Two agencies of the DOJ, the BOP and the USMS utilize our services. The BOP houses inmates who have been convicted, and the USMS is generally</w:t>
      </w:r>
      <w:r>
        <w:rPr>
          <w:sz w:val="20"/>
          <w:szCs w:val="20"/>
        </w:rPr>
        <w:t xml:space="preserve"> responsible for detainees who are awaiting trial. The BOP has experienced a steady decline in inmate populations over the last eight years, a trend that has been accelerated by the COVID-19 pandemic. We currently have one prison contract with the BOP at o</w:t>
      </w:r>
      <w:r>
        <w:rPr>
          <w:sz w:val="20"/>
          <w:szCs w:val="20"/>
        </w:rPr>
        <w:t>ur 1,978-bed McRae Correctional Facility, accounting for 2% ($40.6 million) of our total revenue for the twelve months ended December 31, 2021, which expires in November 2022. During the three and nine months ended September 30, 2022, we generated manageme</w:t>
      </w:r>
      <w:r>
        <w:rPr>
          <w:sz w:val="20"/>
          <w:szCs w:val="20"/>
        </w:rPr>
        <w:t>nt revenue of $10.3 million and $31.0 million, respectively, from this contract with the BOP. We do not expect this contract to be renewed upon its expiration in November 2022. As further described hereinafter, we completed the sale of the McRae facility i</w:t>
      </w:r>
      <w:r>
        <w:rPr>
          <w:sz w:val="20"/>
          <w:szCs w:val="20"/>
        </w:rPr>
        <w:t>n August 2022 to the Georgia Building Authority, and entered into an agreement to lease the facility through November 2022 to allow us to fulfill our obligations to the BOP. The Private Prison EO only applies to agencies that are part of the DOJ, which inc</w:t>
      </w:r>
      <w:r>
        <w:rPr>
          <w:sz w:val="20"/>
          <w:szCs w:val="20"/>
        </w:rPr>
        <w:t xml:space="preserve">ludes the BOP and USMS. ICE facilities are not covered by the Private Prison EO, as ICE is an agency of DHS, not the DOJ, although it is possible that the federal government could choose to take similar action on ICE facilities in the future. USMS and ICE </w:t>
      </w:r>
      <w:r>
        <w:rPr>
          <w:sz w:val="20"/>
          <w:szCs w:val="20"/>
        </w:rPr>
        <w:t xml:space="preserve">accounted for 22% ($300.7 million) and 29% ($398.0 million), respectively, of our total revenue for the nine months ended September 30, 2022, and 23% ($433.6 million) and 30% ($552.2 million), respectively, of our total revenue for the twelve months ended </w:t>
      </w:r>
      <w:r>
        <w:rPr>
          <w:sz w:val="20"/>
          <w:szCs w:val="20"/>
        </w:rPr>
        <w:t>December 31, 2021</w:t>
      </w:r>
      <w:r>
        <w:rPr>
          <w:sz w:val="20"/>
          <w:szCs w:val="20"/>
        </w:rPr>
        <w:t>.</w:t>
      </w:r>
      <w:r>
        <w:rPr>
          <w:sz w:val="20"/>
          <w:szCs w:val="20"/>
        </w:rPr>
        <w:t xml:space="preserve"> </w:t>
      </w:r>
    </w:p>
    <w:p w14:paraId="00DE27B8" w14:textId="77777777" w:rsidR="00000000" w:rsidRDefault="003A1B5D">
      <w:pPr>
        <w:pStyle w:val="a3"/>
        <w:spacing w:before="240" w:beforeAutospacing="0" w:after="0" w:afterAutospacing="0"/>
        <w:jc w:val="both"/>
        <w:rPr>
          <w:sz w:val="20"/>
          <w:szCs w:val="20"/>
        </w:rPr>
      </w:pPr>
      <w:r>
        <w:rPr>
          <w:sz w:val="20"/>
          <w:szCs w:val="20"/>
        </w:rPr>
        <w:t>Unlike the BOP, the USMS does not own detention capacity and relies on the private sector, along with various government agencies, for its detainee population. The USMS has been advised by the Office of the Deputy Attorney General not t</w:t>
      </w:r>
      <w:r>
        <w:rPr>
          <w:sz w:val="20"/>
          <w:szCs w:val="20"/>
        </w:rPr>
        <w:t>o renew existing contracts, or enter into new contracts, for private detention facilities. We currently</w:t>
      </w:r>
      <w:r>
        <w:rPr>
          <w:sz w:val="20"/>
          <w:szCs w:val="20"/>
        </w:rPr>
        <w:t xml:space="preserve"> </w:t>
      </w:r>
      <w:r>
        <w:rPr>
          <w:sz w:val="20"/>
          <w:szCs w:val="20"/>
        </w:rPr>
        <w:t>have two detention facilities that have direct contracts with the USMS</w:t>
      </w:r>
      <w:r>
        <w:rPr>
          <w:sz w:val="20"/>
          <w:szCs w:val="20"/>
        </w:rPr>
        <w:t xml:space="preserve"> </w:t>
      </w:r>
      <w:r>
        <w:rPr>
          <w:sz w:val="20"/>
          <w:szCs w:val="20"/>
        </w:rPr>
        <w:t xml:space="preserve">that expire in September 2023 and September 2025. The facility with the contract </w:t>
      </w:r>
      <w:r>
        <w:rPr>
          <w:sz w:val="20"/>
          <w:szCs w:val="20"/>
        </w:rPr>
        <w:t>expiring in September 2023 services a substantial number of USMS detainees that we believe will be challenging to replace, and we intend to work with the USMS to enable it to continue to fulfill its mission.</w:t>
      </w:r>
      <w:r>
        <w:rPr>
          <w:sz w:val="20"/>
          <w:szCs w:val="20"/>
        </w:rPr>
        <w:t xml:space="preserve"> </w:t>
      </w:r>
      <w:r>
        <w:rPr>
          <w:sz w:val="20"/>
          <w:szCs w:val="20"/>
        </w:rPr>
        <w:t>However, we can provide no assurance that this c</w:t>
      </w:r>
      <w:r>
        <w:rPr>
          <w:sz w:val="20"/>
          <w:szCs w:val="20"/>
        </w:rPr>
        <w:t>ontract will be renewed or replaced upon expiration. It is too early to predict the outcome of the expiration of the contract scheduled to expire in September 2025, and future developments could occur prior to the scheduled expiration dat</w:t>
      </w:r>
      <w:r>
        <w:rPr>
          <w:sz w:val="20"/>
          <w:szCs w:val="20"/>
        </w:rPr>
        <w:t>e</w:t>
      </w:r>
      <w:r>
        <w:rPr>
          <w:sz w:val="21"/>
          <w:szCs w:val="21"/>
        </w:rPr>
        <w:t>.</w:t>
      </w:r>
      <w:r>
        <w:rPr>
          <w:sz w:val="20"/>
          <w:szCs w:val="20"/>
        </w:rPr>
        <w:t xml:space="preserve"> </w:t>
      </w:r>
    </w:p>
    <w:p w14:paraId="65A673B7" w14:textId="77777777" w:rsidR="00000000" w:rsidRDefault="003A1B5D">
      <w:pPr>
        <w:pStyle w:val="a3"/>
        <w:spacing w:before="240" w:beforeAutospacing="0" w:after="0" w:afterAutospacing="0"/>
        <w:jc w:val="both"/>
        <w:rPr>
          <w:sz w:val="20"/>
          <w:szCs w:val="20"/>
        </w:rPr>
      </w:pPr>
      <w:r>
        <w:rPr>
          <w:sz w:val="20"/>
          <w:szCs w:val="20"/>
        </w:rPr>
        <w:t>Based on infor</w:t>
      </w:r>
      <w:r>
        <w:rPr>
          <w:sz w:val="20"/>
          <w:szCs w:val="20"/>
        </w:rPr>
        <w:t>mation available as of the date of this Quarterly Report, other than the previously mentioned contract with the BOP at our McRae facility, we believe we will renew all other contracts with our government partners that have expired or are scheduled to expir</w:t>
      </w:r>
      <w:r>
        <w:rPr>
          <w:sz w:val="20"/>
          <w:szCs w:val="20"/>
        </w:rPr>
        <w:t>e within the next twelve months that could have a material adverse impact on our financial statements. We believe our renewal rate on existing contracts remains high due to a variety of reasons including, but not limited to, the constrained supply of avail</w:t>
      </w:r>
      <w:r>
        <w:rPr>
          <w:sz w:val="20"/>
          <w:szCs w:val="20"/>
        </w:rPr>
        <w:t>able beds within the U.S. correctional system, our ownership of the majority of the beds we operate, and the cost effectiveness of the services we provide. However, we cannot assure that we will continue to achieve such renewal rates in the future</w:t>
      </w:r>
      <w:r>
        <w:rPr>
          <w:sz w:val="20"/>
          <w:szCs w:val="20"/>
        </w:rPr>
        <w:t>.</w:t>
      </w:r>
      <w:r>
        <w:rPr>
          <w:sz w:val="20"/>
          <w:szCs w:val="20"/>
        </w:rPr>
        <w:t xml:space="preserve"> </w:t>
      </w:r>
    </w:p>
    <w:p w14:paraId="3DB22453" w14:textId="77777777" w:rsidR="00000000" w:rsidRDefault="003A1B5D">
      <w:pPr>
        <w:pStyle w:val="a3"/>
        <w:spacing w:before="360" w:beforeAutospacing="0" w:after="0" w:afterAutospacing="0"/>
        <w:jc w:val="both"/>
        <w:rPr>
          <w:sz w:val="20"/>
          <w:szCs w:val="20"/>
        </w:rPr>
      </w:pPr>
      <w:r>
        <w:rPr>
          <w:i/>
          <w:iCs/>
          <w:sz w:val="20"/>
          <w:szCs w:val="20"/>
        </w:rPr>
        <w:t>CoreCi</w:t>
      </w:r>
      <w:r>
        <w:rPr>
          <w:i/>
          <w:iCs/>
          <w:sz w:val="20"/>
          <w:szCs w:val="20"/>
        </w:rPr>
        <w:t>vic Safet</w:t>
      </w:r>
      <w:r>
        <w:rPr>
          <w:i/>
          <w:iCs/>
          <w:sz w:val="20"/>
          <w:szCs w:val="20"/>
        </w:rPr>
        <w:t>y</w:t>
      </w:r>
      <w:r>
        <w:rPr>
          <w:i/>
          <w:iCs/>
          <w:sz w:val="20"/>
          <w:szCs w:val="20"/>
        </w:rPr>
        <w:t xml:space="preserve"> </w:t>
      </w:r>
    </w:p>
    <w:p w14:paraId="76285838" w14:textId="77777777" w:rsidR="00000000" w:rsidRDefault="003A1B5D">
      <w:pPr>
        <w:pStyle w:val="a3"/>
        <w:spacing w:before="120" w:beforeAutospacing="0" w:after="0" w:afterAutospacing="0"/>
        <w:jc w:val="both"/>
        <w:rPr>
          <w:sz w:val="20"/>
          <w:szCs w:val="20"/>
        </w:rPr>
      </w:pPr>
      <w:r>
        <w:rPr>
          <w:sz w:val="20"/>
          <w:szCs w:val="20"/>
        </w:rPr>
        <w:t xml:space="preserve">CoreCivic Safety includes the operating results of the correctional and detention facilities that we operated during each period. Total revenue generated by CoreCivic Safety decreased $8.3 million, or 1.9%, from $431.5 million during the three </w:t>
      </w:r>
      <w:r>
        <w:rPr>
          <w:sz w:val="20"/>
          <w:szCs w:val="20"/>
        </w:rPr>
        <w:t xml:space="preserve">months ended September 30, 2021 to $423.2 million during the three months ended September 30, 2022, and decreased $7.4 million, or 0.6%, from $1,261.2 million during the nine months ended September 30, 2021 to $1,253.8 million during the nine months ended </w:t>
      </w:r>
      <w:r>
        <w:rPr>
          <w:sz w:val="20"/>
          <w:szCs w:val="20"/>
        </w:rPr>
        <w:t>September 30, 2022. CoreCivic Safety's facility net operating income decreased $36.3 million, or 30.9%, from $117.3 million during the three months ended September 30, 2021 to $81.0 million during the three months ended September 30, 2022, and decreased $6</w:t>
      </w:r>
      <w:r>
        <w:rPr>
          <w:sz w:val="20"/>
          <w:szCs w:val="20"/>
        </w:rPr>
        <w:t>7.9 million, or 20.3%, from $334.2 million during the nine months ended September 30, 2021 to $266.3 million during the nine months ended September 30, 2022. During the three and nine months ended September 30, 2022, CoreCivic Safety generated 82.5% and 83</w:t>
      </w:r>
      <w:r>
        <w:rPr>
          <w:sz w:val="20"/>
          <w:szCs w:val="20"/>
        </w:rPr>
        <w:t>.5%, respectively, of our total segment net operating income, compared with 86.8% and 85.0% during the three and nine months ended September 30, 2021, respectively</w:t>
      </w:r>
      <w:r>
        <w:rPr>
          <w:sz w:val="20"/>
          <w:szCs w:val="20"/>
        </w:rPr>
        <w:t>.</w:t>
      </w:r>
      <w:r>
        <w:rPr>
          <w:sz w:val="20"/>
          <w:szCs w:val="20"/>
        </w:rPr>
        <w:t xml:space="preserve"> </w:t>
      </w:r>
    </w:p>
    <w:p w14:paraId="04CD54E8" w14:textId="77777777" w:rsidR="00000000" w:rsidRDefault="003A1B5D">
      <w:pPr>
        <w:pStyle w:val="a3"/>
        <w:spacing w:before="240" w:beforeAutospacing="0" w:after="0" w:afterAutospacing="0"/>
        <w:jc w:val="center"/>
        <w:rPr>
          <w:sz w:val="20"/>
          <w:szCs w:val="20"/>
        </w:rPr>
      </w:pPr>
      <w:r>
        <w:rPr>
          <w:sz w:val="20"/>
          <w:szCs w:val="20"/>
        </w:rPr>
        <w:t>3</w:t>
      </w:r>
      <w:r>
        <w:rPr>
          <w:sz w:val="20"/>
          <w:szCs w:val="20"/>
        </w:rPr>
        <w:t>0</w:t>
      </w:r>
    </w:p>
    <w:p w14:paraId="543F05CC" w14:textId="77777777" w:rsidR="00000000" w:rsidRDefault="003A1B5D">
      <w:pPr>
        <w:rPr>
          <w:rFonts w:eastAsia="Times New Roman"/>
        </w:rPr>
      </w:pPr>
      <w:r>
        <w:rPr>
          <w:rFonts w:eastAsia="Times New Roman"/>
        </w:rPr>
        <w:pict w14:anchorId="29071E95">
          <v:rect id="_x0000_i1056" style="width:0;height:1.5pt" o:hralign="center" o:hrstd="t" o:hr="t" fillcolor="#a0a0a0" stroked="f"/>
        </w:pict>
      </w:r>
    </w:p>
    <w:p w14:paraId="10CE41D2" w14:textId="77777777" w:rsidR="00000000" w:rsidRDefault="003A1B5D">
      <w:pPr>
        <w:pStyle w:val="a3"/>
        <w:spacing w:before="0" w:beforeAutospacing="0" w:after="0" w:afterAutospacing="0"/>
        <w:rPr>
          <w:sz w:val="20"/>
          <w:szCs w:val="20"/>
        </w:rPr>
      </w:pPr>
      <w:r>
        <w:rPr>
          <w:sz w:val="20"/>
          <w:szCs w:val="20"/>
        </w:rPr>
        <w:t> </w:t>
      </w:r>
    </w:p>
    <w:p w14:paraId="53BFDF8B" w14:textId="77777777" w:rsidR="00000000" w:rsidRDefault="003A1B5D">
      <w:pPr>
        <w:pStyle w:val="a3"/>
        <w:spacing w:before="240" w:beforeAutospacing="0" w:after="0" w:afterAutospacing="0"/>
        <w:jc w:val="both"/>
        <w:rPr>
          <w:sz w:val="20"/>
          <w:szCs w:val="20"/>
        </w:rPr>
      </w:pPr>
      <w:r>
        <w:rPr>
          <w:sz w:val="20"/>
          <w:szCs w:val="20"/>
        </w:rPr>
        <w:t>The following table displays the revenue and exp</w:t>
      </w:r>
      <w:r>
        <w:rPr>
          <w:sz w:val="20"/>
          <w:szCs w:val="20"/>
        </w:rPr>
        <w:t>enses per compensated man-day for CoreCivic Safety's correctional and detention facilities placed into service that we own and manage and for the facilities we manage but do not own, inclusive of the transportation services provided by TransCor</w:t>
      </w:r>
      <w:r>
        <w:rPr>
          <w:sz w:val="20"/>
          <w:szCs w:val="20"/>
        </w:rPr>
        <w:t>:</w:t>
      </w:r>
    </w:p>
    <w:p w14:paraId="02EFB190" w14:textId="77777777" w:rsidR="00000000" w:rsidRDefault="003A1B5D">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66"/>
        <w:gridCol w:w="110"/>
        <w:gridCol w:w="160"/>
        <w:gridCol w:w="610"/>
        <w:gridCol w:w="260"/>
        <w:gridCol w:w="110"/>
        <w:gridCol w:w="160"/>
        <w:gridCol w:w="610"/>
        <w:gridCol w:w="227"/>
        <w:gridCol w:w="110"/>
        <w:gridCol w:w="160"/>
        <w:gridCol w:w="610"/>
        <w:gridCol w:w="260"/>
        <w:gridCol w:w="110"/>
        <w:gridCol w:w="160"/>
        <w:gridCol w:w="610"/>
        <w:gridCol w:w="242"/>
      </w:tblGrid>
      <w:tr w:rsidR="00000000" w14:paraId="28F006F9" w14:textId="77777777">
        <w:trPr>
          <w:tblCellSpacing w:w="15" w:type="dxa"/>
        </w:trPr>
        <w:tc>
          <w:tcPr>
            <w:tcW w:w="2469" w:type="pct"/>
            <w:vAlign w:val="center"/>
            <w:hideMark/>
          </w:tcPr>
          <w:p w14:paraId="407BA187" w14:textId="77777777" w:rsidR="00000000" w:rsidRDefault="003A1B5D">
            <w:pPr>
              <w:rPr>
                <w:sz w:val="20"/>
                <w:szCs w:val="20"/>
              </w:rPr>
            </w:pPr>
          </w:p>
        </w:tc>
        <w:tc>
          <w:tcPr>
            <w:tcW w:w="59" w:type="pct"/>
            <w:vAlign w:val="center"/>
            <w:hideMark/>
          </w:tcPr>
          <w:p w14:paraId="61F08512" w14:textId="77777777" w:rsidR="00000000" w:rsidRDefault="003A1B5D">
            <w:pPr>
              <w:rPr>
                <w:rFonts w:eastAsia="Times New Roman"/>
                <w:sz w:val="20"/>
                <w:szCs w:val="20"/>
              </w:rPr>
            </w:pPr>
          </w:p>
        </w:tc>
        <w:tc>
          <w:tcPr>
            <w:tcW w:w="50" w:type="pct"/>
            <w:vAlign w:val="center"/>
            <w:hideMark/>
          </w:tcPr>
          <w:p w14:paraId="632DE9E4" w14:textId="77777777" w:rsidR="00000000" w:rsidRDefault="003A1B5D">
            <w:pPr>
              <w:rPr>
                <w:rFonts w:eastAsia="Times New Roman"/>
                <w:sz w:val="20"/>
                <w:szCs w:val="20"/>
              </w:rPr>
            </w:pPr>
          </w:p>
        </w:tc>
        <w:tc>
          <w:tcPr>
            <w:tcW w:w="469" w:type="pct"/>
            <w:vAlign w:val="center"/>
            <w:hideMark/>
          </w:tcPr>
          <w:p w14:paraId="7372AE4F" w14:textId="77777777" w:rsidR="00000000" w:rsidRDefault="003A1B5D">
            <w:pPr>
              <w:rPr>
                <w:rFonts w:eastAsia="Times New Roman"/>
                <w:sz w:val="20"/>
                <w:szCs w:val="20"/>
              </w:rPr>
            </w:pPr>
          </w:p>
        </w:tc>
        <w:tc>
          <w:tcPr>
            <w:tcW w:w="50" w:type="pct"/>
            <w:vAlign w:val="center"/>
            <w:hideMark/>
          </w:tcPr>
          <w:p w14:paraId="11960EC7" w14:textId="77777777" w:rsidR="00000000" w:rsidRDefault="003A1B5D">
            <w:pPr>
              <w:rPr>
                <w:rFonts w:eastAsia="Times New Roman"/>
                <w:sz w:val="20"/>
                <w:szCs w:val="20"/>
              </w:rPr>
            </w:pPr>
          </w:p>
        </w:tc>
        <w:tc>
          <w:tcPr>
            <w:tcW w:w="59" w:type="pct"/>
            <w:vAlign w:val="center"/>
            <w:hideMark/>
          </w:tcPr>
          <w:p w14:paraId="44C1A85B" w14:textId="77777777" w:rsidR="00000000" w:rsidRDefault="003A1B5D">
            <w:pPr>
              <w:rPr>
                <w:rFonts w:eastAsia="Times New Roman"/>
                <w:sz w:val="20"/>
                <w:szCs w:val="20"/>
              </w:rPr>
            </w:pPr>
          </w:p>
        </w:tc>
        <w:tc>
          <w:tcPr>
            <w:tcW w:w="50" w:type="pct"/>
            <w:vAlign w:val="center"/>
            <w:hideMark/>
          </w:tcPr>
          <w:p w14:paraId="54649083" w14:textId="77777777" w:rsidR="00000000" w:rsidRDefault="003A1B5D">
            <w:pPr>
              <w:rPr>
                <w:rFonts w:eastAsia="Times New Roman"/>
                <w:sz w:val="20"/>
                <w:szCs w:val="20"/>
              </w:rPr>
            </w:pPr>
          </w:p>
        </w:tc>
        <w:tc>
          <w:tcPr>
            <w:tcW w:w="476" w:type="pct"/>
            <w:vAlign w:val="center"/>
            <w:hideMark/>
          </w:tcPr>
          <w:p w14:paraId="3108C92F" w14:textId="77777777" w:rsidR="00000000" w:rsidRDefault="003A1B5D">
            <w:pPr>
              <w:rPr>
                <w:rFonts w:eastAsia="Times New Roman"/>
                <w:sz w:val="20"/>
                <w:szCs w:val="20"/>
              </w:rPr>
            </w:pPr>
          </w:p>
        </w:tc>
        <w:tc>
          <w:tcPr>
            <w:tcW w:w="50" w:type="pct"/>
            <w:vAlign w:val="center"/>
            <w:hideMark/>
          </w:tcPr>
          <w:p w14:paraId="391AD083" w14:textId="77777777" w:rsidR="00000000" w:rsidRDefault="003A1B5D">
            <w:pPr>
              <w:rPr>
                <w:rFonts w:eastAsia="Times New Roman"/>
                <w:sz w:val="20"/>
                <w:szCs w:val="20"/>
              </w:rPr>
            </w:pPr>
          </w:p>
        </w:tc>
        <w:tc>
          <w:tcPr>
            <w:tcW w:w="59" w:type="pct"/>
            <w:vAlign w:val="center"/>
            <w:hideMark/>
          </w:tcPr>
          <w:p w14:paraId="54BE1385" w14:textId="77777777" w:rsidR="00000000" w:rsidRDefault="003A1B5D">
            <w:pPr>
              <w:rPr>
                <w:rFonts w:eastAsia="Times New Roman"/>
                <w:sz w:val="20"/>
                <w:szCs w:val="20"/>
              </w:rPr>
            </w:pPr>
          </w:p>
        </w:tc>
        <w:tc>
          <w:tcPr>
            <w:tcW w:w="50" w:type="pct"/>
            <w:vAlign w:val="center"/>
            <w:hideMark/>
          </w:tcPr>
          <w:p w14:paraId="1AFFBEAB" w14:textId="77777777" w:rsidR="00000000" w:rsidRDefault="003A1B5D">
            <w:pPr>
              <w:rPr>
                <w:rFonts w:eastAsia="Times New Roman"/>
                <w:sz w:val="20"/>
                <w:szCs w:val="20"/>
              </w:rPr>
            </w:pPr>
          </w:p>
        </w:tc>
        <w:tc>
          <w:tcPr>
            <w:tcW w:w="469" w:type="pct"/>
            <w:vAlign w:val="center"/>
            <w:hideMark/>
          </w:tcPr>
          <w:p w14:paraId="6042686E" w14:textId="77777777" w:rsidR="00000000" w:rsidRDefault="003A1B5D">
            <w:pPr>
              <w:rPr>
                <w:rFonts w:eastAsia="Times New Roman"/>
                <w:sz w:val="20"/>
                <w:szCs w:val="20"/>
              </w:rPr>
            </w:pPr>
          </w:p>
        </w:tc>
        <w:tc>
          <w:tcPr>
            <w:tcW w:w="50" w:type="pct"/>
            <w:vAlign w:val="center"/>
            <w:hideMark/>
          </w:tcPr>
          <w:p w14:paraId="6EAD3AA5" w14:textId="77777777" w:rsidR="00000000" w:rsidRDefault="003A1B5D">
            <w:pPr>
              <w:rPr>
                <w:rFonts w:eastAsia="Times New Roman"/>
                <w:sz w:val="20"/>
                <w:szCs w:val="20"/>
              </w:rPr>
            </w:pPr>
          </w:p>
        </w:tc>
        <w:tc>
          <w:tcPr>
            <w:tcW w:w="59" w:type="pct"/>
            <w:vAlign w:val="center"/>
            <w:hideMark/>
          </w:tcPr>
          <w:p w14:paraId="06AFC15C" w14:textId="77777777" w:rsidR="00000000" w:rsidRDefault="003A1B5D">
            <w:pPr>
              <w:rPr>
                <w:rFonts w:eastAsia="Times New Roman"/>
                <w:sz w:val="20"/>
                <w:szCs w:val="20"/>
              </w:rPr>
            </w:pPr>
          </w:p>
        </w:tc>
        <w:tc>
          <w:tcPr>
            <w:tcW w:w="50" w:type="pct"/>
            <w:vAlign w:val="center"/>
            <w:hideMark/>
          </w:tcPr>
          <w:p w14:paraId="1F998BD0" w14:textId="77777777" w:rsidR="00000000" w:rsidRDefault="003A1B5D">
            <w:pPr>
              <w:rPr>
                <w:rFonts w:eastAsia="Times New Roman"/>
                <w:sz w:val="20"/>
                <w:szCs w:val="20"/>
              </w:rPr>
            </w:pPr>
          </w:p>
        </w:tc>
        <w:tc>
          <w:tcPr>
            <w:tcW w:w="476" w:type="pct"/>
            <w:vAlign w:val="center"/>
            <w:hideMark/>
          </w:tcPr>
          <w:p w14:paraId="6095768A" w14:textId="77777777" w:rsidR="00000000" w:rsidRDefault="003A1B5D">
            <w:pPr>
              <w:rPr>
                <w:rFonts w:eastAsia="Times New Roman"/>
                <w:sz w:val="20"/>
                <w:szCs w:val="20"/>
              </w:rPr>
            </w:pPr>
          </w:p>
        </w:tc>
        <w:tc>
          <w:tcPr>
            <w:tcW w:w="50" w:type="pct"/>
            <w:vAlign w:val="center"/>
            <w:hideMark/>
          </w:tcPr>
          <w:p w14:paraId="60F16D03" w14:textId="77777777" w:rsidR="00000000" w:rsidRDefault="003A1B5D">
            <w:pPr>
              <w:rPr>
                <w:rFonts w:eastAsia="Times New Roman"/>
                <w:sz w:val="20"/>
                <w:szCs w:val="20"/>
              </w:rPr>
            </w:pPr>
          </w:p>
        </w:tc>
      </w:tr>
      <w:tr w:rsidR="00000000" w14:paraId="5268D829" w14:textId="77777777">
        <w:trPr>
          <w:trHeight w:val="160"/>
          <w:tblCellSpacing w:w="15" w:type="dxa"/>
        </w:trPr>
        <w:tc>
          <w:tcPr>
            <w:tcW w:w="0" w:type="auto"/>
            <w:vAlign w:val="bottom"/>
            <w:hideMark/>
          </w:tcPr>
          <w:p w14:paraId="1B48541A"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40CF3486" w14:textId="77777777" w:rsidR="00000000" w:rsidRDefault="003A1B5D">
            <w:pPr>
              <w:pStyle w:val="a3"/>
              <w:spacing w:before="0" w:beforeAutospacing="0" w:after="0" w:afterAutospacing="0"/>
              <w:rPr>
                <w:sz w:val="16"/>
                <w:szCs w:val="16"/>
              </w:rPr>
            </w:pPr>
            <w:r>
              <w:rPr>
                <w:sz w:val="16"/>
                <w:szCs w:val="16"/>
              </w:rPr>
              <w:t> </w:t>
            </w:r>
          </w:p>
        </w:tc>
        <w:tc>
          <w:tcPr>
            <w:tcW w:w="0" w:type="auto"/>
            <w:gridSpan w:val="6"/>
            <w:vAlign w:val="bottom"/>
            <w:hideMark/>
          </w:tcPr>
          <w:p w14:paraId="681ED2AB" w14:textId="77777777" w:rsidR="00000000" w:rsidRDefault="003A1B5D">
            <w:pPr>
              <w:pStyle w:val="a3"/>
              <w:spacing w:before="0" w:beforeAutospacing="0" w:after="0" w:afterAutospacing="0"/>
              <w:jc w:val="center"/>
              <w:rPr>
                <w:sz w:val="16"/>
                <w:szCs w:val="16"/>
              </w:rPr>
            </w:pPr>
            <w:r>
              <w:rPr>
                <w:b/>
                <w:bCs/>
                <w:sz w:val="16"/>
                <w:szCs w:val="16"/>
              </w:rPr>
              <w:t xml:space="preserve">For the Three Months Ended </w:t>
            </w:r>
            <w:r>
              <w:rPr>
                <w:b/>
                <w:bCs/>
                <w:sz w:val="16"/>
                <w:szCs w:val="16"/>
              </w:rPr>
              <w:br/>
              <w:t>September 30</w:t>
            </w:r>
            <w:r>
              <w:rPr>
                <w:b/>
                <w:bCs/>
                <w:sz w:val="16"/>
                <w:szCs w:val="16"/>
              </w:rPr>
              <w:t>,</w:t>
            </w:r>
          </w:p>
        </w:tc>
        <w:tc>
          <w:tcPr>
            <w:tcW w:w="0" w:type="auto"/>
            <w:vAlign w:val="bottom"/>
            <w:hideMark/>
          </w:tcPr>
          <w:p w14:paraId="0184C9BC"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5E3BDC14" w14:textId="77777777" w:rsidR="00000000" w:rsidRDefault="003A1B5D">
            <w:pPr>
              <w:pStyle w:val="a3"/>
              <w:spacing w:before="0" w:beforeAutospacing="0" w:after="0" w:afterAutospacing="0"/>
              <w:rPr>
                <w:sz w:val="16"/>
                <w:szCs w:val="16"/>
              </w:rPr>
            </w:pPr>
            <w:r>
              <w:rPr>
                <w:sz w:val="16"/>
                <w:szCs w:val="16"/>
              </w:rPr>
              <w:t> </w:t>
            </w:r>
          </w:p>
        </w:tc>
        <w:tc>
          <w:tcPr>
            <w:tcW w:w="0" w:type="auto"/>
            <w:gridSpan w:val="6"/>
            <w:vAlign w:val="bottom"/>
            <w:hideMark/>
          </w:tcPr>
          <w:p w14:paraId="3976E09B" w14:textId="77777777" w:rsidR="00000000" w:rsidRDefault="003A1B5D">
            <w:pPr>
              <w:pStyle w:val="a3"/>
              <w:spacing w:before="0" w:beforeAutospacing="0" w:after="0" w:afterAutospacing="0"/>
              <w:jc w:val="center"/>
              <w:rPr>
                <w:sz w:val="16"/>
                <w:szCs w:val="16"/>
              </w:rPr>
            </w:pPr>
            <w:r>
              <w:rPr>
                <w:b/>
                <w:bCs/>
                <w:sz w:val="16"/>
                <w:szCs w:val="16"/>
              </w:rPr>
              <w:t xml:space="preserve">For the Nine Months Ended </w:t>
            </w:r>
            <w:r>
              <w:rPr>
                <w:b/>
                <w:bCs/>
                <w:sz w:val="16"/>
                <w:szCs w:val="16"/>
              </w:rPr>
              <w:br/>
              <w:t>September 30</w:t>
            </w:r>
            <w:r>
              <w:rPr>
                <w:b/>
                <w:bCs/>
                <w:sz w:val="16"/>
                <w:szCs w:val="16"/>
              </w:rPr>
              <w:t>,</w:t>
            </w:r>
          </w:p>
        </w:tc>
        <w:tc>
          <w:tcPr>
            <w:tcW w:w="0" w:type="auto"/>
            <w:vAlign w:val="bottom"/>
            <w:hideMark/>
          </w:tcPr>
          <w:p w14:paraId="20936A7C"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6D4AFD44" w14:textId="77777777">
        <w:trPr>
          <w:trHeight w:val="160"/>
          <w:tblCellSpacing w:w="15" w:type="dxa"/>
        </w:trPr>
        <w:tc>
          <w:tcPr>
            <w:tcW w:w="0" w:type="auto"/>
            <w:vAlign w:val="bottom"/>
            <w:hideMark/>
          </w:tcPr>
          <w:p w14:paraId="1B3970D1"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05A9C630"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5D24E51F"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6B76AD40"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42E16C08"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5CFA4B71"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092D1468"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217491E8"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100E26A2"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09ECD4EB"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5DB0FA76"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69855875"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3B9F674E"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38FDD269" w14:textId="77777777">
        <w:trPr>
          <w:trHeight w:val="200"/>
          <w:tblCellSpacing w:w="15" w:type="dxa"/>
        </w:trPr>
        <w:tc>
          <w:tcPr>
            <w:tcW w:w="0" w:type="auto"/>
            <w:hideMark/>
          </w:tcPr>
          <w:p w14:paraId="70E3030D" w14:textId="77777777" w:rsidR="00000000" w:rsidRDefault="003A1B5D">
            <w:pPr>
              <w:pStyle w:val="a3"/>
              <w:spacing w:before="0" w:beforeAutospacing="0" w:after="0" w:afterAutospacing="0"/>
              <w:rPr>
                <w:sz w:val="20"/>
                <w:szCs w:val="20"/>
              </w:rPr>
            </w:pPr>
            <w:r>
              <w:rPr>
                <w:b/>
                <w:bCs/>
                <w:sz w:val="20"/>
                <w:szCs w:val="20"/>
              </w:rPr>
              <w:t>CoreCivic Safety Facilities</w:t>
            </w:r>
            <w:r>
              <w:rPr>
                <w:b/>
                <w:bCs/>
                <w:sz w:val="20"/>
                <w:szCs w:val="20"/>
              </w:rPr>
              <w:t>:</w:t>
            </w:r>
          </w:p>
        </w:tc>
        <w:tc>
          <w:tcPr>
            <w:tcW w:w="0" w:type="auto"/>
            <w:vAlign w:val="bottom"/>
            <w:hideMark/>
          </w:tcPr>
          <w:p w14:paraId="4FF8F28C"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1C7DC332"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1FB622F1"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9673FDC"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79099942"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00497DFA"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1E72A32F"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2EEB00DE"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088D0EC2"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67BCE3E"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76A3E8FA"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092DB177" w14:textId="77777777" w:rsidR="00000000" w:rsidRDefault="003A1B5D">
            <w:pPr>
              <w:pStyle w:val="a3"/>
              <w:spacing w:before="0" w:beforeAutospacing="0" w:after="0" w:afterAutospacing="0"/>
              <w:jc w:val="right"/>
              <w:rPr>
                <w:sz w:val="20"/>
                <w:szCs w:val="20"/>
              </w:rPr>
            </w:pPr>
            <w:r>
              <w:rPr>
                <w:sz w:val="20"/>
                <w:szCs w:val="20"/>
              </w:rPr>
              <w:t> </w:t>
            </w:r>
          </w:p>
        </w:tc>
      </w:tr>
      <w:tr w:rsidR="00000000" w14:paraId="3CCF99D5" w14:textId="77777777">
        <w:trPr>
          <w:trHeight w:val="200"/>
          <w:tblCellSpacing w:w="15" w:type="dxa"/>
        </w:trPr>
        <w:tc>
          <w:tcPr>
            <w:tcW w:w="0" w:type="auto"/>
            <w:hideMark/>
          </w:tcPr>
          <w:p w14:paraId="7C7DD81D" w14:textId="77777777" w:rsidR="00000000" w:rsidRDefault="003A1B5D">
            <w:pPr>
              <w:pStyle w:val="a3"/>
              <w:spacing w:before="0" w:beforeAutospacing="0" w:after="0" w:afterAutospacing="0"/>
              <w:rPr>
                <w:sz w:val="20"/>
                <w:szCs w:val="20"/>
              </w:rPr>
            </w:pPr>
            <w:r>
              <w:rPr>
                <w:sz w:val="20"/>
                <w:szCs w:val="20"/>
              </w:rPr>
              <w:t>Revenue per compensated man-da</w:t>
            </w:r>
            <w:r>
              <w:rPr>
                <w:sz w:val="20"/>
                <w:szCs w:val="20"/>
              </w:rPr>
              <w:t>y</w:t>
            </w:r>
          </w:p>
        </w:tc>
        <w:tc>
          <w:tcPr>
            <w:tcW w:w="0" w:type="auto"/>
            <w:vAlign w:val="bottom"/>
            <w:hideMark/>
          </w:tcPr>
          <w:p w14:paraId="02D8C5C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129074A"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2E09761B" w14:textId="77777777" w:rsidR="00000000" w:rsidRDefault="003A1B5D">
            <w:pPr>
              <w:pStyle w:val="a3"/>
              <w:spacing w:before="0" w:beforeAutospacing="0" w:after="0" w:afterAutospacing="0"/>
              <w:jc w:val="right"/>
              <w:rPr>
                <w:sz w:val="20"/>
                <w:szCs w:val="20"/>
              </w:rPr>
            </w:pPr>
            <w:r>
              <w:rPr>
                <w:b/>
                <w:bCs/>
                <w:sz w:val="20"/>
                <w:szCs w:val="20"/>
              </w:rPr>
              <w:t>94.7</w:t>
            </w:r>
            <w:r>
              <w:rPr>
                <w:b/>
                <w:bCs/>
                <w:sz w:val="20"/>
                <w:szCs w:val="20"/>
              </w:rPr>
              <w:t>3</w:t>
            </w:r>
          </w:p>
        </w:tc>
        <w:tc>
          <w:tcPr>
            <w:tcW w:w="0" w:type="auto"/>
            <w:noWrap/>
            <w:vAlign w:val="bottom"/>
            <w:hideMark/>
          </w:tcPr>
          <w:p w14:paraId="3C04BA9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C76B8A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195AB71"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35DED54F" w14:textId="77777777" w:rsidR="00000000" w:rsidRDefault="003A1B5D">
            <w:pPr>
              <w:pStyle w:val="a3"/>
              <w:spacing w:before="0" w:beforeAutospacing="0" w:after="0" w:afterAutospacing="0"/>
              <w:jc w:val="right"/>
              <w:rPr>
                <w:sz w:val="20"/>
                <w:szCs w:val="20"/>
              </w:rPr>
            </w:pPr>
            <w:r>
              <w:rPr>
                <w:sz w:val="20"/>
                <w:szCs w:val="20"/>
              </w:rPr>
              <w:t>91.5</w:t>
            </w:r>
            <w:r>
              <w:rPr>
                <w:sz w:val="20"/>
                <w:szCs w:val="20"/>
              </w:rPr>
              <w:t>1</w:t>
            </w:r>
          </w:p>
        </w:tc>
        <w:tc>
          <w:tcPr>
            <w:tcW w:w="0" w:type="auto"/>
            <w:noWrap/>
            <w:vAlign w:val="bottom"/>
            <w:hideMark/>
          </w:tcPr>
          <w:p w14:paraId="40AA079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5F15E0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7B030C5"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2D4BB854" w14:textId="77777777" w:rsidR="00000000" w:rsidRDefault="003A1B5D">
            <w:pPr>
              <w:pStyle w:val="a3"/>
              <w:spacing w:before="0" w:beforeAutospacing="0" w:after="0" w:afterAutospacing="0"/>
              <w:jc w:val="right"/>
              <w:rPr>
                <w:sz w:val="20"/>
                <w:szCs w:val="20"/>
              </w:rPr>
            </w:pPr>
            <w:r>
              <w:rPr>
                <w:b/>
                <w:bCs/>
                <w:sz w:val="20"/>
                <w:szCs w:val="20"/>
              </w:rPr>
              <w:t>94.4</w:t>
            </w:r>
            <w:r>
              <w:rPr>
                <w:b/>
                <w:bCs/>
                <w:sz w:val="20"/>
                <w:szCs w:val="20"/>
              </w:rPr>
              <w:t>7</w:t>
            </w:r>
          </w:p>
        </w:tc>
        <w:tc>
          <w:tcPr>
            <w:tcW w:w="0" w:type="auto"/>
            <w:noWrap/>
            <w:vAlign w:val="bottom"/>
            <w:hideMark/>
          </w:tcPr>
          <w:p w14:paraId="4CEB424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85AC73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D990A2E"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03285CF5" w14:textId="77777777" w:rsidR="00000000" w:rsidRDefault="003A1B5D">
            <w:pPr>
              <w:pStyle w:val="a3"/>
              <w:spacing w:before="0" w:beforeAutospacing="0" w:after="0" w:afterAutospacing="0"/>
              <w:jc w:val="right"/>
              <w:rPr>
                <w:sz w:val="20"/>
                <w:szCs w:val="20"/>
              </w:rPr>
            </w:pPr>
            <w:r>
              <w:rPr>
                <w:sz w:val="20"/>
                <w:szCs w:val="20"/>
              </w:rPr>
              <w:t>91.2</w:t>
            </w:r>
            <w:r>
              <w:rPr>
                <w:sz w:val="20"/>
                <w:szCs w:val="20"/>
              </w:rPr>
              <w:t>1</w:t>
            </w:r>
          </w:p>
        </w:tc>
        <w:tc>
          <w:tcPr>
            <w:tcW w:w="0" w:type="auto"/>
            <w:noWrap/>
            <w:vAlign w:val="bottom"/>
            <w:hideMark/>
          </w:tcPr>
          <w:p w14:paraId="3E82D91A" w14:textId="77777777" w:rsidR="00000000" w:rsidRDefault="003A1B5D">
            <w:pPr>
              <w:pStyle w:val="a3"/>
              <w:spacing w:before="0" w:beforeAutospacing="0" w:after="0" w:afterAutospacing="0"/>
              <w:rPr>
                <w:sz w:val="20"/>
                <w:szCs w:val="20"/>
              </w:rPr>
            </w:pPr>
            <w:r>
              <w:rPr>
                <w:sz w:val="20"/>
                <w:szCs w:val="20"/>
              </w:rPr>
              <w:t> </w:t>
            </w:r>
          </w:p>
        </w:tc>
      </w:tr>
      <w:tr w:rsidR="00000000" w14:paraId="6DC643B6" w14:textId="77777777">
        <w:trPr>
          <w:trHeight w:val="200"/>
          <w:tblCellSpacing w:w="15" w:type="dxa"/>
        </w:trPr>
        <w:tc>
          <w:tcPr>
            <w:tcW w:w="0" w:type="auto"/>
            <w:hideMark/>
          </w:tcPr>
          <w:p w14:paraId="034D53A1" w14:textId="77777777" w:rsidR="00000000" w:rsidRDefault="003A1B5D">
            <w:pPr>
              <w:pStyle w:val="a3"/>
              <w:spacing w:before="0" w:beforeAutospacing="0" w:after="0" w:afterAutospacing="0"/>
              <w:rPr>
                <w:sz w:val="20"/>
                <w:szCs w:val="20"/>
              </w:rPr>
            </w:pPr>
            <w:r>
              <w:rPr>
                <w:sz w:val="20"/>
                <w:szCs w:val="20"/>
              </w:rPr>
              <w:t>Operating expenses per compensated man-day</w:t>
            </w:r>
            <w:r>
              <w:rPr>
                <w:sz w:val="20"/>
                <w:szCs w:val="20"/>
              </w:rPr>
              <w:t>:</w:t>
            </w:r>
          </w:p>
        </w:tc>
        <w:tc>
          <w:tcPr>
            <w:tcW w:w="0" w:type="auto"/>
            <w:vAlign w:val="bottom"/>
            <w:hideMark/>
          </w:tcPr>
          <w:p w14:paraId="488DF365"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08BF5478"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F1843DB"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0EFEE3E"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1F939784"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7C28785E"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379EB10D"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5DFAFFC9"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0133A77A"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35ACA48D"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3B3175AA"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737BC1C9" w14:textId="77777777" w:rsidR="00000000" w:rsidRDefault="003A1B5D">
            <w:pPr>
              <w:pStyle w:val="a3"/>
              <w:spacing w:before="0" w:beforeAutospacing="0" w:after="0" w:afterAutospacing="0"/>
              <w:jc w:val="right"/>
              <w:rPr>
                <w:sz w:val="20"/>
                <w:szCs w:val="20"/>
              </w:rPr>
            </w:pPr>
            <w:r>
              <w:rPr>
                <w:sz w:val="20"/>
                <w:szCs w:val="20"/>
              </w:rPr>
              <w:t> </w:t>
            </w:r>
          </w:p>
        </w:tc>
      </w:tr>
      <w:tr w:rsidR="00000000" w14:paraId="15D2BEEA" w14:textId="77777777">
        <w:trPr>
          <w:trHeight w:val="200"/>
          <w:tblCellSpacing w:w="15" w:type="dxa"/>
        </w:trPr>
        <w:tc>
          <w:tcPr>
            <w:tcW w:w="0" w:type="auto"/>
            <w:hideMark/>
          </w:tcPr>
          <w:p w14:paraId="6A209B85" w14:textId="77777777" w:rsidR="00000000" w:rsidRDefault="003A1B5D">
            <w:pPr>
              <w:pStyle w:val="a3"/>
              <w:spacing w:before="0" w:beforeAutospacing="0" w:after="0" w:afterAutospacing="0"/>
              <w:ind w:left="200"/>
              <w:rPr>
                <w:sz w:val="20"/>
                <w:szCs w:val="20"/>
              </w:rPr>
            </w:pPr>
            <w:r>
              <w:rPr>
                <w:sz w:val="20"/>
                <w:szCs w:val="20"/>
              </w:rPr>
              <w:t>Fixed expens</w:t>
            </w:r>
            <w:r>
              <w:rPr>
                <w:sz w:val="20"/>
                <w:szCs w:val="20"/>
              </w:rPr>
              <w:t>e</w:t>
            </w:r>
          </w:p>
        </w:tc>
        <w:tc>
          <w:tcPr>
            <w:tcW w:w="0" w:type="auto"/>
            <w:vAlign w:val="bottom"/>
            <w:hideMark/>
          </w:tcPr>
          <w:p w14:paraId="7FFB27A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12C8EC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56D4361" w14:textId="77777777" w:rsidR="00000000" w:rsidRDefault="003A1B5D">
            <w:pPr>
              <w:pStyle w:val="a3"/>
              <w:spacing w:before="0" w:beforeAutospacing="0" w:after="0" w:afterAutospacing="0"/>
              <w:jc w:val="right"/>
              <w:rPr>
                <w:sz w:val="20"/>
                <w:szCs w:val="20"/>
              </w:rPr>
            </w:pPr>
            <w:r>
              <w:rPr>
                <w:b/>
                <w:bCs/>
                <w:sz w:val="20"/>
                <w:szCs w:val="20"/>
              </w:rPr>
              <w:t>53.8</w:t>
            </w:r>
            <w:r>
              <w:rPr>
                <w:b/>
                <w:bCs/>
                <w:sz w:val="20"/>
                <w:szCs w:val="20"/>
              </w:rPr>
              <w:t>7</w:t>
            </w:r>
          </w:p>
        </w:tc>
        <w:tc>
          <w:tcPr>
            <w:tcW w:w="0" w:type="auto"/>
            <w:noWrap/>
            <w:vAlign w:val="bottom"/>
            <w:hideMark/>
          </w:tcPr>
          <w:p w14:paraId="4BBE9BB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A69375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17BE4D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9079BDE" w14:textId="77777777" w:rsidR="00000000" w:rsidRDefault="003A1B5D">
            <w:pPr>
              <w:pStyle w:val="a3"/>
              <w:spacing w:before="0" w:beforeAutospacing="0" w:after="0" w:afterAutospacing="0"/>
              <w:jc w:val="right"/>
              <w:rPr>
                <w:sz w:val="20"/>
                <w:szCs w:val="20"/>
              </w:rPr>
            </w:pPr>
            <w:r>
              <w:rPr>
                <w:sz w:val="20"/>
                <w:szCs w:val="20"/>
              </w:rPr>
              <w:t>48.2</w:t>
            </w:r>
            <w:r>
              <w:rPr>
                <w:sz w:val="20"/>
                <w:szCs w:val="20"/>
              </w:rPr>
              <w:t>6</w:t>
            </w:r>
          </w:p>
        </w:tc>
        <w:tc>
          <w:tcPr>
            <w:tcW w:w="0" w:type="auto"/>
            <w:noWrap/>
            <w:vAlign w:val="bottom"/>
            <w:hideMark/>
          </w:tcPr>
          <w:p w14:paraId="63F38C9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165106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D3375A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A350B30" w14:textId="77777777" w:rsidR="00000000" w:rsidRDefault="003A1B5D">
            <w:pPr>
              <w:pStyle w:val="a3"/>
              <w:spacing w:before="0" w:beforeAutospacing="0" w:after="0" w:afterAutospacing="0"/>
              <w:jc w:val="right"/>
              <w:rPr>
                <w:sz w:val="20"/>
                <w:szCs w:val="20"/>
              </w:rPr>
            </w:pPr>
            <w:r>
              <w:rPr>
                <w:b/>
                <w:bCs/>
                <w:sz w:val="20"/>
                <w:szCs w:val="20"/>
              </w:rPr>
              <w:t>52.3</w:t>
            </w:r>
            <w:r>
              <w:rPr>
                <w:b/>
                <w:bCs/>
                <w:sz w:val="20"/>
                <w:szCs w:val="20"/>
              </w:rPr>
              <w:t>7</w:t>
            </w:r>
          </w:p>
        </w:tc>
        <w:tc>
          <w:tcPr>
            <w:tcW w:w="0" w:type="auto"/>
            <w:noWrap/>
            <w:vAlign w:val="bottom"/>
            <w:hideMark/>
          </w:tcPr>
          <w:p w14:paraId="0FFB1EF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FDF73C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A69337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0E75EF4" w14:textId="77777777" w:rsidR="00000000" w:rsidRDefault="003A1B5D">
            <w:pPr>
              <w:pStyle w:val="a3"/>
              <w:spacing w:before="0" w:beforeAutospacing="0" w:after="0" w:afterAutospacing="0"/>
              <w:jc w:val="right"/>
              <w:rPr>
                <w:sz w:val="20"/>
                <w:szCs w:val="20"/>
              </w:rPr>
            </w:pPr>
            <w:r>
              <w:rPr>
                <w:sz w:val="20"/>
                <w:szCs w:val="20"/>
              </w:rPr>
              <w:t>48.5</w:t>
            </w:r>
            <w:r>
              <w:rPr>
                <w:sz w:val="20"/>
                <w:szCs w:val="20"/>
              </w:rPr>
              <w:t>6</w:t>
            </w:r>
          </w:p>
        </w:tc>
        <w:tc>
          <w:tcPr>
            <w:tcW w:w="0" w:type="auto"/>
            <w:noWrap/>
            <w:vAlign w:val="bottom"/>
            <w:hideMark/>
          </w:tcPr>
          <w:p w14:paraId="67327581" w14:textId="77777777" w:rsidR="00000000" w:rsidRDefault="003A1B5D">
            <w:pPr>
              <w:pStyle w:val="a3"/>
              <w:spacing w:before="0" w:beforeAutospacing="0" w:after="0" w:afterAutospacing="0"/>
              <w:rPr>
                <w:sz w:val="20"/>
                <w:szCs w:val="20"/>
              </w:rPr>
            </w:pPr>
            <w:r>
              <w:rPr>
                <w:sz w:val="20"/>
                <w:szCs w:val="20"/>
              </w:rPr>
              <w:t> </w:t>
            </w:r>
          </w:p>
        </w:tc>
      </w:tr>
      <w:tr w:rsidR="00000000" w14:paraId="263C01F8" w14:textId="77777777">
        <w:trPr>
          <w:trHeight w:val="200"/>
          <w:tblCellSpacing w:w="15" w:type="dxa"/>
        </w:trPr>
        <w:tc>
          <w:tcPr>
            <w:tcW w:w="0" w:type="auto"/>
            <w:hideMark/>
          </w:tcPr>
          <w:p w14:paraId="50F2E3CF" w14:textId="77777777" w:rsidR="00000000" w:rsidRDefault="003A1B5D">
            <w:pPr>
              <w:pStyle w:val="a3"/>
              <w:spacing w:before="0" w:beforeAutospacing="0" w:after="0" w:afterAutospacing="0"/>
              <w:ind w:left="200"/>
              <w:rPr>
                <w:sz w:val="20"/>
                <w:szCs w:val="20"/>
              </w:rPr>
            </w:pPr>
            <w:r>
              <w:rPr>
                <w:sz w:val="20"/>
                <w:szCs w:val="20"/>
              </w:rPr>
              <w:t>Variable expens</w:t>
            </w:r>
            <w:r>
              <w:rPr>
                <w:sz w:val="20"/>
                <w:szCs w:val="20"/>
              </w:rPr>
              <w:t>e</w:t>
            </w:r>
          </w:p>
        </w:tc>
        <w:tc>
          <w:tcPr>
            <w:tcW w:w="0" w:type="auto"/>
            <w:vAlign w:val="bottom"/>
            <w:hideMark/>
          </w:tcPr>
          <w:p w14:paraId="111A5D0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B6EE34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811F48F" w14:textId="77777777" w:rsidR="00000000" w:rsidRDefault="003A1B5D">
            <w:pPr>
              <w:pStyle w:val="a3"/>
              <w:spacing w:before="0" w:beforeAutospacing="0" w:after="0" w:afterAutospacing="0"/>
              <w:jc w:val="right"/>
              <w:rPr>
                <w:sz w:val="20"/>
                <w:szCs w:val="20"/>
              </w:rPr>
            </w:pPr>
            <w:r>
              <w:rPr>
                <w:b/>
                <w:bCs/>
                <w:sz w:val="20"/>
                <w:szCs w:val="20"/>
              </w:rPr>
              <w:t>22.7</w:t>
            </w:r>
            <w:r>
              <w:rPr>
                <w:b/>
                <w:bCs/>
                <w:sz w:val="20"/>
                <w:szCs w:val="20"/>
              </w:rPr>
              <w:t>3</w:t>
            </w:r>
          </w:p>
        </w:tc>
        <w:tc>
          <w:tcPr>
            <w:tcW w:w="0" w:type="auto"/>
            <w:noWrap/>
            <w:vAlign w:val="bottom"/>
            <w:hideMark/>
          </w:tcPr>
          <w:p w14:paraId="53DFDCA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E20D02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BDF428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F095D97" w14:textId="77777777" w:rsidR="00000000" w:rsidRDefault="003A1B5D">
            <w:pPr>
              <w:pStyle w:val="a3"/>
              <w:spacing w:before="0" w:beforeAutospacing="0" w:after="0" w:afterAutospacing="0"/>
              <w:jc w:val="right"/>
              <w:rPr>
                <w:sz w:val="20"/>
                <w:szCs w:val="20"/>
              </w:rPr>
            </w:pPr>
            <w:r>
              <w:rPr>
                <w:sz w:val="20"/>
                <w:szCs w:val="20"/>
              </w:rPr>
              <w:t>18.3</w:t>
            </w:r>
            <w:r>
              <w:rPr>
                <w:sz w:val="20"/>
                <w:szCs w:val="20"/>
              </w:rPr>
              <w:t>8</w:t>
            </w:r>
          </w:p>
        </w:tc>
        <w:tc>
          <w:tcPr>
            <w:tcW w:w="0" w:type="auto"/>
            <w:noWrap/>
            <w:vAlign w:val="bottom"/>
            <w:hideMark/>
          </w:tcPr>
          <w:p w14:paraId="4558241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16CCBE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5D78FC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9B36882" w14:textId="77777777" w:rsidR="00000000" w:rsidRDefault="003A1B5D">
            <w:pPr>
              <w:pStyle w:val="a3"/>
              <w:spacing w:before="0" w:beforeAutospacing="0" w:after="0" w:afterAutospacing="0"/>
              <w:jc w:val="right"/>
              <w:rPr>
                <w:sz w:val="20"/>
                <w:szCs w:val="20"/>
              </w:rPr>
            </w:pPr>
            <w:r>
              <w:rPr>
                <w:b/>
                <w:bCs/>
                <w:sz w:val="20"/>
                <w:szCs w:val="20"/>
              </w:rPr>
              <w:t>22.0</w:t>
            </w:r>
            <w:r>
              <w:rPr>
                <w:b/>
                <w:bCs/>
                <w:sz w:val="20"/>
                <w:szCs w:val="20"/>
              </w:rPr>
              <w:t>4</w:t>
            </w:r>
          </w:p>
        </w:tc>
        <w:tc>
          <w:tcPr>
            <w:tcW w:w="0" w:type="auto"/>
            <w:noWrap/>
            <w:vAlign w:val="bottom"/>
            <w:hideMark/>
          </w:tcPr>
          <w:p w14:paraId="52BD2B4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E330E4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7B7837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63A9B75" w14:textId="77777777" w:rsidR="00000000" w:rsidRDefault="003A1B5D">
            <w:pPr>
              <w:pStyle w:val="a3"/>
              <w:spacing w:before="0" w:beforeAutospacing="0" w:after="0" w:afterAutospacing="0"/>
              <w:jc w:val="right"/>
              <w:rPr>
                <w:sz w:val="20"/>
                <w:szCs w:val="20"/>
              </w:rPr>
            </w:pPr>
            <w:r>
              <w:rPr>
                <w:sz w:val="20"/>
                <w:szCs w:val="20"/>
              </w:rPr>
              <w:t>18.4</w:t>
            </w:r>
            <w:r>
              <w:rPr>
                <w:sz w:val="20"/>
                <w:szCs w:val="20"/>
              </w:rPr>
              <w:t>9</w:t>
            </w:r>
          </w:p>
        </w:tc>
        <w:tc>
          <w:tcPr>
            <w:tcW w:w="0" w:type="auto"/>
            <w:noWrap/>
            <w:vAlign w:val="bottom"/>
            <w:hideMark/>
          </w:tcPr>
          <w:p w14:paraId="716AB8AF" w14:textId="77777777" w:rsidR="00000000" w:rsidRDefault="003A1B5D">
            <w:pPr>
              <w:pStyle w:val="a3"/>
              <w:spacing w:before="0" w:beforeAutospacing="0" w:after="0" w:afterAutospacing="0"/>
              <w:rPr>
                <w:sz w:val="20"/>
                <w:szCs w:val="20"/>
              </w:rPr>
            </w:pPr>
            <w:r>
              <w:rPr>
                <w:sz w:val="20"/>
                <w:szCs w:val="20"/>
              </w:rPr>
              <w:t> </w:t>
            </w:r>
          </w:p>
        </w:tc>
      </w:tr>
      <w:tr w:rsidR="00000000" w14:paraId="2DE02D2B" w14:textId="77777777">
        <w:trPr>
          <w:trHeight w:val="200"/>
          <w:tblCellSpacing w:w="15" w:type="dxa"/>
        </w:trPr>
        <w:tc>
          <w:tcPr>
            <w:tcW w:w="0" w:type="auto"/>
            <w:hideMark/>
          </w:tcPr>
          <w:p w14:paraId="67244C40" w14:textId="77777777" w:rsidR="00000000" w:rsidRDefault="003A1B5D">
            <w:pPr>
              <w:pStyle w:val="a3"/>
              <w:spacing w:before="0" w:beforeAutospacing="0" w:after="0" w:afterAutospacing="0"/>
              <w:ind w:left="400"/>
              <w:rPr>
                <w:sz w:val="20"/>
                <w:szCs w:val="20"/>
              </w:rPr>
            </w:pPr>
            <w:r>
              <w:rPr>
                <w:sz w:val="20"/>
                <w:szCs w:val="20"/>
              </w:rPr>
              <w:t>Tota</w:t>
            </w:r>
            <w:r>
              <w:rPr>
                <w:sz w:val="20"/>
                <w:szCs w:val="20"/>
              </w:rPr>
              <w:t>l</w:t>
            </w:r>
          </w:p>
        </w:tc>
        <w:tc>
          <w:tcPr>
            <w:tcW w:w="0" w:type="auto"/>
            <w:vAlign w:val="bottom"/>
            <w:hideMark/>
          </w:tcPr>
          <w:p w14:paraId="768E263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65BF1B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0546061" w14:textId="77777777" w:rsidR="00000000" w:rsidRDefault="003A1B5D">
            <w:pPr>
              <w:pStyle w:val="a3"/>
              <w:spacing w:before="0" w:beforeAutospacing="0" w:after="0" w:afterAutospacing="0"/>
              <w:jc w:val="right"/>
              <w:rPr>
                <w:sz w:val="20"/>
                <w:szCs w:val="20"/>
              </w:rPr>
            </w:pPr>
            <w:r>
              <w:rPr>
                <w:b/>
                <w:bCs/>
                <w:sz w:val="20"/>
                <w:szCs w:val="20"/>
              </w:rPr>
              <w:t>76.6</w:t>
            </w:r>
            <w:r>
              <w:rPr>
                <w:b/>
                <w:bCs/>
                <w:sz w:val="20"/>
                <w:szCs w:val="20"/>
              </w:rPr>
              <w:t>0</w:t>
            </w:r>
          </w:p>
        </w:tc>
        <w:tc>
          <w:tcPr>
            <w:tcW w:w="0" w:type="auto"/>
            <w:noWrap/>
            <w:vAlign w:val="bottom"/>
            <w:hideMark/>
          </w:tcPr>
          <w:p w14:paraId="500248D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2B17DF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E3AD52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2104A9B" w14:textId="77777777" w:rsidR="00000000" w:rsidRDefault="003A1B5D">
            <w:pPr>
              <w:pStyle w:val="a3"/>
              <w:spacing w:before="0" w:beforeAutospacing="0" w:after="0" w:afterAutospacing="0"/>
              <w:jc w:val="right"/>
              <w:rPr>
                <w:sz w:val="20"/>
                <w:szCs w:val="20"/>
              </w:rPr>
            </w:pPr>
            <w:r>
              <w:rPr>
                <w:sz w:val="20"/>
                <w:szCs w:val="20"/>
              </w:rPr>
              <w:t>66.6</w:t>
            </w:r>
            <w:r>
              <w:rPr>
                <w:sz w:val="20"/>
                <w:szCs w:val="20"/>
              </w:rPr>
              <w:t>4</w:t>
            </w:r>
          </w:p>
        </w:tc>
        <w:tc>
          <w:tcPr>
            <w:tcW w:w="0" w:type="auto"/>
            <w:noWrap/>
            <w:vAlign w:val="bottom"/>
            <w:hideMark/>
          </w:tcPr>
          <w:p w14:paraId="260AFC7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E83569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F9E9D8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30E0B5F" w14:textId="77777777" w:rsidR="00000000" w:rsidRDefault="003A1B5D">
            <w:pPr>
              <w:pStyle w:val="a3"/>
              <w:spacing w:before="0" w:beforeAutospacing="0" w:after="0" w:afterAutospacing="0"/>
              <w:jc w:val="right"/>
              <w:rPr>
                <w:sz w:val="20"/>
                <w:szCs w:val="20"/>
              </w:rPr>
            </w:pPr>
            <w:r>
              <w:rPr>
                <w:b/>
                <w:bCs/>
                <w:sz w:val="20"/>
                <w:szCs w:val="20"/>
              </w:rPr>
              <w:t>74.4</w:t>
            </w:r>
            <w:r>
              <w:rPr>
                <w:b/>
                <w:bCs/>
                <w:sz w:val="20"/>
                <w:szCs w:val="20"/>
              </w:rPr>
              <w:t>1</w:t>
            </w:r>
          </w:p>
        </w:tc>
        <w:tc>
          <w:tcPr>
            <w:tcW w:w="0" w:type="auto"/>
            <w:noWrap/>
            <w:vAlign w:val="bottom"/>
            <w:hideMark/>
          </w:tcPr>
          <w:p w14:paraId="2CD738B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7A7B25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770FEE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4F0D611" w14:textId="77777777" w:rsidR="00000000" w:rsidRDefault="003A1B5D">
            <w:pPr>
              <w:pStyle w:val="a3"/>
              <w:spacing w:before="0" w:beforeAutospacing="0" w:after="0" w:afterAutospacing="0"/>
              <w:jc w:val="right"/>
              <w:rPr>
                <w:sz w:val="20"/>
                <w:szCs w:val="20"/>
              </w:rPr>
            </w:pPr>
            <w:r>
              <w:rPr>
                <w:sz w:val="20"/>
                <w:szCs w:val="20"/>
              </w:rPr>
              <w:t>67.0</w:t>
            </w:r>
            <w:r>
              <w:rPr>
                <w:sz w:val="20"/>
                <w:szCs w:val="20"/>
              </w:rPr>
              <w:t>5</w:t>
            </w:r>
          </w:p>
        </w:tc>
        <w:tc>
          <w:tcPr>
            <w:tcW w:w="0" w:type="auto"/>
            <w:noWrap/>
            <w:vAlign w:val="bottom"/>
            <w:hideMark/>
          </w:tcPr>
          <w:p w14:paraId="46510957" w14:textId="77777777" w:rsidR="00000000" w:rsidRDefault="003A1B5D">
            <w:pPr>
              <w:pStyle w:val="a3"/>
              <w:spacing w:before="0" w:beforeAutospacing="0" w:after="0" w:afterAutospacing="0"/>
              <w:rPr>
                <w:sz w:val="20"/>
                <w:szCs w:val="20"/>
              </w:rPr>
            </w:pPr>
            <w:r>
              <w:rPr>
                <w:sz w:val="20"/>
                <w:szCs w:val="20"/>
              </w:rPr>
              <w:t> </w:t>
            </w:r>
          </w:p>
        </w:tc>
      </w:tr>
      <w:tr w:rsidR="00000000" w14:paraId="4FE9CED4" w14:textId="77777777">
        <w:trPr>
          <w:trHeight w:val="200"/>
          <w:tblCellSpacing w:w="15" w:type="dxa"/>
        </w:trPr>
        <w:tc>
          <w:tcPr>
            <w:tcW w:w="0" w:type="auto"/>
            <w:hideMark/>
          </w:tcPr>
          <w:p w14:paraId="0C3186F1" w14:textId="77777777" w:rsidR="00000000" w:rsidRDefault="003A1B5D">
            <w:pPr>
              <w:pStyle w:val="a3"/>
              <w:spacing w:before="0" w:beforeAutospacing="0" w:after="0" w:afterAutospacing="0"/>
              <w:rPr>
                <w:sz w:val="20"/>
                <w:szCs w:val="20"/>
              </w:rPr>
            </w:pPr>
            <w:r>
              <w:rPr>
                <w:sz w:val="20"/>
                <w:szCs w:val="20"/>
              </w:rPr>
              <w:t>Operating income per compensated man-da</w:t>
            </w:r>
            <w:r>
              <w:rPr>
                <w:sz w:val="20"/>
                <w:szCs w:val="20"/>
              </w:rPr>
              <w:t>y</w:t>
            </w:r>
          </w:p>
        </w:tc>
        <w:tc>
          <w:tcPr>
            <w:tcW w:w="0" w:type="auto"/>
            <w:vAlign w:val="bottom"/>
            <w:hideMark/>
          </w:tcPr>
          <w:p w14:paraId="6312877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8E4D29A"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5D703203" w14:textId="77777777" w:rsidR="00000000" w:rsidRDefault="003A1B5D">
            <w:pPr>
              <w:pStyle w:val="a3"/>
              <w:spacing w:before="0" w:beforeAutospacing="0" w:after="0" w:afterAutospacing="0"/>
              <w:jc w:val="right"/>
              <w:rPr>
                <w:sz w:val="20"/>
                <w:szCs w:val="20"/>
              </w:rPr>
            </w:pPr>
            <w:r>
              <w:rPr>
                <w:b/>
                <w:bCs/>
                <w:sz w:val="20"/>
                <w:szCs w:val="20"/>
              </w:rPr>
              <w:t>18.1</w:t>
            </w:r>
            <w:r>
              <w:rPr>
                <w:b/>
                <w:bCs/>
                <w:sz w:val="20"/>
                <w:szCs w:val="20"/>
              </w:rPr>
              <w:t>3</w:t>
            </w:r>
          </w:p>
        </w:tc>
        <w:tc>
          <w:tcPr>
            <w:tcW w:w="0" w:type="auto"/>
            <w:noWrap/>
            <w:vAlign w:val="bottom"/>
            <w:hideMark/>
          </w:tcPr>
          <w:p w14:paraId="343B95A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CE8E51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DAA3AEA"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46A2F175" w14:textId="77777777" w:rsidR="00000000" w:rsidRDefault="003A1B5D">
            <w:pPr>
              <w:pStyle w:val="a3"/>
              <w:spacing w:before="0" w:beforeAutospacing="0" w:after="0" w:afterAutospacing="0"/>
              <w:jc w:val="right"/>
              <w:rPr>
                <w:sz w:val="20"/>
                <w:szCs w:val="20"/>
              </w:rPr>
            </w:pPr>
            <w:r>
              <w:rPr>
                <w:sz w:val="20"/>
                <w:szCs w:val="20"/>
              </w:rPr>
              <w:t>24.8</w:t>
            </w:r>
            <w:r>
              <w:rPr>
                <w:sz w:val="20"/>
                <w:szCs w:val="20"/>
              </w:rPr>
              <w:t>7</w:t>
            </w:r>
          </w:p>
        </w:tc>
        <w:tc>
          <w:tcPr>
            <w:tcW w:w="0" w:type="auto"/>
            <w:noWrap/>
            <w:vAlign w:val="bottom"/>
            <w:hideMark/>
          </w:tcPr>
          <w:p w14:paraId="7415F62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99168E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A711518"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4F430AA4" w14:textId="77777777" w:rsidR="00000000" w:rsidRDefault="003A1B5D">
            <w:pPr>
              <w:pStyle w:val="a3"/>
              <w:spacing w:before="0" w:beforeAutospacing="0" w:after="0" w:afterAutospacing="0"/>
              <w:jc w:val="right"/>
              <w:rPr>
                <w:sz w:val="20"/>
                <w:szCs w:val="20"/>
              </w:rPr>
            </w:pPr>
            <w:r>
              <w:rPr>
                <w:b/>
                <w:bCs/>
                <w:sz w:val="20"/>
                <w:szCs w:val="20"/>
              </w:rPr>
              <w:t>20.0</w:t>
            </w:r>
            <w:r>
              <w:rPr>
                <w:b/>
                <w:bCs/>
                <w:sz w:val="20"/>
                <w:szCs w:val="20"/>
              </w:rPr>
              <w:t>6</w:t>
            </w:r>
          </w:p>
        </w:tc>
        <w:tc>
          <w:tcPr>
            <w:tcW w:w="0" w:type="auto"/>
            <w:noWrap/>
            <w:vAlign w:val="bottom"/>
            <w:hideMark/>
          </w:tcPr>
          <w:p w14:paraId="59FC160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6E5422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4280D44"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5F91B288" w14:textId="77777777" w:rsidR="00000000" w:rsidRDefault="003A1B5D">
            <w:pPr>
              <w:pStyle w:val="a3"/>
              <w:spacing w:before="0" w:beforeAutospacing="0" w:after="0" w:afterAutospacing="0"/>
              <w:jc w:val="right"/>
              <w:rPr>
                <w:sz w:val="20"/>
                <w:szCs w:val="20"/>
              </w:rPr>
            </w:pPr>
            <w:r>
              <w:rPr>
                <w:sz w:val="20"/>
                <w:szCs w:val="20"/>
              </w:rPr>
              <w:t>24.1</w:t>
            </w:r>
            <w:r>
              <w:rPr>
                <w:sz w:val="20"/>
                <w:szCs w:val="20"/>
              </w:rPr>
              <w:t>6</w:t>
            </w:r>
          </w:p>
        </w:tc>
        <w:tc>
          <w:tcPr>
            <w:tcW w:w="0" w:type="auto"/>
            <w:noWrap/>
            <w:vAlign w:val="bottom"/>
            <w:hideMark/>
          </w:tcPr>
          <w:p w14:paraId="737AFA86" w14:textId="77777777" w:rsidR="00000000" w:rsidRDefault="003A1B5D">
            <w:pPr>
              <w:pStyle w:val="a3"/>
              <w:spacing w:before="0" w:beforeAutospacing="0" w:after="0" w:afterAutospacing="0"/>
              <w:rPr>
                <w:sz w:val="20"/>
                <w:szCs w:val="20"/>
              </w:rPr>
            </w:pPr>
            <w:r>
              <w:rPr>
                <w:sz w:val="20"/>
                <w:szCs w:val="20"/>
              </w:rPr>
              <w:t> </w:t>
            </w:r>
          </w:p>
        </w:tc>
      </w:tr>
      <w:tr w:rsidR="00000000" w14:paraId="7FE5D7F7" w14:textId="77777777">
        <w:trPr>
          <w:trHeight w:val="200"/>
          <w:tblCellSpacing w:w="15" w:type="dxa"/>
        </w:trPr>
        <w:tc>
          <w:tcPr>
            <w:tcW w:w="0" w:type="auto"/>
            <w:hideMark/>
          </w:tcPr>
          <w:p w14:paraId="57B08770" w14:textId="77777777" w:rsidR="00000000" w:rsidRDefault="003A1B5D">
            <w:pPr>
              <w:pStyle w:val="a3"/>
              <w:spacing w:before="0" w:beforeAutospacing="0" w:after="0" w:afterAutospacing="0"/>
              <w:rPr>
                <w:sz w:val="20"/>
                <w:szCs w:val="20"/>
              </w:rPr>
            </w:pPr>
            <w:r>
              <w:rPr>
                <w:sz w:val="20"/>
                <w:szCs w:val="20"/>
              </w:rPr>
              <w:t>Operating margi</w:t>
            </w:r>
            <w:r>
              <w:rPr>
                <w:sz w:val="20"/>
                <w:szCs w:val="20"/>
              </w:rPr>
              <w:t>n</w:t>
            </w:r>
          </w:p>
        </w:tc>
        <w:tc>
          <w:tcPr>
            <w:tcW w:w="0" w:type="auto"/>
            <w:vAlign w:val="bottom"/>
            <w:hideMark/>
          </w:tcPr>
          <w:p w14:paraId="2A48A72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04190B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E594E2A" w14:textId="77777777" w:rsidR="00000000" w:rsidRDefault="003A1B5D">
            <w:pPr>
              <w:pStyle w:val="a3"/>
              <w:spacing w:before="0" w:beforeAutospacing="0" w:after="0" w:afterAutospacing="0"/>
              <w:jc w:val="right"/>
              <w:rPr>
                <w:sz w:val="20"/>
                <w:szCs w:val="20"/>
              </w:rPr>
            </w:pPr>
            <w:r>
              <w:rPr>
                <w:b/>
                <w:bCs/>
                <w:sz w:val="20"/>
                <w:szCs w:val="20"/>
              </w:rPr>
              <w:t>19.</w:t>
            </w:r>
            <w:r>
              <w:rPr>
                <w:b/>
                <w:bCs/>
                <w:sz w:val="20"/>
                <w:szCs w:val="20"/>
              </w:rPr>
              <w:t>1</w:t>
            </w:r>
          </w:p>
        </w:tc>
        <w:tc>
          <w:tcPr>
            <w:tcW w:w="0" w:type="auto"/>
            <w:noWrap/>
            <w:vAlign w:val="bottom"/>
            <w:hideMark/>
          </w:tcPr>
          <w:p w14:paraId="33187601"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4C73C88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0E187F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728DD4D" w14:textId="77777777" w:rsidR="00000000" w:rsidRDefault="003A1B5D">
            <w:pPr>
              <w:pStyle w:val="a3"/>
              <w:spacing w:before="0" w:beforeAutospacing="0" w:after="0" w:afterAutospacing="0"/>
              <w:jc w:val="right"/>
              <w:rPr>
                <w:sz w:val="20"/>
                <w:szCs w:val="20"/>
              </w:rPr>
            </w:pPr>
            <w:r>
              <w:rPr>
                <w:sz w:val="20"/>
                <w:szCs w:val="20"/>
              </w:rPr>
              <w:t>27.</w:t>
            </w:r>
            <w:r>
              <w:rPr>
                <w:sz w:val="20"/>
                <w:szCs w:val="20"/>
              </w:rPr>
              <w:t>2</w:t>
            </w:r>
          </w:p>
        </w:tc>
        <w:tc>
          <w:tcPr>
            <w:tcW w:w="0" w:type="auto"/>
            <w:noWrap/>
            <w:vAlign w:val="bottom"/>
            <w:hideMark/>
          </w:tcPr>
          <w:p w14:paraId="35BEA804"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6E40818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BB5532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6450EC3" w14:textId="77777777" w:rsidR="00000000" w:rsidRDefault="003A1B5D">
            <w:pPr>
              <w:pStyle w:val="a3"/>
              <w:spacing w:before="0" w:beforeAutospacing="0" w:after="0" w:afterAutospacing="0"/>
              <w:jc w:val="right"/>
              <w:rPr>
                <w:sz w:val="20"/>
                <w:szCs w:val="20"/>
              </w:rPr>
            </w:pPr>
            <w:r>
              <w:rPr>
                <w:b/>
                <w:bCs/>
                <w:sz w:val="20"/>
                <w:szCs w:val="20"/>
              </w:rPr>
              <w:t>21.</w:t>
            </w:r>
            <w:r>
              <w:rPr>
                <w:b/>
                <w:bCs/>
                <w:sz w:val="20"/>
                <w:szCs w:val="20"/>
              </w:rPr>
              <w:t>2</w:t>
            </w:r>
          </w:p>
        </w:tc>
        <w:tc>
          <w:tcPr>
            <w:tcW w:w="0" w:type="auto"/>
            <w:noWrap/>
            <w:vAlign w:val="bottom"/>
            <w:hideMark/>
          </w:tcPr>
          <w:p w14:paraId="12541CC5"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3FE0617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E072EE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49E26C3" w14:textId="77777777" w:rsidR="00000000" w:rsidRDefault="003A1B5D">
            <w:pPr>
              <w:pStyle w:val="a3"/>
              <w:spacing w:before="0" w:beforeAutospacing="0" w:after="0" w:afterAutospacing="0"/>
              <w:jc w:val="right"/>
              <w:rPr>
                <w:sz w:val="20"/>
                <w:szCs w:val="20"/>
              </w:rPr>
            </w:pPr>
            <w:r>
              <w:rPr>
                <w:sz w:val="20"/>
                <w:szCs w:val="20"/>
              </w:rPr>
              <w:t>26.</w:t>
            </w:r>
            <w:r>
              <w:rPr>
                <w:sz w:val="20"/>
                <w:szCs w:val="20"/>
              </w:rPr>
              <w:t>5</w:t>
            </w:r>
          </w:p>
        </w:tc>
        <w:tc>
          <w:tcPr>
            <w:tcW w:w="0" w:type="auto"/>
            <w:noWrap/>
            <w:vAlign w:val="bottom"/>
            <w:hideMark/>
          </w:tcPr>
          <w:p w14:paraId="1241C316" w14:textId="77777777" w:rsidR="00000000" w:rsidRDefault="003A1B5D">
            <w:pPr>
              <w:pStyle w:val="a3"/>
              <w:spacing w:before="0" w:beforeAutospacing="0" w:after="0" w:afterAutospacing="0"/>
              <w:rPr>
                <w:sz w:val="20"/>
                <w:szCs w:val="20"/>
              </w:rPr>
            </w:pPr>
            <w:r>
              <w:rPr>
                <w:sz w:val="20"/>
                <w:szCs w:val="20"/>
              </w:rPr>
              <w:t>%</w:t>
            </w:r>
          </w:p>
        </w:tc>
      </w:tr>
      <w:tr w:rsidR="00000000" w14:paraId="495CD751" w14:textId="77777777">
        <w:trPr>
          <w:trHeight w:val="200"/>
          <w:tblCellSpacing w:w="15" w:type="dxa"/>
        </w:trPr>
        <w:tc>
          <w:tcPr>
            <w:tcW w:w="0" w:type="auto"/>
            <w:hideMark/>
          </w:tcPr>
          <w:p w14:paraId="2F9B08AE" w14:textId="77777777" w:rsidR="00000000" w:rsidRDefault="003A1B5D">
            <w:pPr>
              <w:pStyle w:val="a3"/>
              <w:spacing w:before="0" w:beforeAutospacing="0" w:after="0" w:afterAutospacing="0"/>
              <w:rPr>
                <w:sz w:val="20"/>
                <w:szCs w:val="20"/>
              </w:rPr>
            </w:pPr>
            <w:r>
              <w:rPr>
                <w:sz w:val="20"/>
                <w:szCs w:val="20"/>
              </w:rPr>
              <w:t>Average compensated occupanc</w:t>
            </w:r>
            <w:r>
              <w:rPr>
                <w:sz w:val="20"/>
                <w:szCs w:val="20"/>
              </w:rPr>
              <w:t>y</w:t>
            </w:r>
          </w:p>
        </w:tc>
        <w:tc>
          <w:tcPr>
            <w:tcW w:w="0" w:type="auto"/>
            <w:vAlign w:val="bottom"/>
            <w:hideMark/>
          </w:tcPr>
          <w:p w14:paraId="69A8CF0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C1C2FB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06055D4" w14:textId="77777777" w:rsidR="00000000" w:rsidRDefault="003A1B5D">
            <w:pPr>
              <w:pStyle w:val="a3"/>
              <w:spacing w:before="0" w:beforeAutospacing="0" w:after="0" w:afterAutospacing="0"/>
              <w:jc w:val="right"/>
              <w:rPr>
                <w:sz w:val="20"/>
                <w:szCs w:val="20"/>
              </w:rPr>
            </w:pPr>
            <w:r>
              <w:rPr>
                <w:b/>
                <w:bCs/>
                <w:sz w:val="20"/>
                <w:szCs w:val="20"/>
              </w:rPr>
              <w:t>71.</w:t>
            </w:r>
            <w:r>
              <w:rPr>
                <w:b/>
                <w:bCs/>
                <w:sz w:val="20"/>
                <w:szCs w:val="20"/>
              </w:rPr>
              <w:t>0</w:t>
            </w:r>
          </w:p>
        </w:tc>
        <w:tc>
          <w:tcPr>
            <w:tcW w:w="0" w:type="auto"/>
            <w:noWrap/>
            <w:vAlign w:val="bottom"/>
            <w:hideMark/>
          </w:tcPr>
          <w:p w14:paraId="7AC97CA1"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1EBF2BC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6FFD59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FB23A08" w14:textId="77777777" w:rsidR="00000000" w:rsidRDefault="003A1B5D">
            <w:pPr>
              <w:pStyle w:val="a3"/>
              <w:spacing w:before="0" w:beforeAutospacing="0" w:after="0" w:afterAutospacing="0"/>
              <w:jc w:val="right"/>
              <w:rPr>
                <w:sz w:val="20"/>
                <w:szCs w:val="20"/>
              </w:rPr>
            </w:pPr>
            <w:r>
              <w:rPr>
                <w:sz w:val="20"/>
                <w:szCs w:val="20"/>
              </w:rPr>
              <w:t>73.</w:t>
            </w:r>
            <w:r>
              <w:rPr>
                <w:sz w:val="20"/>
                <w:szCs w:val="20"/>
              </w:rPr>
              <w:t>2</w:t>
            </w:r>
          </w:p>
        </w:tc>
        <w:tc>
          <w:tcPr>
            <w:tcW w:w="0" w:type="auto"/>
            <w:noWrap/>
            <w:vAlign w:val="bottom"/>
            <w:hideMark/>
          </w:tcPr>
          <w:p w14:paraId="33690A84"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5FC539F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C4E055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8307695" w14:textId="77777777" w:rsidR="00000000" w:rsidRDefault="003A1B5D">
            <w:pPr>
              <w:pStyle w:val="a3"/>
              <w:spacing w:before="0" w:beforeAutospacing="0" w:after="0" w:afterAutospacing="0"/>
              <w:jc w:val="right"/>
              <w:rPr>
                <w:sz w:val="20"/>
                <w:szCs w:val="20"/>
              </w:rPr>
            </w:pPr>
            <w:r>
              <w:rPr>
                <w:b/>
                <w:bCs/>
                <w:sz w:val="20"/>
                <w:szCs w:val="20"/>
              </w:rPr>
              <w:t>71.</w:t>
            </w:r>
            <w:r>
              <w:rPr>
                <w:b/>
                <w:bCs/>
                <w:sz w:val="20"/>
                <w:szCs w:val="20"/>
              </w:rPr>
              <w:t>0</w:t>
            </w:r>
          </w:p>
        </w:tc>
        <w:tc>
          <w:tcPr>
            <w:tcW w:w="0" w:type="auto"/>
            <w:noWrap/>
            <w:vAlign w:val="bottom"/>
            <w:hideMark/>
          </w:tcPr>
          <w:p w14:paraId="06421C02"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31391F1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76A8F3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E0442D6" w14:textId="77777777" w:rsidR="00000000" w:rsidRDefault="003A1B5D">
            <w:pPr>
              <w:pStyle w:val="a3"/>
              <w:spacing w:before="0" w:beforeAutospacing="0" w:after="0" w:afterAutospacing="0"/>
              <w:jc w:val="right"/>
              <w:rPr>
                <w:sz w:val="20"/>
                <w:szCs w:val="20"/>
              </w:rPr>
            </w:pPr>
            <w:r>
              <w:rPr>
                <w:sz w:val="20"/>
                <w:szCs w:val="20"/>
              </w:rPr>
              <w:t>72.</w:t>
            </w:r>
            <w:r>
              <w:rPr>
                <w:sz w:val="20"/>
                <w:szCs w:val="20"/>
              </w:rPr>
              <w:t>4</w:t>
            </w:r>
          </w:p>
        </w:tc>
        <w:tc>
          <w:tcPr>
            <w:tcW w:w="0" w:type="auto"/>
            <w:noWrap/>
            <w:vAlign w:val="bottom"/>
            <w:hideMark/>
          </w:tcPr>
          <w:p w14:paraId="1484E549" w14:textId="77777777" w:rsidR="00000000" w:rsidRDefault="003A1B5D">
            <w:pPr>
              <w:pStyle w:val="a3"/>
              <w:spacing w:before="0" w:beforeAutospacing="0" w:after="0" w:afterAutospacing="0"/>
              <w:rPr>
                <w:sz w:val="20"/>
                <w:szCs w:val="20"/>
              </w:rPr>
            </w:pPr>
            <w:r>
              <w:rPr>
                <w:sz w:val="20"/>
                <w:szCs w:val="20"/>
              </w:rPr>
              <w:t>%</w:t>
            </w:r>
          </w:p>
        </w:tc>
      </w:tr>
      <w:tr w:rsidR="00000000" w14:paraId="288E38AB" w14:textId="77777777">
        <w:trPr>
          <w:trHeight w:val="200"/>
          <w:tblCellSpacing w:w="15" w:type="dxa"/>
        </w:trPr>
        <w:tc>
          <w:tcPr>
            <w:tcW w:w="0" w:type="auto"/>
            <w:hideMark/>
          </w:tcPr>
          <w:p w14:paraId="09BD284E" w14:textId="77777777" w:rsidR="00000000" w:rsidRDefault="003A1B5D">
            <w:pPr>
              <w:pStyle w:val="a3"/>
              <w:spacing w:before="0" w:beforeAutospacing="0" w:after="0" w:afterAutospacing="0"/>
              <w:rPr>
                <w:sz w:val="20"/>
                <w:szCs w:val="20"/>
              </w:rPr>
            </w:pPr>
            <w:r>
              <w:rPr>
                <w:sz w:val="20"/>
                <w:szCs w:val="20"/>
              </w:rPr>
              <w:t>Average available bed</w:t>
            </w:r>
            <w:r>
              <w:rPr>
                <w:sz w:val="20"/>
                <w:szCs w:val="20"/>
              </w:rPr>
              <w:t>s</w:t>
            </w:r>
          </w:p>
        </w:tc>
        <w:tc>
          <w:tcPr>
            <w:tcW w:w="0" w:type="auto"/>
            <w:vAlign w:val="bottom"/>
            <w:hideMark/>
          </w:tcPr>
          <w:p w14:paraId="38BFDEB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3CF52D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3AAE052" w14:textId="77777777" w:rsidR="00000000" w:rsidRDefault="003A1B5D">
            <w:pPr>
              <w:pStyle w:val="a3"/>
              <w:spacing w:before="0" w:beforeAutospacing="0" w:after="0" w:afterAutospacing="0"/>
              <w:jc w:val="right"/>
              <w:rPr>
                <w:sz w:val="20"/>
                <w:szCs w:val="20"/>
              </w:rPr>
            </w:pPr>
            <w:r>
              <w:rPr>
                <w:b/>
                <w:bCs/>
                <w:sz w:val="20"/>
                <w:szCs w:val="20"/>
              </w:rPr>
              <w:t>68,37</w:t>
            </w:r>
            <w:r>
              <w:rPr>
                <w:b/>
                <w:bCs/>
                <w:sz w:val="20"/>
                <w:szCs w:val="20"/>
              </w:rPr>
              <w:t>7</w:t>
            </w:r>
          </w:p>
        </w:tc>
        <w:tc>
          <w:tcPr>
            <w:tcW w:w="0" w:type="auto"/>
            <w:noWrap/>
            <w:vAlign w:val="bottom"/>
            <w:hideMark/>
          </w:tcPr>
          <w:p w14:paraId="3D6C832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6F149F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1AE47F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60AB487" w14:textId="77777777" w:rsidR="00000000" w:rsidRDefault="003A1B5D">
            <w:pPr>
              <w:pStyle w:val="a3"/>
              <w:spacing w:before="0" w:beforeAutospacing="0" w:after="0" w:afterAutospacing="0"/>
              <w:jc w:val="right"/>
              <w:rPr>
                <w:sz w:val="20"/>
                <w:szCs w:val="20"/>
              </w:rPr>
            </w:pPr>
            <w:r>
              <w:rPr>
                <w:sz w:val="20"/>
                <w:szCs w:val="20"/>
              </w:rPr>
              <w:t>70,00</w:t>
            </w:r>
            <w:r>
              <w:rPr>
                <w:sz w:val="20"/>
                <w:szCs w:val="20"/>
              </w:rPr>
              <w:t>3</w:t>
            </w:r>
          </w:p>
        </w:tc>
        <w:tc>
          <w:tcPr>
            <w:tcW w:w="0" w:type="auto"/>
            <w:noWrap/>
            <w:vAlign w:val="bottom"/>
            <w:hideMark/>
          </w:tcPr>
          <w:p w14:paraId="23BC801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18A3B5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F1405D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E303B7B" w14:textId="77777777" w:rsidR="00000000" w:rsidRDefault="003A1B5D">
            <w:pPr>
              <w:pStyle w:val="a3"/>
              <w:spacing w:before="0" w:beforeAutospacing="0" w:after="0" w:afterAutospacing="0"/>
              <w:jc w:val="right"/>
              <w:rPr>
                <w:sz w:val="20"/>
                <w:szCs w:val="20"/>
              </w:rPr>
            </w:pPr>
            <w:r>
              <w:rPr>
                <w:b/>
                <w:bCs/>
                <w:sz w:val="20"/>
                <w:szCs w:val="20"/>
              </w:rPr>
              <w:t>68,49</w:t>
            </w:r>
            <w:r>
              <w:rPr>
                <w:b/>
                <w:bCs/>
                <w:sz w:val="20"/>
                <w:szCs w:val="20"/>
              </w:rPr>
              <w:t>4</w:t>
            </w:r>
          </w:p>
        </w:tc>
        <w:tc>
          <w:tcPr>
            <w:tcW w:w="0" w:type="auto"/>
            <w:noWrap/>
            <w:vAlign w:val="bottom"/>
            <w:hideMark/>
          </w:tcPr>
          <w:p w14:paraId="5B66B0A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D92ED4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8A4852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A94AE90" w14:textId="77777777" w:rsidR="00000000" w:rsidRDefault="003A1B5D">
            <w:pPr>
              <w:pStyle w:val="a3"/>
              <w:spacing w:before="0" w:beforeAutospacing="0" w:after="0" w:afterAutospacing="0"/>
              <w:jc w:val="right"/>
              <w:rPr>
                <w:sz w:val="20"/>
                <w:szCs w:val="20"/>
              </w:rPr>
            </w:pPr>
            <w:r>
              <w:rPr>
                <w:sz w:val="20"/>
                <w:szCs w:val="20"/>
              </w:rPr>
              <w:t>70,00</w:t>
            </w:r>
            <w:r>
              <w:rPr>
                <w:sz w:val="20"/>
                <w:szCs w:val="20"/>
              </w:rPr>
              <w:t>3</w:t>
            </w:r>
          </w:p>
        </w:tc>
        <w:tc>
          <w:tcPr>
            <w:tcW w:w="0" w:type="auto"/>
            <w:noWrap/>
            <w:vAlign w:val="bottom"/>
            <w:hideMark/>
          </w:tcPr>
          <w:p w14:paraId="74F9A725" w14:textId="77777777" w:rsidR="00000000" w:rsidRDefault="003A1B5D">
            <w:pPr>
              <w:pStyle w:val="a3"/>
              <w:spacing w:before="0" w:beforeAutospacing="0" w:after="0" w:afterAutospacing="0"/>
              <w:rPr>
                <w:sz w:val="20"/>
                <w:szCs w:val="20"/>
              </w:rPr>
            </w:pPr>
            <w:r>
              <w:rPr>
                <w:sz w:val="20"/>
                <w:szCs w:val="20"/>
              </w:rPr>
              <w:t> </w:t>
            </w:r>
          </w:p>
        </w:tc>
      </w:tr>
      <w:tr w:rsidR="00000000" w14:paraId="04B5A0EC" w14:textId="77777777">
        <w:trPr>
          <w:trHeight w:val="200"/>
          <w:tblCellSpacing w:w="15" w:type="dxa"/>
        </w:trPr>
        <w:tc>
          <w:tcPr>
            <w:tcW w:w="0" w:type="auto"/>
            <w:hideMark/>
          </w:tcPr>
          <w:p w14:paraId="7320C645" w14:textId="77777777" w:rsidR="00000000" w:rsidRDefault="003A1B5D">
            <w:pPr>
              <w:pStyle w:val="a3"/>
              <w:spacing w:before="0" w:beforeAutospacing="0" w:after="0" w:afterAutospacing="0"/>
              <w:rPr>
                <w:sz w:val="20"/>
                <w:szCs w:val="20"/>
              </w:rPr>
            </w:pPr>
            <w:r>
              <w:rPr>
                <w:sz w:val="20"/>
                <w:szCs w:val="20"/>
              </w:rPr>
              <w:t>Average compensated populatio</w:t>
            </w:r>
            <w:r>
              <w:rPr>
                <w:sz w:val="20"/>
                <w:szCs w:val="20"/>
              </w:rPr>
              <w:t>n</w:t>
            </w:r>
          </w:p>
        </w:tc>
        <w:tc>
          <w:tcPr>
            <w:tcW w:w="0" w:type="auto"/>
            <w:vAlign w:val="bottom"/>
            <w:hideMark/>
          </w:tcPr>
          <w:p w14:paraId="4B63303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73D7E3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D206584" w14:textId="77777777" w:rsidR="00000000" w:rsidRDefault="003A1B5D">
            <w:pPr>
              <w:pStyle w:val="a3"/>
              <w:spacing w:before="0" w:beforeAutospacing="0" w:after="0" w:afterAutospacing="0"/>
              <w:jc w:val="right"/>
              <w:rPr>
                <w:sz w:val="20"/>
                <w:szCs w:val="20"/>
              </w:rPr>
            </w:pPr>
            <w:r>
              <w:rPr>
                <w:b/>
                <w:bCs/>
                <w:sz w:val="20"/>
                <w:szCs w:val="20"/>
              </w:rPr>
              <w:t>48,55</w:t>
            </w:r>
            <w:r>
              <w:rPr>
                <w:b/>
                <w:bCs/>
                <w:sz w:val="20"/>
                <w:szCs w:val="20"/>
              </w:rPr>
              <w:t>6</w:t>
            </w:r>
          </w:p>
        </w:tc>
        <w:tc>
          <w:tcPr>
            <w:tcW w:w="0" w:type="auto"/>
            <w:noWrap/>
            <w:vAlign w:val="bottom"/>
            <w:hideMark/>
          </w:tcPr>
          <w:p w14:paraId="6EE348C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06AD8C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E09FFE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0AB7666" w14:textId="77777777" w:rsidR="00000000" w:rsidRDefault="003A1B5D">
            <w:pPr>
              <w:pStyle w:val="a3"/>
              <w:spacing w:before="0" w:beforeAutospacing="0" w:after="0" w:afterAutospacing="0"/>
              <w:jc w:val="right"/>
              <w:rPr>
                <w:sz w:val="20"/>
                <w:szCs w:val="20"/>
              </w:rPr>
            </w:pPr>
            <w:r>
              <w:rPr>
                <w:sz w:val="20"/>
                <w:szCs w:val="20"/>
              </w:rPr>
              <w:t>51,26</w:t>
            </w:r>
            <w:r>
              <w:rPr>
                <w:sz w:val="20"/>
                <w:szCs w:val="20"/>
              </w:rPr>
              <w:t>0</w:t>
            </w:r>
          </w:p>
        </w:tc>
        <w:tc>
          <w:tcPr>
            <w:tcW w:w="0" w:type="auto"/>
            <w:noWrap/>
            <w:vAlign w:val="bottom"/>
            <w:hideMark/>
          </w:tcPr>
          <w:p w14:paraId="6CE9D7F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20FA97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DE5796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76E195D" w14:textId="77777777" w:rsidR="00000000" w:rsidRDefault="003A1B5D">
            <w:pPr>
              <w:pStyle w:val="a3"/>
              <w:spacing w:before="0" w:beforeAutospacing="0" w:after="0" w:afterAutospacing="0"/>
              <w:jc w:val="right"/>
              <w:rPr>
                <w:sz w:val="20"/>
                <w:szCs w:val="20"/>
              </w:rPr>
            </w:pPr>
            <w:r>
              <w:rPr>
                <w:b/>
                <w:bCs/>
                <w:sz w:val="20"/>
                <w:szCs w:val="20"/>
              </w:rPr>
              <w:t>48,61</w:t>
            </w:r>
            <w:r>
              <w:rPr>
                <w:b/>
                <w:bCs/>
                <w:sz w:val="20"/>
                <w:szCs w:val="20"/>
              </w:rPr>
              <w:t>5</w:t>
            </w:r>
          </w:p>
        </w:tc>
        <w:tc>
          <w:tcPr>
            <w:tcW w:w="0" w:type="auto"/>
            <w:noWrap/>
            <w:vAlign w:val="bottom"/>
            <w:hideMark/>
          </w:tcPr>
          <w:p w14:paraId="15CFD53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132421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01E5A4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77A1B2E" w14:textId="77777777" w:rsidR="00000000" w:rsidRDefault="003A1B5D">
            <w:pPr>
              <w:pStyle w:val="a3"/>
              <w:spacing w:before="0" w:beforeAutospacing="0" w:after="0" w:afterAutospacing="0"/>
              <w:jc w:val="right"/>
              <w:rPr>
                <w:sz w:val="20"/>
                <w:szCs w:val="20"/>
              </w:rPr>
            </w:pPr>
            <w:r>
              <w:rPr>
                <w:sz w:val="20"/>
                <w:szCs w:val="20"/>
              </w:rPr>
              <w:t>50,64</w:t>
            </w:r>
            <w:r>
              <w:rPr>
                <w:sz w:val="20"/>
                <w:szCs w:val="20"/>
              </w:rPr>
              <w:t>7</w:t>
            </w:r>
          </w:p>
        </w:tc>
        <w:tc>
          <w:tcPr>
            <w:tcW w:w="0" w:type="auto"/>
            <w:noWrap/>
            <w:vAlign w:val="bottom"/>
            <w:hideMark/>
          </w:tcPr>
          <w:p w14:paraId="72716ED4" w14:textId="77777777" w:rsidR="00000000" w:rsidRDefault="003A1B5D">
            <w:pPr>
              <w:pStyle w:val="a3"/>
              <w:spacing w:before="0" w:beforeAutospacing="0" w:after="0" w:afterAutospacing="0"/>
              <w:rPr>
                <w:sz w:val="20"/>
                <w:szCs w:val="20"/>
              </w:rPr>
            </w:pPr>
            <w:r>
              <w:rPr>
                <w:sz w:val="20"/>
                <w:szCs w:val="20"/>
              </w:rPr>
              <w:t> </w:t>
            </w:r>
          </w:p>
        </w:tc>
      </w:tr>
    </w:tbl>
    <w:p w14:paraId="46EB3269" w14:textId="77777777" w:rsidR="00000000" w:rsidRDefault="003A1B5D">
      <w:pPr>
        <w:pStyle w:val="a3"/>
        <w:spacing w:before="0" w:beforeAutospacing="0" w:after="0" w:afterAutospacing="0"/>
        <w:jc w:val="both"/>
        <w:rPr>
          <w:sz w:val="20"/>
          <w:szCs w:val="20"/>
        </w:rPr>
      </w:pPr>
      <w:r>
        <w:rPr>
          <w:sz w:val="20"/>
          <w:szCs w:val="20"/>
        </w:rPr>
        <w:t> </w:t>
      </w:r>
    </w:p>
    <w:p w14:paraId="47F9B438" w14:textId="77777777" w:rsidR="00000000" w:rsidRDefault="003A1B5D">
      <w:pPr>
        <w:pStyle w:val="a3"/>
        <w:spacing w:before="240" w:beforeAutospacing="0" w:after="0" w:afterAutospacing="0"/>
        <w:jc w:val="both"/>
        <w:rPr>
          <w:sz w:val="20"/>
          <w:szCs w:val="20"/>
        </w:rPr>
      </w:pPr>
      <w:r>
        <w:rPr>
          <w:sz w:val="20"/>
          <w:szCs w:val="20"/>
        </w:rPr>
        <w:t>The Private Prison EO could have a negative impact on our future results of operations and cash flows, to the extent we are unable to replace the cash flows with new management contracts like we did at our Northeast Ohio and Crossroads facilities, as previ</w:t>
      </w:r>
      <w:r>
        <w:rPr>
          <w:sz w:val="20"/>
          <w:szCs w:val="20"/>
        </w:rPr>
        <w:t>ously described herein. We had direct contracts with the USMS to care for detainees at our 600-bed West Tennessee Detention Facility that expired on September 30, 2021 and was not renewed and at our 1,033-bed Leavenworth Detention Center that expired on De</w:t>
      </w:r>
      <w:r>
        <w:rPr>
          <w:sz w:val="20"/>
          <w:szCs w:val="20"/>
        </w:rPr>
        <w:t>cember 31, 2021 and was not renewed. We are actively marketing the West Tennessee and Leavenworth facilities to other government agencies. However, we can provide no assurance that we will be able to reach an agreement for the utilization of the West Tenne</w:t>
      </w:r>
      <w:r>
        <w:rPr>
          <w:sz w:val="20"/>
          <w:szCs w:val="20"/>
        </w:rPr>
        <w:t>ssee and Leavenworth facilities. During the three and nine months ended September 30, 2021, the contract with the USMS at our West Tennessee facility generated management revenue of $4.5 million and $14.7 million, respectively. During the three and nine mo</w:t>
      </w:r>
      <w:r>
        <w:rPr>
          <w:sz w:val="20"/>
          <w:szCs w:val="20"/>
        </w:rPr>
        <w:t>nths ended September 30, 2021, the contract with the USMS at our Leavenworth facility generated management revenue of $9.2 million and $28.8 million, respectively. We idled both the West Tennessee and Leavenworth facilities upon expiration of the contracts</w:t>
      </w:r>
      <w:r>
        <w:rPr>
          <w:sz w:val="20"/>
          <w:szCs w:val="20"/>
        </w:rPr>
        <w:t xml:space="preserve"> with the USMS. However, we temporarily retained a certain staffing level at both facilities during the first three months of 2022 in the event that we were able to enter into new contracts with government agencies promptly following the contract expiratio</w:t>
      </w:r>
      <w:r>
        <w:rPr>
          <w:sz w:val="20"/>
          <w:szCs w:val="20"/>
        </w:rPr>
        <w:t>ns and to provide transportation services at the Leavenworth facility, which contributed to the increase in operating expenses per man-day in our Safety segment during the nine months ended September 30, 2022. During the three and nine months ended Septemb</w:t>
      </w:r>
      <w:r>
        <w:rPr>
          <w:sz w:val="20"/>
          <w:szCs w:val="20"/>
        </w:rPr>
        <w:t>er 30, 2022, these two facilities experienced facility net operating losses aggregating $0.9 million and $4.4 million, respectively, resulting in a total reduction to facility net operating income of $1.4 million and $10.4 million, respectively, at these t</w:t>
      </w:r>
      <w:r>
        <w:rPr>
          <w:sz w:val="20"/>
          <w:szCs w:val="20"/>
        </w:rPr>
        <w:t>wo facilities as compared to the same periods in 2021</w:t>
      </w:r>
      <w:r>
        <w:rPr>
          <w:sz w:val="20"/>
          <w:szCs w:val="20"/>
        </w:rPr>
        <w:t>.</w:t>
      </w:r>
    </w:p>
    <w:p w14:paraId="5183AC86" w14:textId="77777777" w:rsidR="00000000" w:rsidRDefault="003A1B5D">
      <w:pPr>
        <w:pStyle w:val="a3"/>
        <w:spacing w:before="240" w:beforeAutospacing="0" w:after="0" w:afterAutospacing="0"/>
        <w:jc w:val="both"/>
        <w:rPr>
          <w:sz w:val="20"/>
          <w:szCs w:val="20"/>
        </w:rPr>
      </w:pPr>
      <w:r>
        <w:rPr>
          <w:sz w:val="20"/>
          <w:szCs w:val="20"/>
        </w:rPr>
        <w:t>As previously described herein, we also have one prison contract with the BOP at our 1,978-bed McRae Correctional Facility, which expires in November 2022 that we do not expect to be renewed. During th</w:t>
      </w:r>
      <w:r>
        <w:rPr>
          <w:sz w:val="20"/>
          <w:szCs w:val="20"/>
        </w:rPr>
        <w:t xml:space="preserve">e three and nine months ended September 30, 2022, this facility generated facility net operating income of $1.6 million and $6.3 million, respectively. We entered into a Purchase and Sale Agreement with the Georgia Building Authority to purchase the McRae </w:t>
      </w:r>
      <w:r>
        <w:rPr>
          <w:sz w:val="20"/>
          <w:szCs w:val="20"/>
        </w:rPr>
        <w:t>facility in July 2022 and completed the sale in August 2022. We are now leasing the McRae Correctional Facility from the Georgia Building Authority through November 30, 2022 to allow us to fulfill our obligations to the BOP. We generated net sales proceeds</w:t>
      </w:r>
      <w:r>
        <w:rPr>
          <w:sz w:val="20"/>
          <w:szCs w:val="20"/>
        </w:rPr>
        <w:t xml:space="preserve"> of $129.7 million on the sale of the McRae facility, resulting in a net gain on the sale of $77.5 million, which we recognized in the third quarter of 2022</w:t>
      </w:r>
      <w:r>
        <w:rPr>
          <w:sz w:val="20"/>
          <w:szCs w:val="20"/>
        </w:rPr>
        <w:t>.</w:t>
      </w:r>
      <w:r>
        <w:rPr>
          <w:sz w:val="20"/>
          <w:szCs w:val="20"/>
        </w:rPr>
        <w:t xml:space="preserve"> </w:t>
      </w:r>
    </w:p>
    <w:p w14:paraId="437E64E6" w14:textId="77777777" w:rsidR="00000000" w:rsidRDefault="003A1B5D">
      <w:pPr>
        <w:pStyle w:val="a3"/>
        <w:spacing w:before="240" w:beforeAutospacing="0" w:after="0" w:afterAutospacing="0"/>
        <w:jc w:val="both"/>
        <w:rPr>
          <w:sz w:val="20"/>
          <w:szCs w:val="20"/>
        </w:rPr>
      </w:pPr>
      <w:r>
        <w:rPr>
          <w:sz w:val="20"/>
          <w:szCs w:val="20"/>
        </w:rPr>
        <w:t>Operating margins in the CoreCivic Safety segment have also been negatively impacted during the f</w:t>
      </w:r>
      <w:r>
        <w:rPr>
          <w:sz w:val="20"/>
          <w:szCs w:val="20"/>
        </w:rPr>
        <w:t>irst nine months of 2022 by increased operating expenses per man-day, which was driven primarily by incremental staffing levels, higher wage rates, and increased registry nursing and other related expenses. As previously described herein, we have experienc</w:t>
      </w:r>
      <w:r>
        <w:rPr>
          <w:sz w:val="20"/>
          <w:szCs w:val="20"/>
        </w:rPr>
        <w:t>ed labor shortages and wage pressures in many markets across the country, and have provided customary inflationary wage increases to remain competitive, including increases to most of our facility staff during July of the last three years since the COVID-1</w:t>
      </w:r>
      <w:r>
        <w:rPr>
          <w:sz w:val="20"/>
          <w:szCs w:val="20"/>
        </w:rPr>
        <w:t>9 pandemic started. Further, we have incurred, and expect to continue to incur, incremental expenses to help ensure sufficient staffing levels under unique and challenging working conditions, including but not limited to, shift incentive bonuses, recruitin</w:t>
      </w:r>
      <w:r>
        <w:rPr>
          <w:sz w:val="20"/>
          <w:szCs w:val="20"/>
        </w:rPr>
        <w:t>g and retention bonuses, temporary employee housing expenses and travel reimbursements, off-cycle wage increases, as well as relocation incentives. During 2021, we operated at reduced staffing levels due to COVID-19 health and safety measures, including oc</w:t>
      </w:r>
      <w:r>
        <w:rPr>
          <w:sz w:val="20"/>
          <w:szCs w:val="20"/>
        </w:rPr>
        <w:t xml:space="preserve">cupancy restrictions and labor shortages in many of our markets. Further, in an effort to mitigate the spread of COVID-19 and at the direction of our government partners, we significantly reduced the level of movement within our facilities, enabling us to </w:t>
      </w:r>
      <w:r>
        <w:rPr>
          <w:sz w:val="20"/>
          <w:szCs w:val="20"/>
        </w:rPr>
        <w:t>more efficiently manage our staffing. We have worked with our government partners and followed national and local health standards as we reinstated normal movement within our facilities. The negative impact on operating margins resulting from these factors</w:t>
      </w:r>
      <w:r>
        <w:rPr>
          <w:sz w:val="20"/>
          <w:szCs w:val="20"/>
        </w:rPr>
        <w:t xml:space="preserve"> was partially offset by a 3.5% and 3.6% increase in average revenue per compensate</w:t>
      </w:r>
      <w:r>
        <w:rPr>
          <w:sz w:val="20"/>
          <w:szCs w:val="20"/>
        </w:rPr>
        <w:t>d</w:t>
      </w:r>
      <w:r>
        <w:rPr>
          <w:sz w:val="20"/>
          <w:szCs w:val="20"/>
        </w:rPr>
        <w:t xml:space="preserve"> </w:t>
      </w:r>
    </w:p>
    <w:p w14:paraId="62F1ABB0" w14:textId="77777777" w:rsidR="00000000" w:rsidRDefault="003A1B5D">
      <w:pPr>
        <w:pStyle w:val="a3"/>
        <w:spacing w:before="240" w:beforeAutospacing="0" w:after="0" w:afterAutospacing="0"/>
        <w:jc w:val="center"/>
        <w:rPr>
          <w:sz w:val="20"/>
          <w:szCs w:val="20"/>
        </w:rPr>
      </w:pPr>
      <w:r>
        <w:rPr>
          <w:sz w:val="20"/>
          <w:szCs w:val="20"/>
        </w:rPr>
        <w:t>3</w:t>
      </w:r>
      <w:r>
        <w:rPr>
          <w:sz w:val="20"/>
          <w:szCs w:val="20"/>
        </w:rPr>
        <w:t>1</w:t>
      </w:r>
    </w:p>
    <w:p w14:paraId="6C545A7F" w14:textId="77777777" w:rsidR="00000000" w:rsidRDefault="003A1B5D">
      <w:pPr>
        <w:rPr>
          <w:rFonts w:eastAsia="Times New Roman"/>
        </w:rPr>
      </w:pPr>
      <w:r>
        <w:rPr>
          <w:rFonts w:eastAsia="Times New Roman"/>
        </w:rPr>
        <w:pict w14:anchorId="112CFF37">
          <v:rect id="_x0000_i1057" style="width:0;height:1.5pt" o:hralign="center" o:hrstd="t" o:hr="t" fillcolor="#a0a0a0" stroked="f"/>
        </w:pict>
      </w:r>
    </w:p>
    <w:p w14:paraId="7B20B8FD" w14:textId="77777777" w:rsidR="00000000" w:rsidRDefault="003A1B5D">
      <w:pPr>
        <w:pStyle w:val="a3"/>
        <w:spacing w:before="0" w:beforeAutospacing="0" w:after="0" w:afterAutospacing="0"/>
        <w:rPr>
          <w:sz w:val="20"/>
          <w:szCs w:val="20"/>
        </w:rPr>
      </w:pPr>
      <w:r>
        <w:rPr>
          <w:sz w:val="20"/>
          <w:szCs w:val="20"/>
        </w:rPr>
        <w:t> </w:t>
      </w:r>
    </w:p>
    <w:p w14:paraId="3165AFAE" w14:textId="77777777" w:rsidR="00000000" w:rsidRDefault="003A1B5D">
      <w:pPr>
        <w:pStyle w:val="a3"/>
        <w:spacing w:before="240" w:beforeAutospacing="0" w:after="0" w:afterAutospacing="0"/>
        <w:jc w:val="both"/>
        <w:rPr>
          <w:sz w:val="20"/>
          <w:szCs w:val="20"/>
        </w:rPr>
      </w:pPr>
      <w:r>
        <w:rPr>
          <w:sz w:val="20"/>
          <w:szCs w:val="20"/>
        </w:rPr>
        <w:t xml:space="preserve">man-day during the three and nine months ended September 30, 2022, respectively, when compared to the same periods in the prior </w:t>
      </w:r>
      <w:r>
        <w:rPr>
          <w:sz w:val="20"/>
          <w:szCs w:val="20"/>
        </w:rPr>
        <w:t xml:space="preserve">year. The increase in average revenue per compensated man-day in both periods resulted from the effect of per diem increases at several of our facilities, as we have received per diem increases resulting from additional funding to address increases in the </w:t>
      </w:r>
      <w:r>
        <w:rPr>
          <w:sz w:val="20"/>
          <w:szCs w:val="20"/>
        </w:rPr>
        <w:t>wages of our employees</w:t>
      </w:r>
      <w:r>
        <w:rPr>
          <w:sz w:val="20"/>
          <w:szCs w:val="20"/>
        </w:rPr>
        <w:t>.</w:t>
      </w:r>
      <w:r>
        <w:rPr>
          <w:sz w:val="20"/>
          <w:szCs w:val="20"/>
        </w:rPr>
        <w:t xml:space="preserve"> </w:t>
      </w:r>
    </w:p>
    <w:p w14:paraId="25118419" w14:textId="77777777" w:rsidR="00000000" w:rsidRDefault="003A1B5D">
      <w:pPr>
        <w:pStyle w:val="a3"/>
        <w:spacing w:before="240" w:beforeAutospacing="0" w:after="0" w:afterAutospacing="0"/>
        <w:jc w:val="both"/>
        <w:rPr>
          <w:sz w:val="20"/>
          <w:szCs w:val="20"/>
        </w:rPr>
      </w:pPr>
      <w:r>
        <w:rPr>
          <w:sz w:val="20"/>
          <w:szCs w:val="20"/>
        </w:rPr>
        <w:t>In December 2021, we were awarded a new management contract from the state of Arizona for up to 2,706 inmates at our 3,060-bed La Palma Correctional Center in Arizona. The State will close an outdated public-sector prison and trans</w:t>
      </w:r>
      <w:r>
        <w:rPr>
          <w:sz w:val="20"/>
          <w:szCs w:val="20"/>
        </w:rPr>
        <w:t>fer inmate populations to our La Palma facility. The transfer began in April 2022, and is expected to be completed in the fourth quarter of 2022. Before the new award, the La Palma facility supported the mission of ICE by caring for approximately 1,800 det</w:t>
      </w:r>
      <w:r>
        <w:rPr>
          <w:sz w:val="20"/>
          <w:szCs w:val="20"/>
        </w:rPr>
        <w:t>ainees. The transition of population from ICE detainees to inmates from the state of Arizona has resulted in the disruption of earnings and cash flows, and we expect this disruption will continue until the occupancy of inmates from the state of Arizona rea</w:t>
      </w:r>
      <w:r>
        <w:rPr>
          <w:sz w:val="20"/>
          <w:szCs w:val="20"/>
        </w:rPr>
        <w:t xml:space="preserve">ches stabilization. Upon full utilization of the new contract, we expect to generate approximately $75.0 million to $85.0 million in annualized revenue at the La Palma facility. However, because of the preparation to receive the Arizona inmates, including </w:t>
      </w:r>
      <w:r>
        <w:rPr>
          <w:sz w:val="20"/>
          <w:szCs w:val="20"/>
        </w:rPr>
        <w:t xml:space="preserve">a reduction in the average daily population of ICE detainees at the facility, facility net operating income decreased $11.8 million and $25.1 million during the three and nine months ended September 30 2022, respectively, compared with the same periods in </w:t>
      </w:r>
      <w:r>
        <w:rPr>
          <w:sz w:val="20"/>
          <w:szCs w:val="20"/>
        </w:rPr>
        <w:t>2021</w:t>
      </w:r>
      <w:r>
        <w:rPr>
          <w:sz w:val="20"/>
          <w:szCs w:val="20"/>
        </w:rPr>
        <w:t>.</w:t>
      </w:r>
    </w:p>
    <w:p w14:paraId="2C057D6A" w14:textId="77777777" w:rsidR="00000000" w:rsidRDefault="003A1B5D">
      <w:pPr>
        <w:pStyle w:val="a3"/>
        <w:spacing w:before="240" w:beforeAutospacing="0" w:after="0" w:afterAutospacing="0"/>
        <w:jc w:val="both"/>
        <w:rPr>
          <w:sz w:val="20"/>
          <w:szCs w:val="20"/>
        </w:rPr>
      </w:pPr>
      <w:r>
        <w:rPr>
          <w:sz w:val="20"/>
          <w:szCs w:val="20"/>
        </w:rPr>
        <w:t>Our managed-only contract for the 1,030-bed Marion County Jail in Indianapolis, Indiana terminated and operations transitioned to Marion County effective January 31, 2022. Marion County constructed a replacement facility that became fully operational</w:t>
      </w:r>
      <w:r>
        <w:rPr>
          <w:sz w:val="20"/>
          <w:szCs w:val="20"/>
        </w:rPr>
        <w:t xml:space="preserve"> in January 2022. During the three and nine months ended September 30, 2021, this facility generated facility net operating income of $1.3 million and $3.3 million, respectively, compared to a facility net operating loss of $0.1 million during the time the</w:t>
      </w:r>
      <w:r>
        <w:rPr>
          <w:sz w:val="20"/>
          <w:szCs w:val="20"/>
        </w:rPr>
        <w:t xml:space="preserve"> facility was active in 2022</w:t>
      </w:r>
      <w:r>
        <w:rPr>
          <w:sz w:val="20"/>
          <w:szCs w:val="20"/>
        </w:rPr>
        <w:t>.</w:t>
      </w:r>
    </w:p>
    <w:p w14:paraId="69A9062D" w14:textId="77777777" w:rsidR="00000000" w:rsidRDefault="003A1B5D">
      <w:pPr>
        <w:pStyle w:val="a3"/>
        <w:spacing w:before="240" w:beforeAutospacing="0" w:after="0" w:afterAutospacing="0"/>
        <w:jc w:val="both"/>
        <w:rPr>
          <w:sz w:val="20"/>
          <w:szCs w:val="20"/>
        </w:rPr>
      </w:pPr>
      <w:r>
        <w:rPr>
          <w:sz w:val="20"/>
          <w:szCs w:val="20"/>
        </w:rPr>
        <w:t>On September 20, 2021, we entered into a three-year lease agreement with the state of New Mexico at our 596-bed Northwest New Mexico Correctional Center. We previously operated the Northwest New Mexico facility in our Safety s</w:t>
      </w:r>
      <w:r>
        <w:rPr>
          <w:sz w:val="20"/>
          <w:szCs w:val="20"/>
        </w:rPr>
        <w:t>egment under a contract with the state of New Mexico. We transitioned facility operations to the New Mexico Corrections Department upon commencement of the new lease agreement on November 1, 2021. During the time the facility operated in our Safety segment</w:t>
      </w:r>
      <w:r>
        <w:rPr>
          <w:sz w:val="20"/>
          <w:szCs w:val="20"/>
        </w:rPr>
        <w:t xml:space="preserve"> during 2021, the Northwest New Mexico facility generated revenue of $9.2 million, including revenue of $2.8 million and $8.1 million during the three and nine months ended September 30, 2021, respectively. During the time the facility operated in our Safe</w:t>
      </w:r>
      <w:r>
        <w:rPr>
          <w:sz w:val="20"/>
          <w:szCs w:val="20"/>
        </w:rPr>
        <w:t>ty segment during 2021, the Northwest New Mexico facility incurred a facility net operating loss of $2.3 million, including a net operating loss of $0.9 million and $2.1 million during the three and nine months ended September 30, 2021, respectively. Durin</w:t>
      </w:r>
      <w:r>
        <w:rPr>
          <w:sz w:val="20"/>
          <w:szCs w:val="20"/>
        </w:rPr>
        <w:t>g the three and nine months ended September 30, 2022, this facility generated lease revenue of $0.8 million and $2.4 million, respectively, and facility net operating income of $0.3 million and $1.0 million, respectively</w:t>
      </w:r>
      <w:r>
        <w:rPr>
          <w:sz w:val="20"/>
          <w:szCs w:val="20"/>
        </w:rPr>
        <w:t>.</w:t>
      </w:r>
    </w:p>
    <w:p w14:paraId="145ECECE" w14:textId="77777777" w:rsidR="00000000" w:rsidRDefault="003A1B5D">
      <w:pPr>
        <w:pStyle w:val="a3"/>
        <w:spacing w:before="240" w:beforeAutospacing="0" w:after="0" w:afterAutospacing="0"/>
        <w:jc w:val="both"/>
        <w:rPr>
          <w:sz w:val="20"/>
          <w:szCs w:val="20"/>
        </w:rPr>
      </w:pPr>
      <w:r>
        <w:rPr>
          <w:sz w:val="20"/>
          <w:szCs w:val="20"/>
        </w:rPr>
        <w:t>California Assembly Bill 32, or AB</w:t>
      </w:r>
      <w:r>
        <w:rPr>
          <w:sz w:val="20"/>
          <w:szCs w:val="20"/>
        </w:rPr>
        <w:t>32, became effective January 1, 2020. AB32 generally prohibits new contracts and renewals of existing contracts between private, for-profit entities and government agencies for the operation of detention facilities within the state of California, and prohi</w:t>
      </w:r>
      <w:r>
        <w:rPr>
          <w:sz w:val="20"/>
          <w:szCs w:val="20"/>
        </w:rPr>
        <w:t>bits the utilization of detention centers operated by private, for-profit entities by the state of California effective January 1, 2028. AB32 does not apply to facilities leased from private, for-profit entities, such as our California City Correctional Ce</w:t>
      </w:r>
      <w:r>
        <w:rPr>
          <w:sz w:val="20"/>
          <w:szCs w:val="20"/>
        </w:rPr>
        <w:t>nter. The U.S. Government and The GEO Group, Inc. both filed lawsuits against the state of California challenging the enforceability of AB32 under applicable law. On September 26, 2022, the Ninth Circuit Court of Appeals, or the Appeals Court, ruled that A</w:t>
      </w:r>
      <w:r>
        <w:rPr>
          <w:sz w:val="20"/>
          <w:szCs w:val="20"/>
        </w:rPr>
        <w:t>B32 violates the Supremacy Clause of the U.S. Constitution, which generally prohibits states from interfering with the enforcement of federal laws and the federal government's exercise of its constitutional powers. Accordingly, the Appeals Court remanded t</w:t>
      </w:r>
      <w:r>
        <w:rPr>
          <w:sz w:val="20"/>
          <w:szCs w:val="20"/>
        </w:rPr>
        <w:t>he case to the United States District Court for the Southern District of California for proceedings consistent with this ruling. Our contract with ICE to operate the 1,994-bed Otay Mesa Detention Center is currently scheduled to expire in December 2024, bu</w:t>
      </w:r>
      <w:r>
        <w:rPr>
          <w:sz w:val="20"/>
          <w:szCs w:val="20"/>
        </w:rPr>
        <w:t>t may be extended by ICE pursuant to the first of its two 5-year renewal options</w:t>
      </w:r>
      <w:r>
        <w:rPr>
          <w:sz w:val="20"/>
          <w:szCs w:val="20"/>
        </w:rPr>
        <w:t>.</w:t>
      </w:r>
    </w:p>
    <w:p w14:paraId="1430823D" w14:textId="77777777" w:rsidR="00000000" w:rsidRDefault="003A1B5D">
      <w:pPr>
        <w:pStyle w:val="a3"/>
        <w:spacing w:before="240" w:beforeAutospacing="0" w:after="0" w:afterAutospacing="0"/>
        <w:jc w:val="center"/>
        <w:rPr>
          <w:sz w:val="20"/>
          <w:szCs w:val="20"/>
        </w:rPr>
      </w:pPr>
      <w:r>
        <w:rPr>
          <w:sz w:val="20"/>
          <w:szCs w:val="20"/>
        </w:rPr>
        <w:t>3</w:t>
      </w:r>
      <w:r>
        <w:rPr>
          <w:sz w:val="20"/>
          <w:szCs w:val="20"/>
        </w:rPr>
        <w:t>2</w:t>
      </w:r>
    </w:p>
    <w:p w14:paraId="240129FD" w14:textId="77777777" w:rsidR="00000000" w:rsidRDefault="003A1B5D">
      <w:pPr>
        <w:rPr>
          <w:rFonts w:eastAsia="Times New Roman"/>
        </w:rPr>
      </w:pPr>
      <w:r>
        <w:rPr>
          <w:rFonts w:eastAsia="Times New Roman"/>
        </w:rPr>
        <w:pict w14:anchorId="0647A698">
          <v:rect id="_x0000_i1058" style="width:0;height:1.5pt" o:hralign="center" o:hrstd="t" o:hr="t" fillcolor="#a0a0a0" stroked="f"/>
        </w:pict>
      </w:r>
    </w:p>
    <w:p w14:paraId="5BB4A1DB" w14:textId="77777777" w:rsidR="00000000" w:rsidRDefault="003A1B5D">
      <w:pPr>
        <w:pStyle w:val="a3"/>
        <w:spacing w:before="0" w:beforeAutospacing="0" w:after="0" w:afterAutospacing="0"/>
        <w:rPr>
          <w:sz w:val="20"/>
          <w:szCs w:val="20"/>
        </w:rPr>
      </w:pPr>
      <w:r>
        <w:rPr>
          <w:sz w:val="20"/>
          <w:szCs w:val="20"/>
        </w:rPr>
        <w:t> </w:t>
      </w:r>
    </w:p>
    <w:p w14:paraId="3BB22B52" w14:textId="77777777" w:rsidR="00000000" w:rsidRDefault="003A1B5D">
      <w:pPr>
        <w:pStyle w:val="a3"/>
        <w:spacing w:before="360" w:beforeAutospacing="0" w:after="0" w:afterAutospacing="0"/>
        <w:jc w:val="both"/>
        <w:rPr>
          <w:sz w:val="20"/>
          <w:szCs w:val="20"/>
        </w:rPr>
      </w:pPr>
      <w:r>
        <w:rPr>
          <w:i/>
          <w:iCs/>
          <w:sz w:val="20"/>
          <w:szCs w:val="20"/>
        </w:rPr>
        <w:t>CoreCivic Communit</w:t>
      </w:r>
      <w:r>
        <w:rPr>
          <w:i/>
          <w:iCs/>
          <w:sz w:val="20"/>
          <w:szCs w:val="20"/>
        </w:rPr>
        <w:t>y</w:t>
      </w:r>
      <w:r>
        <w:rPr>
          <w:i/>
          <w:iCs/>
          <w:sz w:val="20"/>
          <w:szCs w:val="20"/>
        </w:rPr>
        <w:t xml:space="preserve"> </w:t>
      </w:r>
    </w:p>
    <w:p w14:paraId="3D34BDAF" w14:textId="77777777" w:rsidR="00000000" w:rsidRDefault="003A1B5D">
      <w:pPr>
        <w:pStyle w:val="a3"/>
        <w:spacing w:before="120" w:beforeAutospacing="0" w:after="0" w:afterAutospacing="0"/>
        <w:jc w:val="both"/>
        <w:rPr>
          <w:sz w:val="20"/>
          <w:szCs w:val="20"/>
        </w:rPr>
      </w:pPr>
      <w:r>
        <w:rPr>
          <w:sz w:val="20"/>
          <w:szCs w:val="20"/>
        </w:rPr>
        <w:t>CoreCivic Community includes the operating results of the residential reentry centers that we operated during e</w:t>
      </w:r>
      <w:r>
        <w:rPr>
          <w:sz w:val="20"/>
          <w:szCs w:val="20"/>
        </w:rPr>
        <w:t>ach period, along with the operating results of our electronic monitoring and case management services. Total revenue generated by CoreCivic Community increased $0.8 million, or 3.3%, from $25.5 million during the three months ended September 30, 2021 to $</w:t>
      </w:r>
      <w:r>
        <w:rPr>
          <w:sz w:val="20"/>
          <w:szCs w:val="20"/>
        </w:rPr>
        <w:t>26.4 million during the three months ended September 30, 2022, and increased $2.1 million, or 2.9%, from $74.1 million during the nine months ended September 30, 2021 to $76.3 million during the nine months ended September 30, 2022. CoreCivic Community's f</w:t>
      </w:r>
      <w:r>
        <w:rPr>
          <w:sz w:val="20"/>
          <w:szCs w:val="20"/>
        </w:rPr>
        <w:t>acility net operating income decreased $0.8 million, or 14.7%, from $5.1 million during the three months ended September 30, 2021 to $4.4 million during the three months ended September 30, 2022, and increased $0.2 million, or 1.3%, from $12.6 million duri</w:t>
      </w:r>
      <w:r>
        <w:rPr>
          <w:sz w:val="20"/>
          <w:szCs w:val="20"/>
        </w:rPr>
        <w:t>ng the nine months ended September 30, 2021 to $12.7 million during the nine months ended September 30, 2022. During the three and nine months ended September 30, 2022, CoreCivic Community generated 4.4% and 4.0%, respectively, of our total segment net ope</w:t>
      </w:r>
      <w:r>
        <w:rPr>
          <w:sz w:val="20"/>
          <w:szCs w:val="20"/>
        </w:rPr>
        <w:t>rating income, compared with 3.8% and 3.2% during the three and nine months ended September 30, 2021, respectively</w:t>
      </w:r>
      <w:r>
        <w:rPr>
          <w:sz w:val="20"/>
          <w:szCs w:val="20"/>
        </w:rPr>
        <w:t>.</w:t>
      </w:r>
      <w:r>
        <w:rPr>
          <w:sz w:val="20"/>
          <w:szCs w:val="20"/>
        </w:rPr>
        <w:t xml:space="preserve"> </w:t>
      </w:r>
    </w:p>
    <w:p w14:paraId="2B5DB4B2" w14:textId="77777777" w:rsidR="00000000" w:rsidRDefault="003A1B5D">
      <w:pPr>
        <w:pStyle w:val="a3"/>
        <w:spacing w:before="240" w:beforeAutospacing="0" w:after="0" w:afterAutospacing="0"/>
        <w:jc w:val="both"/>
        <w:rPr>
          <w:sz w:val="20"/>
          <w:szCs w:val="20"/>
        </w:rPr>
      </w:pPr>
      <w:r>
        <w:rPr>
          <w:sz w:val="20"/>
          <w:szCs w:val="20"/>
        </w:rPr>
        <w:t>The following table displays the revenue and expenses per compensated man-day for CoreCivic Community's residential reentry facilities plac</w:t>
      </w:r>
      <w:r>
        <w:rPr>
          <w:sz w:val="20"/>
          <w:szCs w:val="20"/>
        </w:rPr>
        <w:t>ed into service that we own and manage, but exclusive of the electronic monitoring and case management services given that revenue is not generated on a per compensated man-day basis for these services</w:t>
      </w:r>
      <w:r>
        <w:rPr>
          <w:sz w:val="20"/>
          <w:szCs w:val="20"/>
        </w:rPr>
        <w:t>:</w:t>
      </w:r>
    </w:p>
    <w:p w14:paraId="44E9ED80" w14:textId="77777777" w:rsidR="00000000" w:rsidRDefault="003A1B5D">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66"/>
        <w:gridCol w:w="110"/>
        <w:gridCol w:w="160"/>
        <w:gridCol w:w="510"/>
        <w:gridCol w:w="260"/>
        <w:gridCol w:w="110"/>
        <w:gridCol w:w="160"/>
        <w:gridCol w:w="510"/>
        <w:gridCol w:w="227"/>
        <w:gridCol w:w="110"/>
        <w:gridCol w:w="160"/>
        <w:gridCol w:w="510"/>
        <w:gridCol w:w="260"/>
        <w:gridCol w:w="110"/>
        <w:gridCol w:w="160"/>
        <w:gridCol w:w="510"/>
        <w:gridCol w:w="242"/>
      </w:tblGrid>
      <w:tr w:rsidR="00000000" w14:paraId="2C455C77" w14:textId="77777777">
        <w:trPr>
          <w:tblCellSpacing w:w="15" w:type="dxa"/>
        </w:trPr>
        <w:tc>
          <w:tcPr>
            <w:tcW w:w="2472" w:type="pct"/>
            <w:vAlign w:val="center"/>
            <w:hideMark/>
          </w:tcPr>
          <w:p w14:paraId="5D49235C" w14:textId="77777777" w:rsidR="00000000" w:rsidRDefault="003A1B5D">
            <w:pPr>
              <w:rPr>
                <w:sz w:val="20"/>
                <w:szCs w:val="20"/>
              </w:rPr>
            </w:pPr>
          </w:p>
        </w:tc>
        <w:tc>
          <w:tcPr>
            <w:tcW w:w="59" w:type="pct"/>
            <w:vAlign w:val="center"/>
            <w:hideMark/>
          </w:tcPr>
          <w:p w14:paraId="59DE74C9" w14:textId="77777777" w:rsidR="00000000" w:rsidRDefault="003A1B5D">
            <w:pPr>
              <w:rPr>
                <w:rFonts w:eastAsia="Times New Roman"/>
                <w:sz w:val="20"/>
                <w:szCs w:val="20"/>
              </w:rPr>
            </w:pPr>
          </w:p>
        </w:tc>
        <w:tc>
          <w:tcPr>
            <w:tcW w:w="50" w:type="pct"/>
            <w:vAlign w:val="center"/>
            <w:hideMark/>
          </w:tcPr>
          <w:p w14:paraId="4633203B" w14:textId="77777777" w:rsidR="00000000" w:rsidRDefault="003A1B5D">
            <w:pPr>
              <w:rPr>
                <w:rFonts w:eastAsia="Times New Roman"/>
                <w:sz w:val="20"/>
                <w:szCs w:val="20"/>
              </w:rPr>
            </w:pPr>
          </w:p>
        </w:tc>
        <w:tc>
          <w:tcPr>
            <w:tcW w:w="468" w:type="pct"/>
            <w:vAlign w:val="center"/>
            <w:hideMark/>
          </w:tcPr>
          <w:p w14:paraId="32684FC6" w14:textId="77777777" w:rsidR="00000000" w:rsidRDefault="003A1B5D">
            <w:pPr>
              <w:rPr>
                <w:rFonts w:eastAsia="Times New Roman"/>
                <w:sz w:val="20"/>
                <w:szCs w:val="20"/>
              </w:rPr>
            </w:pPr>
          </w:p>
        </w:tc>
        <w:tc>
          <w:tcPr>
            <w:tcW w:w="50" w:type="pct"/>
            <w:vAlign w:val="center"/>
            <w:hideMark/>
          </w:tcPr>
          <w:p w14:paraId="66C93EB0" w14:textId="77777777" w:rsidR="00000000" w:rsidRDefault="003A1B5D">
            <w:pPr>
              <w:rPr>
                <w:rFonts w:eastAsia="Times New Roman"/>
                <w:sz w:val="20"/>
                <w:szCs w:val="20"/>
              </w:rPr>
            </w:pPr>
          </w:p>
        </w:tc>
        <w:tc>
          <w:tcPr>
            <w:tcW w:w="59" w:type="pct"/>
            <w:vAlign w:val="center"/>
            <w:hideMark/>
          </w:tcPr>
          <w:p w14:paraId="5176C505" w14:textId="77777777" w:rsidR="00000000" w:rsidRDefault="003A1B5D">
            <w:pPr>
              <w:rPr>
                <w:rFonts w:eastAsia="Times New Roman"/>
                <w:sz w:val="20"/>
                <w:szCs w:val="20"/>
              </w:rPr>
            </w:pPr>
          </w:p>
        </w:tc>
        <w:tc>
          <w:tcPr>
            <w:tcW w:w="50" w:type="pct"/>
            <w:vAlign w:val="center"/>
            <w:hideMark/>
          </w:tcPr>
          <w:p w14:paraId="54713DE9" w14:textId="77777777" w:rsidR="00000000" w:rsidRDefault="003A1B5D">
            <w:pPr>
              <w:rPr>
                <w:rFonts w:eastAsia="Times New Roman"/>
                <w:sz w:val="20"/>
                <w:szCs w:val="20"/>
              </w:rPr>
            </w:pPr>
          </w:p>
        </w:tc>
        <w:tc>
          <w:tcPr>
            <w:tcW w:w="475" w:type="pct"/>
            <w:vAlign w:val="center"/>
            <w:hideMark/>
          </w:tcPr>
          <w:p w14:paraId="1760FF78" w14:textId="77777777" w:rsidR="00000000" w:rsidRDefault="003A1B5D">
            <w:pPr>
              <w:rPr>
                <w:rFonts w:eastAsia="Times New Roman"/>
                <w:sz w:val="20"/>
                <w:szCs w:val="20"/>
              </w:rPr>
            </w:pPr>
          </w:p>
        </w:tc>
        <w:tc>
          <w:tcPr>
            <w:tcW w:w="50" w:type="pct"/>
            <w:vAlign w:val="center"/>
            <w:hideMark/>
          </w:tcPr>
          <w:p w14:paraId="7F3560AD" w14:textId="77777777" w:rsidR="00000000" w:rsidRDefault="003A1B5D">
            <w:pPr>
              <w:rPr>
                <w:rFonts w:eastAsia="Times New Roman"/>
                <w:sz w:val="20"/>
                <w:szCs w:val="20"/>
              </w:rPr>
            </w:pPr>
          </w:p>
        </w:tc>
        <w:tc>
          <w:tcPr>
            <w:tcW w:w="59" w:type="pct"/>
            <w:vAlign w:val="center"/>
            <w:hideMark/>
          </w:tcPr>
          <w:p w14:paraId="3DCAD4FE" w14:textId="77777777" w:rsidR="00000000" w:rsidRDefault="003A1B5D">
            <w:pPr>
              <w:rPr>
                <w:rFonts w:eastAsia="Times New Roman"/>
                <w:sz w:val="20"/>
                <w:szCs w:val="20"/>
              </w:rPr>
            </w:pPr>
          </w:p>
        </w:tc>
        <w:tc>
          <w:tcPr>
            <w:tcW w:w="50" w:type="pct"/>
            <w:vAlign w:val="center"/>
            <w:hideMark/>
          </w:tcPr>
          <w:p w14:paraId="2959EFC3" w14:textId="77777777" w:rsidR="00000000" w:rsidRDefault="003A1B5D">
            <w:pPr>
              <w:rPr>
                <w:rFonts w:eastAsia="Times New Roman"/>
                <w:sz w:val="20"/>
                <w:szCs w:val="20"/>
              </w:rPr>
            </w:pPr>
          </w:p>
        </w:tc>
        <w:tc>
          <w:tcPr>
            <w:tcW w:w="468" w:type="pct"/>
            <w:vAlign w:val="center"/>
            <w:hideMark/>
          </w:tcPr>
          <w:p w14:paraId="7A4FDD5C" w14:textId="77777777" w:rsidR="00000000" w:rsidRDefault="003A1B5D">
            <w:pPr>
              <w:rPr>
                <w:rFonts w:eastAsia="Times New Roman"/>
                <w:sz w:val="20"/>
                <w:szCs w:val="20"/>
              </w:rPr>
            </w:pPr>
          </w:p>
        </w:tc>
        <w:tc>
          <w:tcPr>
            <w:tcW w:w="50" w:type="pct"/>
            <w:vAlign w:val="center"/>
            <w:hideMark/>
          </w:tcPr>
          <w:p w14:paraId="64EC043C" w14:textId="77777777" w:rsidR="00000000" w:rsidRDefault="003A1B5D">
            <w:pPr>
              <w:rPr>
                <w:rFonts w:eastAsia="Times New Roman"/>
                <w:sz w:val="20"/>
                <w:szCs w:val="20"/>
              </w:rPr>
            </w:pPr>
          </w:p>
        </w:tc>
        <w:tc>
          <w:tcPr>
            <w:tcW w:w="59" w:type="pct"/>
            <w:vAlign w:val="center"/>
            <w:hideMark/>
          </w:tcPr>
          <w:p w14:paraId="4D6B6EB4" w14:textId="77777777" w:rsidR="00000000" w:rsidRDefault="003A1B5D">
            <w:pPr>
              <w:rPr>
                <w:rFonts w:eastAsia="Times New Roman"/>
                <w:sz w:val="20"/>
                <w:szCs w:val="20"/>
              </w:rPr>
            </w:pPr>
          </w:p>
        </w:tc>
        <w:tc>
          <w:tcPr>
            <w:tcW w:w="50" w:type="pct"/>
            <w:vAlign w:val="center"/>
            <w:hideMark/>
          </w:tcPr>
          <w:p w14:paraId="2D82C15D" w14:textId="77777777" w:rsidR="00000000" w:rsidRDefault="003A1B5D">
            <w:pPr>
              <w:rPr>
                <w:rFonts w:eastAsia="Times New Roman"/>
                <w:sz w:val="20"/>
                <w:szCs w:val="20"/>
              </w:rPr>
            </w:pPr>
          </w:p>
        </w:tc>
        <w:tc>
          <w:tcPr>
            <w:tcW w:w="475" w:type="pct"/>
            <w:vAlign w:val="center"/>
            <w:hideMark/>
          </w:tcPr>
          <w:p w14:paraId="0C40DBB0" w14:textId="77777777" w:rsidR="00000000" w:rsidRDefault="003A1B5D">
            <w:pPr>
              <w:rPr>
                <w:rFonts w:eastAsia="Times New Roman"/>
                <w:sz w:val="20"/>
                <w:szCs w:val="20"/>
              </w:rPr>
            </w:pPr>
          </w:p>
        </w:tc>
        <w:tc>
          <w:tcPr>
            <w:tcW w:w="50" w:type="pct"/>
            <w:vAlign w:val="center"/>
            <w:hideMark/>
          </w:tcPr>
          <w:p w14:paraId="2F38ACAE" w14:textId="77777777" w:rsidR="00000000" w:rsidRDefault="003A1B5D">
            <w:pPr>
              <w:rPr>
                <w:rFonts w:eastAsia="Times New Roman"/>
                <w:sz w:val="20"/>
                <w:szCs w:val="20"/>
              </w:rPr>
            </w:pPr>
          </w:p>
        </w:tc>
      </w:tr>
      <w:tr w:rsidR="00000000" w14:paraId="3A4F0237" w14:textId="77777777">
        <w:trPr>
          <w:trHeight w:val="160"/>
          <w:tblCellSpacing w:w="15" w:type="dxa"/>
        </w:trPr>
        <w:tc>
          <w:tcPr>
            <w:tcW w:w="0" w:type="auto"/>
            <w:vAlign w:val="bottom"/>
            <w:hideMark/>
          </w:tcPr>
          <w:p w14:paraId="7BF8FF1E"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1A602374" w14:textId="77777777" w:rsidR="00000000" w:rsidRDefault="003A1B5D">
            <w:pPr>
              <w:pStyle w:val="a3"/>
              <w:spacing w:before="0" w:beforeAutospacing="0" w:after="0" w:afterAutospacing="0"/>
              <w:rPr>
                <w:sz w:val="16"/>
                <w:szCs w:val="16"/>
              </w:rPr>
            </w:pPr>
            <w:r>
              <w:rPr>
                <w:sz w:val="16"/>
                <w:szCs w:val="16"/>
              </w:rPr>
              <w:t> </w:t>
            </w:r>
          </w:p>
        </w:tc>
        <w:tc>
          <w:tcPr>
            <w:tcW w:w="0" w:type="auto"/>
            <w:gridSpan w:val="6"/>
            <w:vAlign w:val="bottom"/>
            <w:hideMark/>
          </w:tcPr>
          <w:p w14:paraId="753CCEDC" w14:textId="77777777" w:rsidR="00000000" w:rsidRDefault="003A1B5D">
            <w:pPr>
              <w:pStyle w:val="a3"/>
              <w:spacing w:before="0" w:beforeAutospacing="0" w:after="0" w:afterAutospacing="0"/>
              <w:jc w:val="center"/>
              <w:rPr>
                <w:sz w:val="16"/>
                <w:szCs w:val="16"/>
              </w:rPr>
            </w:pPr>
            <w:r>
              <w:rPr>
                <w:b/>
                <w:bCs/>
                <w:sz w:val="16"/>
                <w:szCs w:val="16"/>
              </w:rPr>
              <w:t xml:space="preserve">For the Three Months Ended </w:t>
            </w:r>
            <w:r>
              <w:rPr>
                <w:b/>
                <w:bCs/>
                <w:sz w:val="16"/>
                <w:szCs w:val="16"/>
              </w:rPr>
              <w:br/>
              <w:t>September 30</w:t>
            </w:r>
            <w:r>
              <w:rPr>
                <w:b/>
                <w:bCs/>
                <w:sz w:val="16"/>
                <w:szCs w:val="16"/>
              </w:rPr>
              <w:t>,</w:t>
            </w:r>
          </w:p>
        </w:tc>
        <w:tc>
          <w:tcPr>
            <w:tcW w:w="0" w:type="auto"/>
            <w:vAlign w:val="bottom"/>
            <w:hideMark/>
          </w:tcPr>
          <w:p w14:paraId="38D8D731"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71C443A5" w14:textId="77777777" w:rsidR="00000000" w:rsidRDefault="003A1B5D">
            <w:pPr>
              <w:pStyle w:val="a3"/>
              <w:spacing w:before="0" w:beforeAutospacing="0" w:after="0" w:afterAutospacing="0"/>
              <w:rPr>
                <w:sz w:val="16"/>
                <w:szCs w:val="16"/>
              </w:rPr>
            </w:pPr>
            <w:r>
              <w:rPr>
                <w:sz w:val="16"/>
                <w:szCs w:val="16"/>
              </w:rPr>
              <w:t> </w:t>
            </w:r>
          </w:p>
        </w:tc>
        <w:tc>
          <w:tcPr>
            <w:tcW w:w="0" w:type="auto"/>
            <w:gridSpan w:val="6"/>
            <w:vAlign w:val="bottom"/>
            <w:hideMark/>
          </w:tcPr>
          <w:p w14:paraId="116410C6" w14:textId="77777777" w:rsidR="00000000" w:rsidRDefault="003A1B5D">
            <w:pPr>
              <w:pStyle w:val="a3"/>
              <w:spacing w:before="0" w:beforeAutospacing="0" w:after="0" w:afterAutospacing="0"/>
              <w:jc w:val="center"/>
              <w:rPr>
                <w:sz w:val="16"/>
                <w:szCs w:val="16"/>
              </w:rPr>
            </w:pPr>
            <w:r>
              <w:rPr>
                <w:b/>
                <w:bCs/>
                <w:sz w:val="16"/>
                <w:szCs w:val="16"/>
              </w:rPr>
              <w:t xml:space="preserve">For the Nine Months Ended </w:t>
            </w:r>
            <w:r>
              <w:rPr>
                <w:b/>
                <w:bCs/>
                <w:sz w:val="16"/>
                <w:szCs w:val="16"/>
              </w:rPr>
              <w:br/>
              <w:t>September 30</w:t>
            </w:r>
            <w:r>
              <w:rPr>
                <w:b/>
                <w:bCs/>
                <w:sz w:val="16"/>
                <w:szCs w:val="16"/>
              </w:rPr>
              <w:t>,</w:t>
            </w:r>
          </w:p>
        </w:tc>
        <w:tc>
          <w:tcPr>
            <w:tcW w:w="0" w:type="auto"/>
            <w:vAlign w:val="bottom"/>
            <w:hideMark/>
          </w:tcPr>
          <w:p w14:paraId="46E42AE9"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294911CC" w14:textId="77777777">
        <w:trPr>
          <w:trHeight w:val="160"/>
          <w:tblCellSpacing w:w="15" w:type="dxa"/>
        </w:trPr>
        <w:tc>
          <w:tcPr>
            <w:tcW w:w="0" w:type="auto"/>
            <w:vAlign w:val="bottom"/>
            <w:hideMark/>
          </w:tcPr>
          <w:p w14:paraId="0414BC18"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2A809C78"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22FF6077"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A2489E6"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26CB2023"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599CA18D"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68EE78F5"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1FA34DEF"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56F19820"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0D65D659"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16DCDC31"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31F7FEB2"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11F2C3AA"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502DE7A4" w14:textId="77777777">
        <w:trPr>
          <w:trHeight w:val="200"/>
          <w:tblCellSpacing w:w="15" w:type="dxa"/>
        </w:trPr>
        <w:tc>
          <w:tcPr>
            <w:tcW w:w="0" w:type="auto"/>
            <w:hideMark/>
          </w:tcPr>
          <w:p w14:paraId="733C8C0F" w14:textId="77777777" w:rsidR="00000000" w:rsidRDefault="003A1B5D">
            <w:pPr>
              <w:pStyle w:val="a3"/>
              <w:spacing w:before="0" w:beforeAutospacing="0" w:after="0" w:afterAutospacing="0"/>
              <w:rPr>
                <w:sz w:val="20"/>
                <w:szCs w:val="20"/>
              </w:rPr>
            </w:pPr>
            <w:r>
              <w:rPr>
                <w:b/>
                <w:bCs/>
                <w:sz w:val="20"/>
                <w:szCs w:val="20"/>
              </w:rPr>
              <w:t>CoreCivic Community Facilities</w:t>
            </w:r>
            <w:r>
              <w:rPr>
                <w:b/>
                <w:bCs/>
                <w:sz w:val="20"/>
                <w:szCs w:val="20"/>
              </w:rPr>
              <w:t>:</w:t>
            </w:r>
          </w:p>
        </w:tc>
        <w:tc>
          <w:tcPr>
            <w:tcW w:w="0" w:type="auto"/>
            <w:vAlign w:val="bottom"/>
            <w:hideMark/>
          </w:tcPr>
          <w:p w14:paraId="74D60A31"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5251E59F"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AE2ED4A"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EB5F245"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051C185D"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1DF4C5A"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0E80E4C0"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01D45B3E"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4ABD038F"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503E5AF8"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0334BAA8"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18E97B5A" w14:textId="77777777" w:rsidR="00000000" w:rsidRDefault="003A1B5D">
            <w:pPr>
              <w:pStyle w:val="a3"/>
              <w:spacing w:before="0" w:beforeAutospacing="0" w:after="0" w:afterAutospacing="0"/>
              <w:jc w:val="right"/>
              <w:rPr>
                <w:sz w:val="20"/>
                <w:szCs w:val="20"/>
              </w:rPr>
            </w:pPr>
            <w:r>
              <w:rPr>
                <w:sz w:val="20"/>
                <w:szCs w:val="20"/>
              </w:rPr>
              <w:t> </w:t>
            </w:r>
          </w:p>
        </w:tc>
      </w:tr>
      <w:tr w:rsidR="00000000" w14:paraId="7EE36717" w14:textId="77777777">
        <w:trPr>
          <w:trHeight w:val="200"/>
          <w:tblCellSpacing w:w="15" w:type="dxa"/>
        </w:trPr>
        <w:tc>
          <w:tcPr>
            <w:tcW w:w="0" w:type="auto"/>
            <w:hideMark/>
          </w:tcPr>
          <w:p w14:paraId="0C1C550D" w14:textId="77777777" w:rsidR="00000000" w:rsidRDefault="003A1B5D">
            <w:pPr>
              <w:pStyle w:val="a3"/>
              <w:spacing w:before="0" w:beforeAutospacing="0" w:after="0" w:afterAutospacing="0"/>
              <w:rPr>
                <w:sz w:val="20"/>
                <w:szCs w:val="20"/>
              </w:rPr>
            </w:pPr>
            <w:r>
              <w:rPr>
                <w:sz w:val="20"/>
                <w:szCs w:val="20"/>
              </w:rPr>
              <w:t>Revenue per compensated man-da</w:t>
            </w:r>
            <w:r>
              <w:rPr>
                <w:sz w:val="20"/>
                <w:szCs w:val="20"/>
              </w:rPr>
              <w:t>y</w:t>
            </w:r>
          </w:p>
        </w:tc>
        <w:tc>
          <w:tcPr>
            <w:tcW w:w="0" w:type="auto"/>
            <w:vAlign w:val="bottom"/>
            <w:hideMark/>
          </w:tcPr>
          <w:p w14:paraId="35F7785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1D15ACE"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07957492" w14:textId="77777777" w:rsidR="00000000" w:rsidRDefault="003A1B5D">
            <w:pPr>
              <w:pStyle w:val="a3"/>
              <w:spacing w:before="0" w:beforeAutospacing="0" w:after="0" w:afterAutospacing="0"/>
              <w:jc w:val="right"/>
              <w:rPr>
                <w:sz w:val="20"/>
                <w:szCs w:val="20"/>
              </w:rPr>
            </w:pPr>
            <w:r>
              <w:rPr>
                <w:b/>
                <w:bCs/>
                <w:sz w:val="20"/>
                <w:szCs w:val="20"/>
              </w:rPr>
              <w:t>66.6</w:t>
            </w:r>
            <w:r>
              <w:rPr>
                <w:b/>
                <w:bCs/>
                <w:sz w:val="20"/>
                <w:szCs w:val="20"/>
              </w:rPr>
              <w:t>2</w:t>
            </w:r>
          </w:p>
        </w:tc>
        <w:tc>
          <w:tcPr>
            <w:tcW w:w="0" w:type="auto"/>
            <w:noWrap/>
            <w:vAlign w:val="bottom"/>
            <w:hideMark/>
          </w:tcPr>
          <w:p w14:paraId="0BA5AF8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E4B812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1A63DA2"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41975DEC" w14:textId="77777777" w:rsidR="00000000" w:rsidRDefault="003A1B5D">
            <w:pPr>
              <w:pStyle w:val="a3"/>
              <w:spacing w:before="0" w:beforeAutospacing="0" w:after="0" w:afterAutospacing="0"/>
              <w:jc w:val="right"/>
              <w:rPr>
                <w:sz w:val="20"/>
                <w:szCs w:val="20"/>
              </w:rPr>
            </w:pPr>
            <w:r>
              <w:rPr>
                <w:sz w:val="20"/>
                <w:szCs w:val="20"/>
              </w:rPr>
              <w:t>63.3</w:t>
            </w:r>
            <w:r>
              <w:rPr>
                <w:sz w:val="20"/>
                <w:szCs w:val="20"/>
              </w:rPr>
              <w:t>5</w:t>
            </w:r>
          </w:p>
        </w:tc>
        <w:tc>
          <w:tcPr>
            <w:tcW w:w="0" w:type="auto"/>
            <w:noWrap/>
            <w:vAlign w:val="bottom"/>
            <w:hideMark/>
          </w:tcPr>
          <w:p w14:paraId="66FAFA0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557C45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3138ACE"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2FC0D4D5" w14:textId="77777777" w:rsidR="00000000" w:rsidRDefault="003A1B5D">
            <w:pPr>
              <w:pStyle w:val="a3"/>
              <w:spacing w:before="0" w:beforeAutospacing="0" w:after="0" w:afterAutospacing="0"/>
              <w:jc w:val="right"/>
              <w:rPr>
                <w:sz w:val="20"/>
                <w:szCs w:val="20"/>
              </w:rPr>
            </w:pPr>
            <w:r>
              <w:rPr>
                <w:b/>
                <w:bCs/>
                <w:sz w:val="20"/>
                <w:szCs w:val="20"/>
              </w:rPr>
              <w:t>64.8</w:t>
            </w:r>
            <w:r>
              <w:rPr>
                <w:b/>
                <w:bCs/>
                <w:sz w:val="20"/>
                <w:szCs w:val="20"/>
              </w:rPr>
              <w:t>3</w:t>
            </w:r>
          </w:p>
        </w:tc>
        <w:tc>
          <w:tcPr>
            <w:tcW w:w="0" w:type="auto"/>
            <w:noWrap/>
            <w:vAlign w:val="bottom"/>
            <w:hideMark/>
          </w:tcPr>
          <w:p w14:paraId="13B1BA9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450B43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71F392A"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13E0D228" w14:textId="77777777" w:rsidR="00000000" w:rsidRDefault="003A1B5D">
            <w:pPr>
              <w:pStyle w:val="a3"/>
              <w:spacing w:before="0" w:beforeAutospacing="0" w:after="0" w:afterAutospacing="0"/>
              <w:jc w:val="right"/>
              <w:rPr>
                <w:sz w:val="20"/>
                <w:szCs w:val="20"/>
              </w:rPr>
            </w:pPr>
            <w:r>
              <w:rPr>
                <w:sz w:val="20"/>
                <w:szCs w:val="20"/>
              </w:rPr>
              <w:t>63.0</w:t>
            </w:r>
            <w:r>
              <w:rPr>
                <w:sz w:val="20"/>
                <w:szCs w:val="20"/>
              </w:rPr>
              <w:t>7</w:t>
            </w:r>
          </w:p>
        </w:tc>
        <w:tc>
          <w:tcPr>
            <w:tcW w:w="0" w:type="auto"/>
            <w:noWrap/>
            <w:vAlign w:val="bottom"/>
            <w:hideMark/>
          </w:tcPr>
          <w:p w14:paraId="32EB1077" w14:textId="77777777" w:rsidR="00000000" w:rsidRDefault="003A1B5D">
            <w:pPr>
              <w:pStyle w:val="a3"/>
              <w:spacing w:before="0" w:beforeAutospacing="0" w:after="0" w:afterAutospacing="0"/>
              <w:rPr>
                <w:sz w:val="20"/>
                <w:szCs w:val="20"/>
              </w:rPr>
            </w:pPr>
            <w:r>
              <w:rPr>
                <w:sz w:val="20"/>
                <w:szCs w:val="20"/>
              </w:rPr>
              <w:t> </w:t>
            </w:r>
          </w:p>
        </w:tc>
      </w:tr>
      <w:tr w:rsidR="00000000" w14:paraId="6352E152" w14:textId="77777777">
        <w:trPr>
          <w:trHeight w:val="200"/>
          <w:tblCellSpacing w:w="15" w:type="dxa"/>
        </w:trPr>
        <w:tc>
          <w:tcPr>
            <w:tcW w:w="0" w:type="auto"/>
            <w:hideMark/>
          </w:tcPr>
          <w:p w14:paraId="74F6D098" w14:textId="77777777" w:rsidR="00000000" w:rsidRDefault="003A1B5D">
            <w:pPr>
              <w:pStyle w:val="a3"/>
              <w:spacing w:before="0" w:beforeAutospacing="0" w:after="0" w:afterAutospacing="0"/>
              <w:rPr>
                <w:sz w:val="20"/>
                <w:szCs w:val="20"/>
              </w:rPr>
            </w:pPr>
            <w:r>
              <w:rPr>
                <w:sz w:val="20"/>
                <w:szCs w:val="20"/>
              </w:rPr>
              <w:t>Operating expenses per compensated man-day</w:t>
            </w:r>
            <w:r>
              <w:rPr>
                <w:sz w:val="20"/>
                <w:szCs w:val="20"/>
              </w:rPr>
              <w:t>:</w:t>
            </w:r>
          </w:p>
        </w:tc>
        <w:tc>
          <w:tcPr>
            <w:tcW w:w="0" w:type="auto"/>
            <w:vAlign w:val="bottom"/>
            <w:hideMark/>
          </w:tcPr>
          <w:p w14:paraId="3BAD3F25"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005C45E3"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6EF1C7F7"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4C9138E8"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7A40ECFA"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7D024B7"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771D378D"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36E90978"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251D1424"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679A70DB"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2AE88236" w14:textId="77777777" w:rsidR="00000000" w:rsidRDefault="003A1B5D">
            <w:pPr>
              <w:pStyle w:val="a3"/>
              <w:spacing w:before="0" w:beforeAutospacing="0" w:after="0" w:afterAutospacing="0"/>
              <w:jc w:val="right"/>
              <w:rPr>
                <w:sz w:val="20"/>
                <w:szCs w:val="20"/>
              </w:rPr>
            </w:pPr>
            <w:r>
              <w:rPr>
                <w:sz w:val="20"/>
                <w:szCs w:val="20"/>
              </w:rPr>
              <w:t> </w:t>
            </w:r>
          </w:p>
        </w:tc>
        <w:tc>
          <w:tcPr>
            <w:tcW w:w="0" w:type="auto"/>
            <w:vAlign w:val="bottom"/>
            <w:hideMark/>
          </w:tcPr>
          <w:p w14:paraId="34D826BD" w14:textId="77777777" w:rsidR="00000000" w:rsidRDefault="003A1B5D">
            <w:pPr>
              <w:pStyle w:val="a3"/>
              <w:spacing w:before="0" w:beforeAutospacing="0" w:after="0" w:afterAutospacing="0"/>
              <w:jc w:val="right"/>
              <w:rPr>
                <w:sz w:val="20"/>
                <w:szCs w:val="20"/>
              </w:rPr>
            </w:pPr>
            <w:r>
              <w:rPr>
                <w:sz w:val="20"/>
                <w:szCs w:val="20"/>
              </w:rPr>
              <w:t> </w:t>
            </w:r>
          </w:p>
        </w:tc>
      </w:tr>
      <w:tr w:rsidR="00000000" w14:paraId="0916FBB9" w14:textId="77777777">
        <w:trPr>
          <w:trHeight w:val="200"/>
          <w:tblCellSpacing w:w="15" w:type="dxa"/>
        </w:trPr>
        <w:tc>
          <w:tcPr>
            <w:tcW w:w="0" w:type="auto"/>
            <w:hideMark/>
          </w:tcPr>
          <w:p w14:paraId="7D9AFD9F" w14:textId="77777777" w:rsidR="00000000" w:rsidRDefault="003A1B5D">
            <w:pPr>
              <w:pStyle w:val="a3"/>
              <w:spacing w:before="0" w:beforeAutospacing="0" w:after="0" w:afterAutospacing="0"/>
              <w:ind w:left="200"/>
              <w:rPr>
                <w:sz w:val="20"/>
                <w:szCs w:val="20"/>
              </w:rPr>
            </w:pPr>
            <w:r>
              <w:rPr>
                <w:sz w:val="20"/>
                <w:szCs w:val="20"/>
              </w:rPr>
              <w:t>Fixed expens</w:t>
            </w:r>
            <w:r>
              <w:rPr>
                <w:sz w:val="20"/>
                <w:szCs w:val="20"/>
              </w:rPr>
              <w:t>e</w:t>
            </w:r>
          </w:p>
        </w:tc>
        <w:tc>
          <w:tcPr>
            <w:tcW w:w="0" w:type="auto"/>
            <w:vAlign w:val="bottom"/>
            <w:hideMark/>
          </w:tcPr>
          <w:p w14:paraId="3E00C01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DD6DC0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6C48515" w14:textId="77777777" w:rsidR="00000000" w:rsidRDefault="003A1B5D">
            <w:pPr>
              <w:pStyle w:val="a3"/>
              <w:spacing w:before="0" w:beforeAutospacing="0" w:after="0" w:afterAutospacing="0"/>
              <w:jc w:val="right"/>
              <w:rPr>
                <w:sz w:val="20"/>
                <w:szCs w:val="20"/>
              </w:rPr>
            </w:pPr>
            <w:r>
              <w:rPr>
                <w:b/>
                <w:bCs/>
                <w:sz w:val="20"/>
                <w:szCs w:val="20"/>
              </w:rPr>
              <w:t>39.6</w:t>
            </w:r>
            <w:r>
              <w:rPr>
                <w:b/>
                <w:bCs/>
                <w:sz w:val="20"/>
                <w:szCs w:val="20"/>
              </w:rPr>
              <w:t>6</w:t>
            </w:r>
          </w:p>
        </w:tc>
        <w:tc>
          <w:tcPr>
            <w:tcW w:w="0" w:type="auto"/>
            <w:noWrap/>
            <w:vAlign w:val="bottom"/>
            <w:hideMark/>
          </w:tcPr>
          <w:p w14:paraId="6C3276D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7059B2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D1CFB0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BD83F86" w14:textId="77777777" w:rsidR="00000000" w:rsidRDefault="003A1B5D">
            <w:pPr>
              <w:pStyle w:val="a3"/>
              <w:spacing w:before="0" w:beforeAutospacing="0" w:after="0" w:afterAutospacing="0"/>
              <w:jc w:val="right"/>
              <w:rPr>
                <w:sz w:val="20"/>
                <w:szCs w:val="20"/>
              </w:rPr>
            </w:pPr>
            <w:r>
              <w:rPr>
                <w:sz w:val="20"/>
                <w:szCs w:val="20"/>
              </w:rPr>
              <w:t>37.5</w:t>
            </w:r>
            <w:r>
              <w:rPr>
                <w:sz w:val="20"/>
                <w:szCs w:val="20"/>
              </w:rPr>
              <w:t>5</w:t>
            </w:r>
          </w:p>
        </w:tc>
        <w:tc>
          <w:tcPr>
            <w:tcW w:w="0" w:type="auto"/>
            <w:noWrap/>
            <w:vAlign w:val="bottom"/>
            <w:hideMark/>
          </w:tcPr>
          <w:p w14:paraId="7209BFA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B0B8BC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4FDCD5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7BAAB04" w14:textId="77777777" w:rsidR="00000000" w:rsidRDefault="003A1B5D">
            <w:pPr>
              <w:pStyle w:val="a3"/>
              <w:spacing w:before="0" w:beforeAutospacing="0" w:after="0" w:afterAutospacing="0"/>
              <w:jc w:val="right"/>
              <w:rPr>
                <w:sz w:val="20"/>
                <w:szCs w:val="20"/>
              </w:rPr>
            </w:pPr>
            <w:r>
              <w:rPr>
                <w:b/>
                <w:bCs/>
                <w:sz w:val="20"/>
                <w:szCs w:val="20"/>
              </w:rPr>
              <w:t>38.5</w:t>
            </w:r>
            <w:r>
              <w:rPr>
                <w:b/>
                <w:bCs/>
                <w:sz w:val="20"/>
                <w:szCs w:val="20"/>
              </w:rPr>
              <w:t>8</w:t>
            </w:r>
          </w:p>
        </w:tc>
        <w:tc>
          <w:tcPr>
            <w:tcW w:w="0" w:type="auto"/>
            <w:noWrap/>
            <w:vAlign w:val="bottom"/>
            <w:hideMark/>
          </w:tcPr>
          <w:p w14:paraId="6F3F855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2EACF4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51F39C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9F75BF0" w14:textId="77777777" w:rsidR="00000000" w:rsidRDefault="003A1B5D">
            <w:pPr>
              <w:pStyle w:val="a3"/>
              <w:spacing w:before="0" w:beforeAutospacing="0" w:after="0" w:afterAutospacing="0"/>
              <w:jc w:val="right"/>
              <w:rPr>
                <w:sz w:val="20"/>
                <w:szCs w:val="20"/>
              </w:rPr>
            </w:pPr>
            <w:r>
              <w:rPr>
                <w:sz w:val="20"/>
                <w:szCs w:val="20"/>
              </w:rPr>
              <w:t>39.5</w:t>
            </w:r>
            <w:r>
              <w:rPr>
                <w:sz w:val="20"/>
                <w:szCs w:val="20"/>
              </w:rPr>
              <w:t>3</w:t>
            </w:r>
          </w:p>
        </w:tc>
        <w:tc>
          <w:tcPr>
            <w:tcW w:w="0" w:type="auto"/>
            <w:noWrap/>
            <w:vAlign w:val="bottom"/>
            <w:hideMark/>
          </w:tcPr>
          <w:p w14:paraId="718EA9DA" w14:textId="77777777" w:rsidR="00000000" w:rsidRDefault="003A1B5D">
            <w:pPr>
              <w:pStyle w:val="a3"/>
              <w:spacing w:before="0" w:beforeAutospacing="0" w:after="0" w:afterAutospacing="0"/>
              <w:rPr>
                <w:sz w:val="20"/>
                <w:szCs w:val="20"/>
              </w:rPr>
            </w:pPr>
            <w:r>
              <w:rPr>
                <w:sz w:val="20"/>
                <w:szCs w:val="20"/>
              </w:rPr>
              <w:t> </w:t>
            </w:r>
          </w:p>
        </w:tc>
      </w:tr>
      <w:tr w:rsidR="00000000" w14:paraId="12AFDEE7" w14:textId="77777777">
        <w:trPr>
          <w:trHeight w:val="200"/>
          <w:tblCellSpacing w:w="15" w:type="dxa"/>
        </w:trPr>
        <w:tc>
          <w:tcPr>
            <w:tcW w:w="0" w:type="auto"/>
            <w:hideMark/>
          </w:tcPr>
          <w:p w14:paraId="51C38E7F" w14:textId="77777777" w:rsidR="00000000" w:rsidRDefault="003A1B5D">
            <w:pPr>
              <w:pStyle w:val="a3"/>
              <w:spacing w:before="0" w:beforeAutospacing="0" w:after="0" w:afterAutospacing="0"/>
              <w:ind w:left="200"/>
              <w:rPr>
                <w:sz w:val="20"/>
                <w:szCs w:val="20"/>
              </w:rPr>
            </w:pPr>
            <w:r>
              <w:rPr>
                <w:sz w:val="20"/>
                <w:szCs w:val="20"/>
              </w:rPr>
              <w:t>Variable expens</w:t>
            </w:r>
            <w:r>
              <w:rPr>
                <w:sz w:val="20"/>
                <w:szCs w:val="20"/>
              </w:rPr>
              <w:t>e</w:t>
            </w:r>
          </w:p>
        </w:tc>
        <w:tc>
          <w:tcPr>
            <w:tcW w:w="0" w:type="auto"/>
            <w:vAlign w:val="bottom"/>
            <w:hideMark/>
          </w:tcPr>
          <w:p w14:paraId="563E710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4822F8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165DA56" w14:textId="77777777" w:rsidR="00000000" w:rsidRDefault="003A1B5D">
            <w:pPr>
              <w:pStyle w:val="a3"/>
              <w:spacing w:before="0" w:beforeAutospacing="0" w:after="0" w:afterAutospacing="0"/>
              <w:jc w:val="right"/>
              <w:rPr>
                <w:sz w:val="20"/>
                <w:szCs w:val="20"/>
              </w:rPr>
            </w:pPr>
            <w:r>
              <w:rPr>
                <w:b/>
                <w:bCs/>
                <w:sz w:val="20"/>
                <w:szCs w:val="20"/>
              </w:rPr>
              <w:t>12.6</w:t>
            </w:r>
            <w:r>
              <w:rPr>
                <w:b/>
                <w:bCs/>
                <w:sz w:val="20"/>
                <w:szCs w:val="20"/>
              </w:rPr>
              <w:t>7</w:t>
            </w:r>
          </w:p>
        </w:tc>
        <w:tc>
          <w:tcPr>
            <w:tcW w:w="0" w:type="auto"/>
            <w:noWrap/>
            <w:vAlign w:val="bottom"/>
            <w:hideMark/>
          </w:tcPr>
          <w:p w14:paraId="3B75C0A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F6B9A7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E125C9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177DD82" w14:textId="77777777" w:rsidR="00000000" w:rsidRDefault="003A1B5D">
            <w:pPr>
              <w:pStyle w:val="a3"/>
              <w:spacing w:before="0" w:beforeAutospacing="0" w:after="0" w:afterAutospacing="0"/>
              <w:jc w:val="right"/>
              <w:rPr>
                <w:sz w:val="20"/>
                <w:szCs w:val="20"/>
              </w:rPr>
            </w:pPr>
            <w:r>
              <w:rPr>
                <w:sz w:val="20"/>
                <w:szCs w:val="20"/>
              </w:rPr>
              <w:t>8.1</w:t>
            </w:r>
            <w:r>
              <w:rPr>
                <w:sz w:val="20"/>
                <w:szCs w:val="20"/>
              </w:rPr>
              <w:t>1</w:t>
            </w:r>
          </w:p>
        </w:tc>
        <w:tc>
          <w:tcPr>
            <w:tcW w:w="0" w:type="auto"/>
            <w:noWrap/>
            <w:vAlign w:val="bottom"/>
            <w:hideMark/>
          </w:tcPr>
          <w:p w14:paraId="5E79A25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B559C7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E60C8F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20B75A5" w14:textId="77777777" w:rsidR="00000000" w:rsidRDefault="003A1B5D">
            <w:pPr>
              <w:pStyle w:val="a3"/>
              <w:spacing w:before="0" w:beforeAutospacing="0" w:after="0" w:afterAutospacing="0"/>
              <w:jc w:val="right"/>
              <w:rPr>
                <w:sz w:val="20"/>
                <w:szCs w:val="20"/>
              </w:rPr>
            </w:pPr>
            <w:r>
              <w:rPr>
                <w:b/>
                <w:bCs/>
                <w:sz w:val="20"/>
                <w:szCs w:val="20"/>
              </w:rPr>
              <w:t>11.5</w:t>
            </w:r>
            <w:r>
              <w:rPr>
                <w:b/>
                <w:bCs/>
                <w:sz w:val="20"/>
                <w:szCs w:val="20"/>
              </w:rPr>
              <w:t>3</w:t>
            </w:r>
          </w:p>
        </w:tc>
        <w:tc>
          <w:tcPr>
            <w:tcW w:w="0" w:type="auto"/>
            <w:noWrap/>
            <w:vAlign w:val="bottom"/>
            <w:hideMark/>
          </w:tcPr>
          <w:p w14:paraId="0CACE55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FE7803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F2DC81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A62AF71" w14:textId="77777777" w:rsidR="00000000" w:rsidRDefault="003A1B5D">
            <w:pPr>
              <w:pStyle w:val="a3"/>
              <w:spacing w:before="0" w:beforeAutospacing="0" w:after="0" w:afterAutospacing="0"/>
              <w:jc w:val="right"/>
              <w:rPr>
                <w:sz w:val="20"/>
                <w:szCs w:val="20"/>
              </w:rPr>
            </w:pPr>
            <w:r>
              <w:rPr>
                <w:sz w:val="20"/>
                <w:szCs w:val="20"/>
              </w:rPr>
              <w:t>8.4</w:t>
            </w:r>
            <w:r>
              <w:rPr>
                <w:sz w:val="20"/>
                <w:szCs w:val="20"/>
              </w:rPr>
              <w:t>1</w:t>
            </w:r>
          </w:p>
        </w:tc>
        <w:tc>
          <w:tcPr>
            <w:tcW w:w="0" w:type="auto"/>
            <w:noWrap/>
            <w:vAlign w:val="bottom"/>
            <w:hideMark/>
          </w:tcPr>
          <w:p w14:paraId="26F150A7" w14:textId="77777777" w:rsidR="00000000" w:rsidRDefault="003A1B5D">
            <w:pPr>
              <w:pStyle w:val="a3"/>
              <w:spacing w:before="0" w:beforeAutospacing="0" w:after="0" w:afterAutospacing="0"/>
              <w:rPr>
                <w:sz w:val="20"/>
                <w:szCs w:val="20"/>
              </w:rPr>
            </w:pPr>
            <w:r>
              <w:rPr>
                <w:sz w:val="20"/>
                <w:szCs w:val="20"/>
              </w:rPr>
              <w:t> </w:t>
            </w:r>
          </w:p>
        </w:tc>
      </w:tr>
      <w:tr w:rsidR="00000000" w14:paraId="4963F53E" w14:textId="77777777">
        <w:trPr>
          <w:trHeight w:val="200"/>
          <w:tblCellSpacing w:w="15" w:type="dxa"/>
        </w:trPr>
        <w:tc>
          <w:tcPr>
            <w:tcW w:w="0" w:type="auto"/>
            <w:hideMark/>
          </w:tcPr>
          <w:p w14:paraId="0006FB4B" w14:textId="77777777" w:rsidR="00000000" w:rsidRDefault="003A1B5D">
            <w:pPr>
              <w:pStyle w:val="a3"/>
              <w:spacing w:before="0" w:beforeAutospacing="0" w:after="0" w:afterAutospacing="0"/>
              <w:ind w:left="400"/>
              <w:rPr>
                <w:sz w:val="20"/>
                <w:szCs w:val="20"/>
              </w:rPr>
            </w:pPr>
            <w:r>
              <w:rPr>
                <w:sz w:val="20"/>
                <w:szCs w:val="20"/>
              </w:rPr>
              <w:t>Tota</w:t>
            </w:r>
            <w:r>
              <w:rPr>
                <w:sz w:val="20"/>
                <w:szCs w:val="20"/>
              </w:rPr>
              <w:t>l</w:t>
            </w:r>
          </w:p>
        </w:tc>
        <w:tc>
          <w:tcPr>
            <w:tcW w:w="0" w:type="auto"/>
            <w:vAlign w:val="bottom"/>
            <w:hideMark/>
          </w:tcPr>
          <w:p w14:paraId="26E328A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39ADE7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75650C2" w14:textId="77777777" w:rsidR="00000000" w:rsidRDefault="003A1B5D">
            <w:pPr>
              <w:pStyle w:val="a3"/>
              <w:spacing w:before="0" w:beforeAutospacing="0" w:after="0" w:afterAutospacing="0"/>
              <w:jc w:val="right"/>
              <w:rPr>
                <w:sz w:val="20"/>
                <w:szCs w:val="20"/>
              </w:rPr>
            </w:pPr>
            <w:r>
              <w:rPr>
                <w:b/>
                <w:bCs/>
                <w:sz w:val="20"/>
                <w:szCs w:val="20"/>
              </w:rPr>
              <w:t>52.3</w:t>
            </w:r>
            <w:r>
              <w:rPr>
                <w:b/>
                <w:bCs/>
                <w:sz w:val="20"/>
                <w:szCs w:val="20"/>
              </w:rPr>
              <w:t>3</w:t>
            </w:r>
          </w:p>
        </w:tc>
        <w:tc>
          <w:tcPr>
            <w:tcW w:w="0" w:type="auto"/>
            <w:noWrap/>
            <w:vAlign w:val="bottom"/>
            <w:hideMark/>
          </w:tcPr>
          <w:p w14:paraId="6564D2F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7FDC87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E0121D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C7B8141" w14:textId="77777777" w:rsidR="00000000" w:rsidRDefault="003A1B5D">
            <w:pPr>
              <w:pStyle w:val="a3"/>
              <w:spacing w:before="0" w:beforeAutospacing="0" w:after="0" w:afterAutospacing="0"/>
              <w:jc w:val="right"/>
              <w:rPr>
                <w:sz w:val="20"/>
                <w:szCs w:val="20"/>
              </w:rPr>
            </w:pPr>
            <w:r>
              <w:rPr>
                <w:sz w:val="20"/>
                <w:szCs w:val="20"/>
              </w:rPr>
              <w:t>45.6</w:t>
            </w:r>
            <w:r>
              <w:rPr>
                <w:sz w:val="20"/>
                <w:szCs w:val="20"/>
              </w:rPr>
              <w:t>6</w:t>
            </w:r>
          </w:p>
        </w:tc>
        <w:tc>
          <w:tcPr>
            <w:tcW w:w="0" w:type="auto"/>
            <w:noWrap/>
            <w:vAlign w:val="bottom"/>
            <w:hideMark/>
          </w:tcPr>
          <w:p w14:paraId="091A802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8B2C3A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D0826E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CC90180" w14:textId="77777777" w:rsidR="00000000" w:rsidRDefault="003A1B5D">
            <w:pPr>
              <w:pStyle w:val="a3"/>
              <w:spacing w:before="0" w:beforeAutospacing="0" w:after="0" w:afterAutospacing="0"/>
              <w:jc w:val="right"/>
              <w:rPr>
                <w:sz w:val="20"/>
                <w:szCs w:val="20"/>
              </w:rPr>
            </w:pPr>
            <w:r>
              <w:rPr>
                <w:b/>
                <w:bCs/>
                <w:sz w:val="20"/>
                <w:szCs w:val="20"/>
              </w:rPr>
              <w:t>50.1</w:t>
            </w:r>
            <w:r>
              <w:rPr>
                <w:b/>
                <w:bCs/>
                <w:sz w:val="20"/>
                <w:szCs w:val="20"/>
              </w:rPr>
              <w:t>1</w:t>
            </w:r>
          </w:p>
        </w:tc>
        <w:tc>
          <w:tcPr>
            <w:tcW w:w="0" w:type="auto"/>
            <w:noWrap/>
            <w:vAlign w:val="bottom"/>
            <w:hideMark/>
          </w:tcPr>
          <w:p w14:paraId="664B4AF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187B9C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EEFBFA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E98E700" w14:textId="77777777" w:rsidR="00000000" w:rsidRDefault="003A1B5D">
            <w:pPr>
              <w:pStyle w:val="a3"/>
              <w:spacing w:before="0" w:beforeAutospacing="0" w:after="0" w:afterAutospacing="0"/>
              <w:jc w:val="right"/>
              <w:rPr>
                <w:sz w:val="20"/>
                <w:szCs w:val="20"/>
              </w:rPr>
            </w:pPr>
            <w:r>
              <w:rPr>
                <w:sz w:val="20"/>
                <w:szCs w:val="20"/>
              </w:rPr>
              <w:t>47.9</w:t>
            </w:r>
            <w:r>
              <w:rPr>
                <w:sz w:val="20"/>
                <w:szCs w:val="20"/>
              </w:rPr>
              <w:t>4</w:t>
            </w:r>
          </w:p>
        </w:tc>
        <w:tc>
          <w:tcPr>
            <w:tcW w:w="0" w:type="auto"/>
            <w:noWrap/>
            <w:vAlign w:val="bottom"/>
            <w:hideMark/>
          </w:tcPr>
          <w:p w14:paraId="5AE2C9C8" w14:textId="77777777" w:rsidR="00000000" w:rsidRDefault="003A1B5D">
            <w:pPr>
              <w:pStyle w:val="a3"/>
              <w:spacing w:before="0" w:beforeAutospacing="0" w:after="0" w:afterAutospacing="0"/>
              <w:rPr>
                <w:sz w:val="20"/>
                <w:szCs w:val="20"/>
              </w:rPr>
            </w:pPr>
            <w:r>
              <w:rPr>
                <w:sz w:val="20"/>
                <w:szCs w:val="20"/>
              </w:rPr>
              <w:t> </w:t>
            </w:r>
          </w:p>
        </w:tc>
      </w:tr>
      <w:tr w:rsidR="00000000" w14:paraId="23E65A46" w14:textId="77777777">
        <w:trPr>
          <w:trHeight w:val="200"/>
          <w:tblCellSpacing w:w="15" w:type="dxa"/>
        </w:trPr>
        <w:tc>
          <w:tcPr>
            <w:tcW w:w="0" w:type="auto"/>
            <w:hideMark/>
          </w:tcPr>
          <w:p w14:paraId="1AC42178" w14:textId="77777777" w:rsidR="00000000" w:rsidRDefault="003A1B5D">
            <w:pPr>
              <w:pStyle w:val="a3"/>
              <w:spacing w:before="0" w:beforeAutospacing="0" w:after="0" w:afterAutospacing="0"/>
              <w:rPr>
                <w:sz w:val="20"/>
                <w:szCs w:val="20"/>
              </w:rPr>
            </w:pPr>
            <w:r>
              <w:rPr>
                <w:sz w:val="20"/>
                <w:szCs w:val="20"/>
              </w:rPr>
              <w:t>Operating income per compensated man-da</w:t>
            </w:r>
            <w:r>
              <w:rPr>
                <w:sz w:val="20"/>
                <w:szCs w:val="20"/>
              </w:rPr>
              <w:t>y</w:t>
            </w:r>
          </w:p>
        </w:tc>
        <w:tc>
          <w:tcPr>
            <w:tcW w:w="0" w:type="auto"/>
            <w:vAlign w:val="bottom"/>
            <w:hideMark/>
          </w:tcPr>
          <w:p w14:paraId="7144B92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4810993"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155953F3" w14:textId="77777777" w:rsidR="00000000" w:rsidRDefault="003A1B5D">
            <w:pPr>
              <w:pStyle w:val="a3"/>
              <w:spacing w:before="0" w:beforeAutospacing="0" w:after="0" w:afterAutospacing="0"/>
              <w:jc w:val="right"/>
              <w:rPr>
                <w:sz w:val="20"/>
                <w:szCs w:val="20"/>
              </w:rPr>
            </w:pPr>
            <w:r>
              <w:rPr>
                <w:b/>
                <w:bCs/>
                <w:sz w:val="20"/>
                <w:szCs w:val="20"/>
              </w:rPr>
              <w:t>14.2</w:t>
            </w:r>
            <w:r>
              <w:rPr>
                <w:b/>
                <w:bCs/>
                <w:sz w:val="20"/>
                <w:szCs w:val="20"/>
              </w:rPr>
              <w:t>9</w:t>
            </w:r>
          </w:p>
        </w:tc>
        <w:tc>
          <w:tcPr>
            <w:tcW w:w="0" w:type="auto"/>
            <w:noWrap/>
            <w:vAlign w:val="bottom"/>
            <w:hideMark/>
          </w:tcPr>
          <w:p w14:paraId="1EF65B6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C1C8AB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E02F064"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71CCF8AD" w14:textId="77777777" w:rsidR="00000000" w:rsidRDefault="003A1B5D">
            <w:pPr>
              <w:pStyle w:val="a3"/>
              <w:spacing w:before="0" w:beforeAutospacing="0" w:after="0" w:afterAutospacing="0"/>
              <w:jc w:val="right"/>
              <w:rPr>
                <w:sz w:val="20"/>
                <w:szCs w:val="20"/>
              </w:rPr>
            </w:pPr>
            <w:r>
              <w:rPr>
                <w:sz w:val="20"/>
                <w:szCs w:val="20"/>
              </w:rPr>
              <w:t>17.6</w:t>
            </w:r>
            <w:r>
              <w:rPr>
                <w:sz w:val="20"/>
                <w:szCs w:val="20"/>
              </w:rPr>
              <w:t>9</w:t>
            </w:r>
          </w:p>
        </w:tc>
        <w:tc>
          <w:tcPr>
            <w:tcW w:w="0" w:type="auto"/>
            <w:noWrap/>
            <w:vAlign w:val="bottom"/>
            <w:hideMark/>
          </w:tcPr>
          <w:p w14:paraId="5F6D089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4EEAF7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3CE4DB0"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1C870A51" w14:textId="77777777" w:rsidR="00000000" w:rsidRDefault="003A1B5D">
            <w:pPr>
              <w:pStyle w:val="a3"/>
              <w:spacing w:before="0" w:beforeAutospacing="0" w:after="0" w:afterAutospacing="0"/>
              <w:jc w:val="right"/>
              <w:rPr>
                <w:sz w:val="20"/>
                <w:szCs w:val="20"/>
              </w:rPr>
            </w:pPr>
            <w:r>
              <w:rPr>
                <w:b/>
                <w:bCs/>
                <w:sz w:val="20"/>
                <w:szCs w:val="20"/>
              </w:rPr>
              <w:t>14.7</w:t>
            </w:r>
            <w:r>
              <w:rPr>
                <w:b/>
                <w:bCs/>
                <w:sz w:val="20"/>
                <w:szCs w:val="20"/>
              </w:rPr>
              <w:t>2</w:t>
            </w:r>
          </w:p>
        </w:tc>
        <w:tc>
          <w:tcPr>
            <w:tcW w:w="0" w:type="auto"/>
            <w:noWrap/>
            <w:vAlign w:val="bottom"/>
            <w:hideMark/>
          </w:tcPr>
          <w:p w14:paraId="03A393C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569F92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D8883FE"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393C88E8" w14:textId="77777777" w:rsidR="00000000" w:rsidRDefault="003A1B5D">
            <w:pPr>
              <w:pStyle w:val="a3"/>
              <w:spacing w:before="0" w:beforeAutospacing="0" w:after="0" w:afterAutospacing="0"/>
              <w:jc w:val="right"/>
              <w:rPr>
                <w:sz w:val="20"/>
                <w:szCs w:val="20"/>
              </w:rPr>
            </w:pPr>
            <w:r>
              <w:rPr>
                <w:sz w:val="20"/>
                <w:szCs w:val="20"/>
              </w:rPr>
              <w:t>15.1</w:t>
            </w:r>
            <w:r>
              <w:rPr>
                <w:sz w:val="20"/>
                <w:szCs w:val="20"/>
              </w:rPr>
              <w:t>3</w:t>
            </w:r>
          </w:p>
        </w:tc>
        <w:tc>
          <w:tcPr>
            <w:tcW w:w="0" w:type="auto"/>
            <w:noWrap/>
            <w:vAlign w:val="bottom"/>
            <w:hideMark/>
          </w:tcPr>
          <w:p w14:paraId="625CF9C1" w14:textId="77777777" w:rsidR="00000000" w:rsidRDefault="003A1B5D">
            <w:pPr>
              <w:pStyle w:val="a3"/>
              <w:spacing w:before="0" w:beforeAutospacing="0" w:after="0" w:afterAutospacing="0"/>
              <w:rPr>
                <w:sz w:val="20"/>
                <w:szCs w:val="20"/>
              </w:rPr>
            </w:pPr>
            <w:r>
              <w:rPr>
                <w:sz w:val="20"/>
                <w:szCs w:val="20"/>
              </w:rPr>
              <w:t> </w:t>
            </w:r>
          </w:p>
        </w:tc>
      </w:tr>
      <w:tr w:rsidR="00000000" w14:paraId="2F4AECCE" w14:textId="77777777">
        <w:trPr>
          <w:trHeight w:val="200"/>
          <w:tblCellSpacing w:w="15" w:type="dxa"/>
        </w:trPr>
        <w:tc>
          <w:tcPr>
            <w:tcW w:w="0" w:type="auto"/>
            <w:hideMark/>
          </w:tcPr>
          <w:p w14:paraId="5721FE41" w14:textId="77777777" w:rsidR="00000000" w:rsidRDefault="003A1B5D">
            <w:pPr>
              <w:pStyle w:val="a3"/>
              <w:spacing w:before="0" w:beforeAutospacing="0" w:after="0" w:afterAutospacing="0"/>
              <w:rPr>
                <w:sz w:val="20"/>
                <w:szCs w:val="20"/>
              </w:rPr>
            </w:pPr>
            <w:r>
              <w:rPr>
                <w:sz w:val="20"/>
                <w:szCs w:val="20"/>
              </w:rPr>
              <w:t>Operating margi</w:t>
            </w:r>
            <w:r>
              <w:rPr>
                <w:sz w:val="20"/>
                <w:szCs w:val="20"/>
              </w:rPr>
              <w:t>n</w:t>
            </w:r>
          </w:p>
        </w:tc>
        <w:tc>
          <w:tcPr>
            <w:tcW w:w="0" w:type="auto"/>
            <w:vAlign w:val="bottom"/>
            <w:hideMark/>
          </w:tcPr>
          <w:p w14:paraId="4E23E0C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171F71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C224425" w14:textId="77777777" w:rsidR="00000000" w:rsidRDefault="003A1B5D">
            <w:pPr>
              <w:pStyle w:val="a3"/>
              <w:spacing w:before="0" w:beforeAutospacing="0" w:after="0" w:afterAutospacing="0"/>
              <w:jc w:val="right"/>
              <w:rPr>
                <w:sz w:val="20"/>
                <w:szCs w:val="20"/>
              </w:rPr>
            </w:pPr>
            <w:r>
              <w:rPr>
                <w:b/>
                <w:bCs/>
                <w:sz w:val="20"/>
                <w:szCs w:val="20"/>
              </w:rPr>
              <w:t>21.</w:t>
            </w:r>
            <w:r>
              <w:rPr>
                <w:b/>
                <w:bCs/>
                <w:sz w:val="20"/>
                <w:szCs w:val="20"/>
              </w:rPr>
              <w:t>5</w:t>
            </w:r>
          </w:p>
        </w:tc>
        <w:tc>
          <w:tcPr>
            <w:tcW w:w="0" w:type="auto"/>
            <w:noWrap/>
            <w:vAlign w:val="bottom"/>
            <w:hideMark/>
          </w:tcPr>
          <w:p w14:paraId="699CF7C9"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45DACAA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59CA94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616EF5F" w14:textId="77777777" w:rsidR="00000000" w:rsidRDefault="003A1B5D">
            <w:pPr>
              <w:pStyle w:val="a3"/>
              <w:spacing w:before="0" w:beforeAutospacing="0" w:after="0" w:afterAutospacing="0"/>
              <w:jc w:val="right"/>
              <w:rPr>
                <w:sz w:val="20"/>
                <w:szCs w:val="20"/>
              </w:rPr>
            </w:pPr>
            <w:r>
              <w:rPr>
                <w:sz w:val="20"/>
                <w:szCs w:val="20"/>
              </w:rPr>
              <w:t>27.</w:t>
            </w:r>
            <w:r>
              <w:rPr>
                <w:sz w:val="20"/>
                <w:szCs w:val="20"/>
              </w:rPr>
              <w:t>9</w:t>
            </w:r>
          </w:p>
        </w:tc>
        <w:tc>
          <w:tcPr>
            <w:tcW w:w="0" w:type="auto"/>
            <w:noWrap/>
            <w:vAlign w:val="bottom"/>
            <w:hideMark/>
          </w:tcPr>
          <w:p w14:paraId="08E9DC9E"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0EC1495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827E52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D8DD7E4" w14:textId="77777777" w:rsidR="00000000" w:rsidRDefault="003A1B5D">
            <w:pPr>
              <w:pStyle w:val="a3"/>
              <w:spacing w:before="0" w:beforeAutospacing="0" w:after="0" w:afterAutospacing="0"/>
              <w:jc w:val="right"/>
              <w:rPr>
                <w:sz w:val="20"/>
                <w:szCs w:val="20"/>
              </w:rPr>
            </w:pPr>
            <w:r>
              <w:rPr>
                <w:b/>
                <w:bCs/>
                <w:sz w:val="20"/>
                <w:szCs w:val="20"/>
              </w:rPr>
              <w:t>22.</w:t>
            </w:r>
            <w:r>
              <w:rPr>
                <w:b/>
                <w:bCs/>
                <w:sz w:val="20"/>
                <w:szCs w:val="20"/>
              </w:rPr>
              <w:t>7</w:t>
            </w:r>
          </w:p>
        </w:tc>
        <w:tc>
          <w:tcPr>
            <w:tcW w:w="0" w:type="auto"/>
            <w:noWrap/>
            <w:vAlign w:val="bottom"/>
            <w:hideMark/>
          </w:tcPr>
          <w:p w14:paraId="65A00271"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468AA73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03E57C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2BA42DD" w14:textId="77777777" w:rsidR="00000000" w:rsidRDefault="003A1B5D">
            <w:pPr>
              <w:pStyle w:val="a3"/>
              <w:spacing w:before="0" w:beforeAutospacing="0" w:after="0" w:afterAutospacing="0"/>
              <w:jc w:val="right"/>
              <w:rPr>
                <w:sz w:val="20"/>
                <w:szCs w:val="20"/>
              </w:rPr>
            </w:pPr>
            <w:r>
              <w:rPr>
                <w:sz w:val="20"/>
                <w:szCs w:val="20"/>
              </w:rPr>
              <w:t>24.</w:t>
            </w:r>
            <w:r>
              <w:rPr>
                <w:sz w:val="20"/>
                <w:szCs w:val="20"/>
              </w:rPr>
              <w:t>0</w:t>
            </w:r>
          </w:p>
        </w:tc>
        <w:tc>
          <w:tcPr>
            <w:tcW w:w="0" w:type="auto"/>
            <w:noWrap/>
            <w:vAlign w:val="bottom"/>
            <w:hideMark/>
          </w:tcPr>
          <w:p w14:paraId="3EA3DC65" w14:textId="77777777" w:rsidR="00000000" w:rsidRDefault="003A1B5D">
            <w:pPr>
              <w:pStyle w:val="a3"/>
              <w:spacing w:before="0" w:beforeAutospacing="0" w:after="0" w:afterAutospacing="0"/>
              <w:rPr>
                <w:sz w:val="20"/>
                <w:szCs w:val="20"/>
              </w:rPr>
            </w:pPr>
            <w:r>
              <w:rPr>
                <w:sz w:val="20"/>
                <w:szCs w:val="20"/>
              </w:rPr>
              <w:t>%</w:t>
            </w:r>
          </w:p>
        </w:tc>
      </w:tr>
      <w:tr w:rsidR="00000000" w14:paraId="60D8021D" w14:textId="77777777">
        <w:trPr>
          <w:trHeight w:val="200"/>
          <w:tblCellSpacing w:w="15" w:type="dxa"/>
        </w:trPr>
        <w:tc>
          <w:tcPr>
            <w:tcW w:w="0" w:type="auto"/>
            <w:hideMark/>
          </w:tcPr>
          <w:p w14:paraId="686B6AB5" w14:textId="77777777" w:rsidR="00000000" w:rsidRDefault="003A1B5D">
            <w:pPr>
              <w:pStyle w:val="a3"/>
              <w:spacing w:before="0" w:beforeAutospacing="0" w:after="0" w:afterAutospacing="0"/>
              <w:rPr>
                <w:sz w:val="20"/>
                <w:szCs w:val="20"/>
              </w:rPr>
            </w:pPr>
            <w:r>
              <w:rPr>
                <w:sz w:val="20"/>
                <w:szCs w:val="20"/>
              </w:rPr>
              <w:t>Average compensated occupanc</w:t>
            </w:r>
            <w:r>
              <w:rPr>
                <w:sz w:val="20"/>
                <w:szCs w:val="20"/>
              </w:rPr>
              <w:t>y</w:t>
            </w:r>
          </w:p>
        </w:tc>
        <w:tc>
          <w:tcPr>
            <w:tcW w:w="0" w:type="auto"/>
            <w:vAlign w:val="bottom"/>
            <w:hideMark/>
          </w:tcPr>
          <w:p w14:paraId="7BE993B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AD4DE3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35F0002" w14:textId="77777777" w:rsidR="00000000" w:rsidRDefault="003A1B5D">
            <w:pPr>
              <w:pStyle w:val="a3"/>
              <w:spacing w:before="0" w:beforeAutospacing="0" w:after="0" w:afterAutospacing="0"/>
              <w:jc w:val="right"/>
              <w:rPr>
                <w:sz w:val="20"/>
                <w:szCs w:val="20"/>
              </w:rPr>
            </w:pPr>
            <w:r>
              <w:rPr>
                <w:b/>
                <w:bCs/>
                <w:sz w:val="20"/>
                <w:szCs w:val="20"/>
              </w:rPr>
              <w:t>57.</w:t>
            </w:r>
            <w:r>
              <w:rPr>
                <w:b/>
                <w:bCs/>
                <w:sz w:val="20"/>
                <w:szCs w:val="20"/>
              </w:rPr>
              <w:t>5</w:t>
            </w:r>
          </w:p>
        </w:tc>
        <w:tc>
          <w:tcPr>
            <w:tcW w:w="0" w:type="auto"/>
            <w:noWrap/>
            <w:vAlign w:val="bottom"/>
            <w:hideMark/>
          </w:tcPr>
          <w:p w14:paraId="4E9046DC"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0FFB429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537289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01D4BD4" w14:textId="77777777" w:rsidR="00000000" w:rsidRDefault="003A1B5D">
            <w:pPr>
              <w:pStyle w:val="a3"/>
              <w:spacing w:before="0" w:beforeAutospacing="0" w:after="0" w:afterAutospacing="0"/>
              <w:jc w:val="right"/>
              <w:rPr>
                <w:sz w:val="20"/>
                <w:szCs w:val="20"/>
              </w:rPr>
            </w:pPr>
            <w:r>
              <w:rPr>
                <w:sz w:val="20"/>
                <w:szCs w:val="20"/>
              </w:rPr>
              <w:t>56.</w:t>
            </w:r>
            <w:r>
              <w:rPr>
                <w:sz w:val="20"/>
                <w:szCs w:val="20"/>
              </w:rPr>
              <w:t>4</w:t>
            </w:r>
          </w:p>
        </w:tc>
        <w:tc>
          <w:tcPr>
            <w:tcW w:w="0" w:type="auto"/>
            <w:noWrap/>
            <w:vAlign w:val="bottom"/>
            <w:hideMark/>
          </w:tcPr>
          <w:p w14:paraId="1EF2BA1E"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60DAC9E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4811EF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88E3829" w14:textId="77777777" w:rsidR="00000000" w:rsidRDefault="003A1B5D">
            <w:pPr>
              <w:pStyle w:val="a3"/>
              <w:spacing w:before="0" w:beforeAutospacing="0" w:after="0" w:afterAutospacing="0"/>
              <w:jc w:val="right"/>
              <w:rPr>
                <w:sz w:val="20"/>
                <w:szCs w:val="20"/>
              </w:rPr>
            </w:pPr>
            <w:r>
              <w:rPr>
                <w:b/>
                <w:bCs/>
                <w:sz w:val="20"/>
                <w:szCs w:val="20"/>
              </w:rPr>
              <w:t>57.</w:t>
            </w:r>
            <w:r>
              <w:rPr>
                <w:b/>
                <w:bCs/>
                <w:sz w:val="20"/>
                <w:szCs w:val="20"/>
              </w:rPr>
              <w:t>3</w:t>
            </w:r>
          </w:p>
        </w:tc>
        <w:tc>
          <w:tcPr>
            <w:tcW w:w="0" w:type="auto"/>
            <w:noWrap/>
            <w:vAlign w:val="bottom"/>
            <w:hideMark/>
          </w:tcPr>
          <w:p w14:paraId="730D407A"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5E6F826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6E9990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AA0A0EB" w14:textId="77777777" w:rsidR="00000000" w:rsidRDefault="003A1B5D">
            <w:pPr>
              <w:pStyle w:val="a3"/>
              <w:spacing w:before="0" w:beforeAutospacing="0" w:after="0" w:afterAutospacing="0"/>
              <w:jc w:val="right"/>
              <w:rPr>
                <w:sz w:val="20"/>
                <w:szCs w:val="20"/>
              </w:rPr>
            </w:pPr>
            <w:r>
              <w:rPr>
                <w:sz w:val="20"/>
                <w:szCs w:val="20"/>
              </w:rPr>
              <w:t>55.</w:t>
            </w:r>
            <w:r>
              <w:rPr>
                <w:sz w:val="20"/>
                <w:szCs w:val="20"/>
              </w:rPr>
              <w:t>3</w:t>
            </w:r>
          </w:p>
        </w:tc>
        <w:tc>
          <w:tcPr>
            <w:tcW w:w="0" w:type="auto"/>
            <w:noWrap/>
            <w:vAlign w:val="bottom"/>
            <w:hideMark/>
          </w:tcPr>
          <w:p w14:paraId="7F4A4F7A" w14:textId="77777777" w:rsidR="00000000" w:rsidRDefault="003A1B5D">
            <w:pPr>
              <w:pStyle w:val="a3"/>
              <w:spacing w:before="0" w:beforeAutospacing="0" w:after="0" w:afterAutospacing="0"/>
              <w:rPr>
                <w:sz w:val="20"/>
                <w:szCs w:val="20"/>
              </w:rPr>
            </w:pPr>
            <w:r>
              <w:rPr>
                <w:sz w:val="20"/>
                <w:szCs w:val="20"/>
              </w:rPr>
              <w:t>%</w:t>
            </w:r>
          </w:p>
        </w:tc>
      </w:tr>
      <w:tr w:rsidR="00000000" w14:paraId="716A4FC5" w14:textId="77777777">
        <w:trPr>
          <w:trHeight w:val="200"/>
          <w:tblCellSpacing w:w="15" w:type="dxa"/>
        </w:trPr>
        <w:tc>
          <w:tcPr>
            <w:tcW w:w="0" w:type="auto"/>
            <w:hideMark/>
          </w:tcPr>
          <w:p w14:paraId="59D60A0B" w14:textId="77777777" w:rsidR="00000000" w:rsidRDefault="003A1B5D">
            <w:pPr>
              <w:pStyle w:val="a3"/>
              <w:spacing w:before="0" w:beforeAutospacing="0" w:after="0" w:afterAutospacing="0"/>
              <w:rPr>
                <w:sz w:val="20"/>
                <w:szCs w:val="20"/>
              </w:rPr>
            </w:pPr>
            <w:r>
              <w:rPr>
                <w:sz w:val="20"/>
                <w:szCs w:val="20"/>
              </w:rPr>
              <w:t>Average available bed</w:t>
            </w:r>
            <w:r>
              <w:rPr>
                <w:sz w:val="20"/>
                <w:szCs w:val="20"/>
              </w:rPr>
              <w:t>s</w:t>
            </w:r>
          </w:p>
        </w:tc>
        <w:tc>
          <w:tcPr>
            <w:tcW w:w="0" w:type="auto"/>
            <w:vAlign w:val="bottom"/>
            <w:hideMark/>
          </w:tcPr>
          <w:p w14:paraId="034C3D5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ED9D0F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531E9C6" w14:textId="77777777" w:rsidR="00000000" w:rsidRDefault="003A1B5D">
            <w:pPr>
              <w:pStyle w:val="a3"/>
              <w:spacing w:before="0" w:beforeAutospacing="0" w:after="0" w:afterAutospacing="0"/>
              <w:jc w:val="right"/>
              <w:rPr>
                <w:sz w:val="20"/>
                <w:szCs w:val="20"/>
              </w:rPr>
            </w:pPr>
            <w:r>
              <w:rPr>
                <w:b/>
                <w:bCs/>
                <w:sz w:val="20"/>
                <w:szCs w:val="20"/>
              </w:rPr>
              <w:t>4,86</w:t>
            </w:r>
            <w:r>
              <w:rPr>
                <w:b/>
                <w:bCs/>
                <w:sz w:val="20"/>
                <w:szCs w:val="20"/>
              </w:rPr>
              <w:t>9</w:t>
            </w:r>
          </w:p>
        </w:tc>
        <w:tc>
          <w:tcPr>
            <w:tcW w:w="0" w:type="auto"/>
            <w:noWrap/>
            <w:vAlign w:val="bottom"/>
            <w:hideMark/>
          </w:tcPr>
          <w:p w14:paraId="06E2263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CE0412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22F573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D31DD14" w14:textId="77777777" w:rsidR="00000000" w:rsidRDefault="003A1B5D">
            <w:pPr>
              <w:pStyle w:val="a3"/>
              <w:spacing w:before="0" w:beforeAutospacing="0" w:after="0" w:afterAutospacing="0"/>
              <w:jc w:val="right"/>
              <w:rPr>
                <w:sz w:val="20"/>
                <w:szCs w:val="20"/>
              </w:rPr>
            </w:pPr>
            <w:r>
              <w:rPr>
                <w:sz w:val="20"/>
                <w:szCs w:val="20"/>
              </w:rPr>
              <w:t>5,04</w:t>
            </w:r>
            <w:r>
              <w:rPr>
                <w:sz w:val="20"/>
                <w:szCs w:val="20"/>
              </w:rPr>
              <w:t>9</w:t>
            </w:r>
          </w:p>
        </w:tc>
        <w:tc>
          <w:tcPr>
            <w:tcW w:w="0" w:type="auto"/>
            <w:noWrap/>
            <w:vAlign w:val="bottom"/>
            <w:hideMark/>
          </w:tcPr>
          <w:p w14:paraId="5CFB2B0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AAE481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B107C0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2744642" w14:textId="77777777" w:rsidR="00000000" w:rsidRDefault="003A1B5D">
            <w:pPr>
              <w:pStyle w:val="a3"/>
              <w:spacing w:before="0" w:beforeAutospacing="0" w:after="0" w:afterAutospacing="0"/>
              <w:jc w:val="right"/>
              <w:rPr>
                <w:sz w:val="20"/>
                <w:szCs w:val="20"/>
              </w:rPr>
            </w:pPr>
            <w:r>
              <w:rPr>
                <w:b/>
                <w:bCs/>
                <w:sz w:val="20"/>
                <w:szCs w:val="20"/>
              </w:rPr>
              <w:t>4,86</w:t>
            </w:r>
            <w:r>
              <w:rPr>
                <w:b/>
                <w:bCs/>
                <w:sz w:val="20"/>
                <w:szCs w:val="20"/>
              </w:rPr>
              <w:t>9</w:t>
            </w:r>
          </w:p>
        </w:tc>
        <w:tc>
          <w:tcPr>
            <w:tcW w:w="0" w:type="auto"/>
            <w:noWrap/>
            <w:vAlign w:val="bottom"/>
            <w:hideMark/>
          </w:tcPr>
          <w:p w14:paraId="01B820B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FCC55B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D02092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22617AD" w14:textId="77777777" w:rsidR="00000000" w:rsidRDefault="003A1B5D">
            <w:pPr>
              <w:pStyle w:val="a3"/>
              <w:spacing w:before="0" w:beforeAutospacing="0" w:after="0" w:afterAutospacing="0"/>
              <w:jc w:val="right"/>
              <w:rPr>
                <w:sz w:val="20"/>
                <w:szCs w:val="20"/>
              </w:rPr>
            </w:pPr>
            <w:r>
              <w:rPr>
                <w:sz w:val="20"/>
                <w:szCs w:val="20"/>
              </w:rPr>
              <w:t>5,05</w:t>
            </w:r>
            <w:r>
              <w:rPr>
                <w:sz w:val="20"/>
                <w:szCs w:val="20"/>
              </w:rPr>
              <w:t>5</w:t>
            </w:r>
          </w:p>
        </w:tc>
        <w:tc>
          <w:tcPr>
            <w:tcW w:w="0" w:type="auto"/>
            <w:noWrap/>
            <w:vAlign w:val="bottom"/>
            <w:hideMark/>
          </w:tcPr>
          <w:p w14:paraId="4A672103" w14:textId="77777777" w:rsidR="00000000" w:rsidRDefault="003A1B5D">
            <w:pPr>
              <w:pStyle w:val="a3"/>
              <w:spacing w:before="0" w:beforeAutospacing="0" w:after="0" w:afterAutospacing="0"/>
              <w:rPr>
                <w:sz w:val="20"/>
                <w:szCs w:val="20"/>
              </w:rPr>
            </w:pPr>
            <w:r>
              <w:rPr>
                <w:sz w:val="20"/>
                <w:szCs w:val="20"/>
              </w:rPr>
              <w:t> </w:t>
            </w:r>
          </w:p>
        </w:tc>
      </w:tr>
      <w:tr w:rsidR="00000000" w14:paraId="4C08C7BC" w14:textId="77777777">
        <w:trPr>
          <w:trHeight w:val="200"/>
          <w:tblCellSpacing w:w="15" w:type="dxa"/>
        </w:trPr>
        <w:tc>
          <w:tcPr>
            <w:tcW w:w="0" w:type="auto"/>
            <w:hideMark/>
          </w:tcPr>
          <w:p w14:paraId="1683370C" w14:textId="77777777" w:rsidR="00000000" w:rsidRDefault="003A1B5D">
            <w:pPr>
              <w:pStyle w:val="a3"/>
              <w:spacing w:before="0" w:beforeAutospacing="0" w:after="0" w:afterAutospacing="0"/>
              <w:rPr>
                <w:sz w:val="20"/>
                <w:szCs w:val="20"/>
              </w:rPr>
            </w:pPr>
            <w:r>
              <w:rPr>
                <w:sz w:val="20"/>
                <w:szCs w:val="20"/>
              </w:rPr>
              <w:t>Average compensated populatio</w:t>
            </w:r>
            <w:r>
              <w:rPr>
                <w:sz w:val="20"/>
                <w:szCs w:val="20"/>
              </w:rPr>
              <w:t>n</w:t>
            </w:r>
          </w:p>
        </w:tc>
        <w:tc>
          <w:tcPr>
            <w:tcW w:w="0" w:type="auto"/>
            <w:vAlign w:val="bottom"/>
            <w:hideMark/>
          </w:tcPr>
          <w:p w14:paraId="42E3923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F6D0D1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59B0ACA" w14:textId="77777777" w:rsidR="00000000" w:rsidRDefault="003A1B5D">
            <w:pPr>
              <w:pStyle w:val="a3"/>
              <w:spacing w:before="0" w:beforeAutospacing="0" w:after="0" w:afterAutospacing="0"/>
              <w:jc w:val="right"/>
              <w:rPr>
                <w:sz w:val="20"/>
                <w:szCs w:val="20"/>
              </w:rPr>
            </w:pPr>
            <w:r>
              <w:rPr>
                <w:b/>
                <w:bCs/>
                <w:sz w:val="20"/>
                <w:szCs w:val="20"/>
              </w:rPr>
              <w:t>2,79</w:t>
            </w:r>
            <w:r>
              <w:rPr>
                <w:b/>
                <w:bCs/>
                <w:sz w:val="20"/>
                <w:szCs w:val="20"/>
              </w:rPr>
              <w:t>9</w:t>
            </w:r>
          </w:p>
        </w:tc>
        <w:tc>
          <w:tcPr>
            <w:tcW w:w="0" w:type="auto"/>
            <w:noWrap/>
            <w:vAlign w:val="bottom"/>
            <w:hideMark/>
          </w:tcPr>
          <w:p w14:paraId="27F9910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C3E2C8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83F5FE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2501755" w14:textId="77777777" w:rsidR="00000000" w:rsidRDefault="003A1B5D">
            <w:pPr>
              <w:pStyle w:val="a3"/>
              <w:spacing w:before="0" w:beforeAutospacing="0" w:after="0" w:afterAutospacing="0"/>
              <w:jc w:val="right"/>
              <w:rPr>
                <w:sz w:val="20"/>
                <w:szCs w:val="20"/>
              </w:rPr>
            </w:pPr>
            <w:r>
              <w:rPr>
                <w:sz w:val="20"/>
                <w:szCs w:val="20"/>
              </w:rPr>
              <w:t>2,84</w:t>
            </w:r>
            <w:r>
              <w:rPr>
                <w:sz w:val="20"/>
                <w:szCs w:val="20"/>
              </w:rPr>
              <w:t>6</w:t>
            </w:r>
          </w:p>
        </w:tc>
        <w:tc>
          <w:tcPr>
            <w:tcW w:w="0" w:type="auto"/>
            <w:noWrap/>
            <w:vAlign w:val="bottom"/>
            <w:hideMark/>
          </w:tcPr>
          <w:p w14:paraId="359C0AF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E5DA5E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9B3937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92E4886" w14:textId="77777777" w:rsidR="00000000" w:rsidRDefault="003A1B5D">
            <w:pPr>
              <w:pStyle w:val="a3"/>
              <w:spacing w:before="0" w:beforeAutospacing="0" w:after="0" w:afterAutospacing="0"/>
              <w:jc w:val="right"/>
              <w:rPr>
                <w:sz w:val="20"/>
                <w:szCs w:val="20"/>
              </w:rPr>
            </w:pPr>
            <w:r>
              <w:rPr>
                <w:b/>
                <w:bCs/>
                <w:sz w:val="20"/>
                <w:szCs w:val="20"/>
              </w:rPr>
              <w:t>2,78</w:t>
            </w:r>
            <w:r>
              <w:rPr>
                <w:b/>
                <w:bCs/>
                <w:sz w:val="20"/>
                <w:szCs w:val="20"/>
              </w:rPr>
              <w:t>9</w:t>
            </w:r>
          </w:p>
        </w:tc>
        <w:tc>
          <w:tcPr>
            <w:tcW w:w="0" w:type="auto"/>
            <w:noWrap/>
            <w:vAlign w:val="bottom"/>
            <w:hideMark/>
          </w:tcPr>
          <w:p w14:paraId="2FA1314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5EBEFD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75C174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2F56C97" w14:textId="77777777" w:rsidR="00000000" w:rsidRDefault="003A1B5D">
            <w:pPr>
              <w:pStyle w:val="a3"/>
              <w:spacing w:before="0" w:beforeAutospacing="0" w:after="0" w:afterAutospacing="0"/>
              <w:jc w:val="right"/>
              <w:rPr>
                <w:sz w:val="20"/>
                <w:szCs w:val="20"/>
              </w:rPr>
            </w:pPr>
            <w:r>
              <w:rPr>
                <w:sz w:val="20"/>
                <w:szCs w:val="20"/>
              </w:rPr>
              <w:t>2,79</w:t>
            </w:r>
            <w:r>
              <w:rPr>
                <w:sz w:val="20"/>
                <w:szCs w:val="20"/>
              </w:rPr>
              <w:t>5</w:t>
            </w:r>
          </w:p>
        </w:tc>
        <w:tc>
          <w:tcPr>
            <w:tcW w:w="0" w:type="auto"/>
            <w:noWrap/>
            <w:vAlign w:val="bottom"/>
            <w:hideMark/>
          </w:tcPr>
          <w:p w14:paraId="1C538B04" w14:textId="77777777" w:rsidR="00000000" w:rsidRDefault="003A1B5D">
            <w:pPr>
              <w:pStyle w:val="a3"/>
              <w:spacing w:before="0" w:beforeAutospacing="0" w:after="0" w:afterAutospacing="0"/>
              <w:rPr>
                <w:sz w:val="20"/>
                <w:szCs w:val="20"/>
              </w:rPr>
            </w:pPr>
            <w:r>
              <w:rPr>
                <w:sz w:val="20"/>
                <w:szCs w:val="20"/>
              </w:rPr>
              <w:t> </w:t>
            </w:r>
          </w:p>
        </w:tc>
      </w:tr>
    </w:tbl>
    <w:p w14:paraId="07E35962" w14:textId="77777777" w:rsidR="00000000" w:rsidRDefault="003A1B5D">
      <w:pPr>
        <w:pStyle w:val="a3"/>
        <w:spacing w:before="0" w:beforeAutospacing="0" w:after="0" w:afterAutospacing="0"/>
        <w:jc w:val="both"/>
        <w:rPr>
          <w:sz w:val="20"/>
          <w:szCs w:val="20"/>
        </w:rPr>
      </w:pPr>
      <w:r>
        <w:rPr>
          <w:sz w:val="20"/>
          <w:szCs w:val="20"/>
        </w:rPr>
        <w:t> </w:t>
      </w:r>
    </w:p>
    <w:p w14:paraId="37E8AF29" w14:textId="77777777" w:rsidR="00000000" w:rsidRDefault="003A1B5D">
      <w:pPr>
        <w:pStyle w:val="a3"/>
        <w:spacing w:before="0" w:beforeAutospacing="0" w:after="0" w:afterAutospacing="0"/>
        <w:jc w:val="both"/>
        <w:rPr>
          <w:sz w:val="20"/>
          <w:szCs w:val="20"/>
        </w:rPr>
      </w:pPr>
      <w:r>
        <w:rPr>
          <w:sz w:val="20"/>
          <w:szCs w:val="20"/>
        </w:rPr>
        <w:t>Like our CoreCivic Safety segment, operating margins in our CoreCivic Community segment were negatively impacted during 2022 by increased operating expenses per man-day, which were driven primarily by higher wage rates during the three-month period, and in</w:t>
      </w:r>
      <w:r>
        <w:rPr>
          <w:sz w:val="20"/>
          <w:szCs w:val="20"/>
        </w:rPr>
        <w:t>creased variable expenses, including travel related expenses, during both the three- and nine-month periods. The effect of the increased operating expenses was partially offset by an increase in average revenue per compensated man-day during both the three</w:t>
      </w:r>
      <w:r>
        <w:rPr>
          <w:sz w:val="20"/>
          <w:szCs w:val="20"/>
        </w:rPr>
        <w:t>- and nine-month periods. Average revenue per compensated man-day increased primarily as a result of per diem increases at several of our facilities. Also like our CoreCivic Safety segment, occupancy in our CoreCivic Community facilities continues to be ne</w:t>
      </w:r>
      <w:r>
        <w:rPr>
          <w:sz w:val="20"/>
          <w:szCs w:val="20"/>
        </w:rPr>
        <w:t>gatively affected by COVID-19 and has not yet returned to pre-pandemic occupancy levels</w:t>
      </w:r>
      <w:r>
        <w:rPr>
          <w:sz w:val="20"/>
          <w:szCs w:val="20"/>
        </w:rPr>
        <w:t>.</w:t>
      </w:r>
    </w:p>
    <w:p w14:paraId="74949853" w14:textId="77777777" w:rsidR="00000000" w:rsidRDefault="003A1B5D">
      <w:pPr>
        <w:pStyle w:val="a3"/>
        <w:spacing w:before="240" w:beforeAutospacing="0" w:after="0" w:afterAutospacing="0"/>
        <w:jc w:val="both"/>
        <w:rPr>
          <w:sz w:val="20"/>
          <w:szCs w:val="20"/>
        </w:rPr>
      </w:pPr>
      <w:r>
        <w:rPr>
          <w:sz w:val="20"/>
          <w:szCs w:val="20"/>
        </w:rPr>
        <w:t>Contributing to the improved average compensated occupancy in the CoreCivic Community segment during 2022 were the sales of our 120-bed Fox Facility and Training Cente</w:t>
      </w:r>
      <w:r>
        <w:rPr>
          <w:sz w:val="20"/>
          <w:szCs w:val="20"/>
        </w:rPr>
        <w:t>r and our 90-bed Ulster Facility in the first quarter of 2022. During the fourth quarter of 2021, we entered into a Purchase and Sale Agreement for our Fox facility, which was sold in February 2022. In addition, during the fourth quarter of 2021, we entere</w:t>
      </w:r>
      <w:r>
        <w:rPr>
          <w:sz w:val="20"/>
          <w:szCs w:val="20"/>
        </w:rPr>
        <w:t>d into a separate Purchase and Sale Agreement for our idled Ulster facility, which was sold in March 2022. The two facilities were located in Denver, Colorado and had recently been under-utilized by Denver County, and incurred facility net operating losses</w:t>
      </w:r>
      <w:r>
        <w:rPr>
          <w:sz w:val="20"/>
          <w:szCs w:val="20"/>
        </w:rPr>
        <w:t xml:space="preserve"> aggregating $0.1 million and $0.3 million during the three and nine months ended September 30, 2021, respectively</w:t>
      </w:r>
      <w:r>
        <w:rPr>
          <w:sz w:val="20"/>
          <w:szCs w:val="20"/>
        </w:rPr>
        <w:t>.</w:t>
      </w:r>
      <w:r>
        <w:rPr>
          <w:sz w:val="20"/>
          <w:szCs w:val="20"/>
        </w:rPr>
        <w:t xml:space="preserve"> </w:t>
      </w:r>
    </w:p>
    <w:p w14:paraId="03A49F98" w14:textId="77777777" w:rsidR="00000000" w:rsidRDefault="003A1B5D">
      <w:pPr>
        <w:pStyle w:val="a3"/>
        <w:spacing w:before="360" w:beforeAutospacing="0" w:after="0" w:afterAutospacing="0"/>
        <w:jc w:val="both"/>
        <w:rPr>
          <w:sz w:val="20"/>
          <w:szCs w:val="20"/>
        </w:rPr>
      </w:pPr>
      <w:r>
        <w:rPr>
          <w:i/>
          <w:iCs/>
          <w:sz w:val="20"/>
          <w:szCs w:val="20"/>
        </w:rPr>
        <w:t>CoreCivic Propertie</w:t>
      </w:r>
      <w:r>
        <w:rPr>
          <w:i/>
          <w:iCs/>
          <w:sz w:val="20"/>
          <w:szCs w:val="20"/>
        </w:rPr>
        <w:t>s</w:t>
      </w:r>
    </w:p>
    <w:p w14:paraId="5D8B2C03" w14:textId="77777777" w:rsidR="00000000" w:rsidRDefault="003A1B5D">
      <w:pPr>
        <w:pStyle w:val="a3"/>
        <w:spacing w:before="120" w:beforeAutospacing="0" w:after="0" w:afterAutospacing="0"/>
        <w:jc w:val="both"/>
        <w:rPr>
          <w:sz w:val="20"/>
          <w:szCs w:val="20"/>
        </w:rPr>
      </w:pPr>
      <w:r>
        <w:rPr>
          <w:sz w:val="20"/>
          <w:szCs w:val="20"/>
        </w:rPr>
        <w:t>CoreCivic Properties includes the operating results of the properties we leased to third parties and that were used by</w:t>
      </w:r>
      <w:r>
        <w:rPr>
          <w:sz w:val="20"/>
          <w:szCs w:val="20"/>
        </w:rPr>
        <w:t xml:space="preserve"> government agencies during each period. Total revenue generated by CoreCivic Properties increased $0.6 million, or 4.6%, from $13.9 million during the three months ended September 30, 2021 to $14.6 million during the three months ended September 30, 2022,</w:t>
      </w:r>
      <w:r>
        <w:rPr>
          <w:sz w:val="20"/>
          <w:szCs w:val="20"/>
        </w:rPr>
        <w:t xml:space="preserve"> and decreased $11.2 million, or 20.4%, from $54.9 million during the nine months ended September 30, 2021 to $43.7 million during the nine months ended September 30, 2022. CoreCivic Properties' facility net operating income increased $0.1 million, or 1.2%</w:t>
      </w:r>
      <w:r>
        <w:rPr>
          <w:sz w:val="20"/>
          <w:szCs w:val="20"/>
        </w:rPr>
        <w:t>, from $10.6 million during the three months ended September 30, 2021 to $10.7 million during the three months ended September 30, 2022, and decreased $6.5 million, or 16.3%, from $39.6 million during the nine months ended September 30, 2021 to $33.1 milli</w:t>
      </w:r>
      <w:r>
        <w:rPr>
          <w:sz w:val="20"/>
          <w:szCs w:val="20"/>
        </w:rPr>
        <w:t>on during the nine months ended September 30, 2022. The increases in total revenue and net operating income in the three-month period were primarily the result of the new lease at our Northwest New Mexico Correctional Center, as further described hereinaft</w:t>
      </w:r>
      <w:r>
        <w:rPr>
          <w:sz w:val="20"/>
          <w:szCs w:val="20"/>
        </w:rPr>
        <w:t>er. The decreases in total revenue and net operating income in the nine-month period were primarily the result of the three actively leased properties we sold in the second quarter of 2021 and the two actively leased properties we sold in the third quarter</w:t>
      </w:r>
      <w:r>
        <w:rPr>
          <w:sz w:val="20"/>
          <w:szCs w:val="20"/>
        </w:rPr>
        <w:t xml:space="preserve"> of 2022, as further described hereinafter, partially offset b</w:t>
      </w:r>
      <w:r>
        <w:rPr>
          <w:sz w:val="20"/>
          <w:szCs w:val="20"/>
        </w:rPr>
        <w:t>y</w:t>
      </w:r>
      <w:r>
        <w:rPr>
          <w:sz w:val="20"/>
          <w:szCs w:val="20"/>
        </w:rPr>
        <w:t xml:space="preserve"> </w:t>
      </w:r>
    </w:p>
    <w:p w14:paraId="3F2445DB" w14:textId="77777777" w:rsidR="00000000" w:rsidRDefault="003A1B5D">
      <w:pPr>
        <w:pStyle w:val="a3"/>
        <w:spacing w:before="240" w:beforeAutospacing="0" w:after="0" w:afterAutospacing="0"/>
        <w:jc w:val="center"/>
        <w:rPr>
          <w:sz w:val="20"/>
          <w:szCs w:val="20"/>
        </w:rPr>
      </w:pPr>
      <w:r>
        <w:rPr>
          <w:sz w:val="20"/>
          <w:szCs w:val="20"/>
        </w:rPr>
        <w:t>3</w:t>
      </w:r>
      <w:r>
        <w:rPr>
          <w:sz w:val="20"/>
          <w:szCs w:val="20"/>
        </w:rPr>
        <w:t>3</w:t>
      </w:r>
    </w:p>
    <w:p w14:paraId="6D98C96F" w14:textId="77777777" w:rsidR="00000000" w:rsidRDefault="003A1B5D">
      <w:pPr>
        <w:rPr>
          <w:rFonts w:eastAsia="Times New Roman"/>
        </w:rPr>
      </w:pPr>
      <w:r>
        <w:rPr>
          <w:rFonts w:eastAsia="Times New Roman"/>
        </w:rPr>
        <w:pict w14:anchorId="05CEBEE2">
          <v:rect id="_x0000_i1059" style="width:0;height:1.5pt" o:hralign="center" o:hrstd="t" o:hr="t" fillcolor="#a0a0a0" stroked="f"/>
        </w:pict>
      </w:r>
    </w:p>
    <w:p w14:paraId="1974903A" w14:textId="77777777" w:rsidR="00000000" w:rsidRDefault="003A1B5D">
      <w:pPr>
        <w:pStyle w:val="a3"/>
        <w:spacing w:before="0" w:beforeAutospacing="0" w:after="0" w:afterAutospacing="0"/>
        <w:rPr>
          <w:sz w:val="20"/>
          <w:szCs w:val="20"/>
        </w:rPr>
      </w:pPr>
      <w:r>
        <w:rPr>
          <w:sz w:val="20"/>
          <w:szCs w:val="20"/>
        </w:rPr>
        <w:t> </w:t>
      </w:r>
    </w:p>
    <w:p w14:paraId="27CDBFF0" w14:textId="77777777" w:rsidR="00000000" w:rsidRDefault="003A1B5D">
      <w:pPr>
        <w:pStyle w:val="a3"/>
        <w:spacing w:before="120" w:beforeAutospacing="0" w:after="0" w:afterAutospacing="0"/>
        <w:jc w:val="both"/>
        <w:rPr>
          <w:sz w:val="20"/>
          <w:szCs w:val="20"/>
        </w:rPr>
      </w:pPr>
      <w:r>
        <w:rPr>
          <w:sz w:val="20"/>
          <w:szCs w:val="20"/>
        </w:rPr>
        <w:t>the revenue and net operating income generated by the new lease at our Northwest New Mexico Correctional Center. During the three and nine months ende</w:t>
      </w:r>
      <w:r>
        <w:rPr>
          <w:sz w:val="20"/>
          <w:szCs w:val="20"/>
        </w:rPr>
        <w:t>d September 30, 2022, CoreCivic Properties generated 13.1% and 12.5%, respectively, of our total segment net operating income, compared with 9.4% and 11.8% during the three and nine months ended September 30, 2021, respectively</w:t>
      </w:r>
      <w:r>
        <w:rPr>
          <w:sz w:val="20"/>
          <w:szCs w:val="20"/>
        </w:rPr>
        <w:t>.</w:t>
      </w:r>
    </w:p>
    <w:p w14:paraId="1B491CE0" w14:textId="77777777" w:rsidR="00000000" w:rsidRDefault="003A1B5D">
      <w:pPr>
        <w:pStyle w:val="a3"/>
        <w:spacing w:before="240" w:beforeAutospacing="0" w:after="0" w:afterAutospacing="0"/>
        <w:jc w:val="both"/>
        <w:rPr>
          <w:sz w:val="20"/>
          <w:szCs w:val="20"/>
        </w:rPr>
      </w:pPr>
      <w:r>
        <w:rPr>
          <w:sz w:val="20"/>
          <w:szCs w:val="20"/>
        </w:rPr>
        <w:t>On May 28, 2021, we complet</w:t>
      </w:r>
      <w:r>
        <w:rPr>
          <w:sz w:val="20"/>
          <w:szCs w:val="20"/>
        </w:rPr>
        <w:t>ed the sale of two leased properties, the 277,000 square foot Capital Commerce Center, primarily leased to an agency of the State of Florida in Tallahassee, Florida, and a 217,000 square foot warehouse property leased to the General Services Administration</w:t>
      </w:r>
      <w:r>
        <w:rPr>
          <w:sz w:val="20"/>
          <w:szCs w:val="20"/>
        </w:rPr>
        <w:t>, or GSA, in Dayton, Ohio, in a single transaction to a third party for an aggregate price of $73.0 million, generating net proceeds of $46.2 million after the repayment of the debt related to the Capital Commerce Center and other transaction-related costs</w:t>
      </w:r>
      <w:r>
        <w:rPr>
          <w:sz w:val="20"/>
          <w:szCs w:val="20"/>
        </w:rPr>
        <w:t>. In addition, on June 29, 2021, we completed the sale of a 541,000 square foot property leased to the GSA in Baltimore, Maryland to a third party for a price of $253.0 million, generating net proceeds of $76.4 million after the repayment of the debt relat</w:t>
      </w:r>
      <w:r>
        <w:rPr>
          <w:sz w:val="20"/>
          <w:szCs w:val="20"/>
        </w:rPr>
        <w:t>ed to the Baltimore property and other transaction-related costs. During our period of ownership in 2021, these three properties generated facility net operating income of $9.5 million. We recorded an aggregate net gain on the sales of these three properti</w:t>
      </w:r>
      <w:r>
        <w:rPr>
          <w:sz w:val="20"/>
          <w:szCs w:val="20"/>
        </w:rPr>
        <w:t>es of $38.9 million during the second quarter of 2021</w:t>
      </w:r>
      <w:r>
        <w:rPr>
          <w:sz w:val="20"/>
          <w:szCs w:val="20"/>
        </w:rPr>
        <w:t>.</w:t>
      </w:r>
      <w:r>
        <w:rPr>
          <w:sz w:val="20"/>
          <w:szCs w:val="20"/>
        </w:rPr>
        <w:t xml:space="preserve"> </w:t>
      </w:r>
    </w:p>
    <w:p w14:paraId="5EE58A2D" w14:textId="77777777" w:rsidR="00000000" w:rsidRDefault="003A1B5D">
      <w:pPr>
        <w:pStyle w:val="a3"/>
        <w:spacing w:before="240" w:beforeAutospacing="0" w:after="0" w:afterAutospacing="0"/>
        <w:jc w:val="both"/>
        <w:rPr>
          <w:sz w:val="20"/>
          <w:szCs w:val="20"/>
        </w:rPr>
      </w:pPr>
      <w:r>
        <w:rPr>
          <w:sz w:val="20"/>
          <w:szCs w:val="20"/>
        </w:rPr>
        <w:t>On September 20, 2021, we entered into a three-year lease agreement with the state of New Mexico at our 596-bed Northwest New Mexico Correctional Center. We previously operated the Northwest New Mexic</w:t>
      </w:r>
      <w:r>
        <w:rPr>
          <w:sz w:val="20"/>
          <w:szCs w:val="20"/>
        </w:rPr>
        <w:t>o facility in our Safety segment under a contract with the state of New Mexico. We transitioned facility operations to the New Mexico Corrections Department upon commencement of the new lease agreement on November 1, 2021. We will retain responsibility for</w:t>
      </w:r>
      <w:r>
        <w:rPr>
          <w:sz w:val="20"/>
          <w:szCs w:val="20"/>
        </w:rPr>
        <w:t xml:space="preserve"> facility maintenance throughout the term of the lease. The new lease agreement includes extension options that could extend the term of the lease through October 31, 2041. The average annual rent for the initial three-year lease term is $3.2 million, incl</w:t>
      </w:r>
      <w:r>
        <w:rPr>
          <w:sz w:val="20"/>
          <w:szCs w:val="20"/>
        </w:rPr>
        <w:t>uding annual rent of $4.2 million in the second and third years of the lease, with annual escalators thereafter</w:t>
      </w:r>
      <w:r>
        <w:rPr>
          <w:sz w:val="20"/>
          <w:szCs w:val="20"/>
        </w:rPr>
        <w:t>.</w:t>
      </w:r>
      <w:r>
        <w:rPr>
          <w:sz w:val="20"/>
          <w:szCs w:val="20"/>
        </w:rPr>
        <w:t xml:space="preserve"> </w:t>
      </w:r>
    </w:p>
    <w:p w14:paraId="26F2C128" w14:textId="77777777" w:rsidR="00000000" w:rsidRDefault="003A1B5D">
      <w:pPr>
        <w:pStyle w:val="a3"/>
        <w:spacing w:before="240" w:beforeAutospacing="0" w:after="0" w:afterAutospacing="0"/>
        <w:jc w:val="both"/>
        <w:rPr>
          <w:sz w:val="20"/>
          <w:szCs w:val="20"/>
        </w:rPr>
      </w:pPr>
      <w:r>
        <w:rPr>
          <w:sz w:val="20"/>
          <w:szCs w:val="20"/>
        </w:rPr>
        <w:t>During July 2022, we sold the Stockton Female Community Corrections Facility and the Long Beach Community Corrections Center, both located in California, generating net sales proceeds of $10.9 million. During 2021, these two properties generated facility n</w:t>
      </w:r>
      <w:r>
        <w:rPr>
          <w:sz w:val="20"/>
          <w:szCs w:val="20"/>
        </w:rPr>
        <w:t>et operating income of $1.0 million, including $0.3 million and $0.8 million in the three and nine months ended September 30, 2021, respectively. During our period of ownership in 2022, these two properties generated facility net operating income of $0.6 m</w:t>
      </w:r>
      <w:r>
        <w:rPr>
          <w:sz w:val="20"/>
          <w:szCs w:val="20"/>
        </w:rPr>
        <w:t>illion. We reported an aggregate net gain on the sale of these two properties of $2.3 million during the third quarter of 2022</w:t>
      </w:r>
      <w:r>
        <w:rPr>
          <w:sz w:val="20"/>
          <w:szCs w:val="20"/>
        </w:rPr>
        <w:t>.</w:t>
      </w:r>
    </w:p>
    <w:p w14:paraId="49E8E915" w14:textId="77777777" w:rsidR="00000000" w:rsidRDefault="003A1B5D">
      <w:pPr>
        <w:pStyle w:val="a3"/>
        <w:spacing w:before="240" w:beforeAutospacing="0" w:after="0" w:afterAutospacing="0"/>
        <w:jc w:val="both"/>
        <w:rPr>
          <w:sz w:val="20"/>
          <w:szCs w:val="20"/>
        </w:rPr>
      </w:pPr>
      <w:r>
        <w:rPr>
          <w:sz w:val="20"/>
          <w:szCs w:val="20"/>
        </w:rPr>
        <w:t>In September 2022, we entered into a Letter of Intent with a third party for the sale of our Roth Hall Residential Reentry Cente</w:t>
      </w:r>
      <w:r>
        <w:rPr>
          <w:sz w:val="20"/>
          <w:szCs w:val="20"/>
        </w:rPr>
        <w:t>r and the Walker Hall Residential Reentry Center both of which are located in Philadelphia, Pennsylvania, for a gross sales price of $6.3 million. We expect the sale to be complete during the fourth quarter of 2022. These two properties operated at a break</w:t>
      </w:r>
      <w:r>
        <w:rPr>
          <w:sz w:val="20"/>
          <w:szCs w:val="20"/>
        </w:rPr>
        <w:t>-even facility net operating income level for the three months ended September 20, 2022, and generated $0.2 million of facility net operating income for the nine months ended September 30, 2022</w:t>
      </w:r>
      <w:r>
        <w:rPr>
          <w:sz w:val="20"/>
          <w:szCs w:val="20"/>
        </w:rPr>
        <w:t>.</w:t>
      </w:r>
    </w:p>
    <w:p w14:paraId="0742A466" w14:textId="77777777" w:rsidR="00000000" w:rsidRDefault="003A1B5D">
      <w:pPr>
        <w:pStyle w:val="a3"/>
        <w:spacing w:before="360" w:beforeAutospacing="0" w:after="0" w:afterAutospacing="0"/>
        <w:jc w:val="both"/>
        <w:rPr>
          <w:sz w:val="20"/>
          <w:szCs w:val="20"/>
        </w:rPr>
      </w:pPr>
      <w:r>
        <w:rPr>
          <w:b/>
          <w:bCs/>
          <w:i/>
          <w:iCs/>
          <w:sz w:val="20"/>
          <w:szCs w:val="20"/>
        </w:rPr>
        <w:t>General and administrative expense</w:t>
      </w:r>
      <w:r>
        <w:rPr>
          <w:b/>
          <w:bCs/>
          <w:i/>
          <w:iCs/>
          <w:sz w:val="20"/>
          <w:szCs w:val="20"/>
        </w:rPr>
        <w:t>s</w:t>
      </w:r>
    </w:p>
    <w:p w14:paraId="22A98166" w14:textId="77777777" w:rsidR="00000000" w:rsidRDefault="003A1B5D">
      <w:pPr>
        <w:pStyle w:val="a3"/>
        <w:spacing w:before="120" w:beforeAutospacing="0" w:after="0" w:afterAutospacing="0"/>
        <w:jc w:val="both"/>
        <w:rPr>
          <w:sz w:val="20"/>
          <w:szCs w:val="20"/>
        </w:rPr>
      </w:pPr>
      <w:r>
        <w:rPr>
          <w:sz w:val="20"/>
          <w:szCs w:val="20"/>
        </w:rPr>
        <w:t>For the three months ende</w:t>
      </w:r>
      <w:r>
        <w:rPr>
          <w:sz w:val="20"/>
          <w:szCs w:val="20"/>
        </w:rPr>
        <w:t xml:space="preserve">d September 30, 2022 and 2021, general and administrative expenses totaled $30.2 million and $34.6 million, respectively, while general and administrative expenses totaled $92.8 million and $97.4 million during the nine months ended September 30, 2022 and </w:t>
      </w:r>
      <w:r>
        <w:rPr>
          <w:sz w:val="20"/>
          <w:szCs w:val="20"/>
        </w:rPr>
        <w:t>2021, respectively. General and administrative expenses consist primarily of corporate management salaries and benefits, professional fees, and other administrative expenses. General and administrative expenses decreased from the prior year periods primari</w:t>
      </w:r>
      <w:r>
        <w:rPr>
          <w:sz w:val="20"/>
          <w:szCs w:val="20"/>
        </w:rPr>
        <w:t>ly as a result of a decreas</w:t>
      </w:r>
      <w:r>
        <w:rPr>
          <w:sz w:val="20"/>
          <w:szCs w:val="20"/>
        </w:rPr>
        <w:t>e</w:t>
      </w:r>
      <w:r>
        <w:rPr>
          <w:sz w:val="20"/>
          <w:szCs w:val="20"/>
        </w:rPr>
        <w:t xml:space="preserve"> in corporate management salaries and benefits, which was largely related to lower incentive-based compensation</w:t>
      </w:r>
      <w:r>
        <w:rPr>
          <w:sz w:val="20"/>
          <w:szCs w:val="20"/>
        </w:rPr>
        <w:t>.</w:t>
      </w:r>
      <w:r>
        <w:rPr>
          <w:sz w:val="20"/>
          <w:szCs w:val="20"/>
        </w:rPr>
        <w:t xml:space="preserve"> </w:t>
      </w:r>
    </w:p>
    <w:p w14:paraId="5BD5DD33" w14:textId="77777777" w:rsidR="00000000" w:rsidRDefault="003A1B5D">
      <w:pPr>
        <w:pStyle w:val="a3"/>
        <w:spacing w:before="360" w:beforeAutospacing="0" w:after="0" w:afterAutospacing="0"/>
        <w:jc w:val="both"/>
        <w:rPr>
          <w:sz w:val="20"/>
          <w:szCs w:val="20"/>
        </w:rPr>
      </w:pPr>
      <w:r>
        <w:rPr>
          <w:b/>
          <w:bCs/>
          <w:i/>
          <w:iCs/>
          <w:sz w:val="20"/>
          <w:szCs w:val="20"/>
        </w:rPr>
        <w:t>Depreciation and amortizatio</w:t>
      </w:r>
      <w:r>
        <w:rPr>
          <w:b/>
          <w:bCs/>
          <w:i/>
          <w:iCs/>
          <w:sz w:val="20"/>
          <w:szCs w:val="20"/>
        </w:rPr>
        <w:t>n</w:t>
      </w:r>
    </w:p>
    <w:p w14:paraId="3693E1BE" w14:textId="77777777" w:rsidR="00000000" w:rsidRDefault="003A1B5D">
      <w:pPr>
        <w:pStyle w:val="a3"/>
        <w:spacing w:before="120" w:beforeAutospacing="0" w:after="0" w:afterAutospacing="0"/>
        <w:jc w:val="both"/>
        <w:rPr>
          <w:sz w:val="20"/>
          <w:szCs w:val="20"/>
        </w:rPr>
      </w:pPr>
      <w:r>
        <w:rPr>
          <w:sz w:val="20"/>
          <w:szCs w:val="20"/>
        </w:rPr>
        <w:t>For the three months ended September 30, 2022 and 2021, depreciation and amortizatio</w:t>
      </w:r>
      <w:r>
        <w:rPr>
          <w:sz w:val="20"/>
          <w:szCs w:val="20"/>
        </w:rPr>
        <w:t>n expense totaled $31.9 million and $34.0 million, respectively, while depreciation and amortization expense totaled $96.2 million and $100.8 million during the nine months ended September 30, 2022 and 2021, respectively. Depreciation and amortization expe</w:t>
      </w:r>
      <w:r>
        <w:rPr>
          <w:sz w:val="20"/>
          <w:szCs w:val="20"/>
        </w:rPr>
        <w:t>nse decreased in both periods</w:t>
      </w:r>
      <w:r>
        <w:rPr>
          <w:sz w:val="20"/>
          <w:szCs w:val="20"/>
        </w:rPr>
        <w:t xml:space="preserve"> </w:t>
      </w:r>
      <w:r>
        <w:rPr>
          <w:sz w:val="20"/>
          <w:szCs w:val="20"/>
        </w:rPr>
        <w:t>due to certain information technology equipment becoming fully depreciated. In addition, the decrease in depreciation and amortization expense in both periods was due t</w:t>
      </w:r>
      <w:r>
        <w:rPr>
          <w:sz w:val="20"/>
          <w:szCs w:val="20"/>
        </w:rPr>
        <w:t>o</w:t>
      </w:r>
      <w:r>
        <w:rPr>
          <w:sz w:val="20"/>
          <w:szCs w:val="20"/>
        </w:rPr>
        <w:t xml:space="preserve"> the contract termination at the Marion County Jail and t</w:t>
      </w:r>
      <w:r>
        <w:rPr>
          <w:sz w:val="20"/>
          <w:szCs w:val="20"/>
        </w:rPr>
        <w:t>he sales of our Fox Facility and Training Center and our Ulster Facility, all of which occurred during the first quarter of 2022. In addition, the sale of our McRae Correctional Facility in the third quarter of 2022 contributed to the decrease in depreciat</w:t>
      </w:r>
      <w:r>
        <w:rPr>
          <w:sz w:val="20"/>
          <w:szCs w:val="20"/>
        </w:rPr>
        <w:t>ion and amortization expense in both the three- and nine-month periods ended September 30, 2022</w:t>
      </w:r>
      <w:r>
        <w:rPr>
          <w:sz w:val="20"/>
          <w:szCs w:val="20"/>
        </w:rPr>
        <w:t>.</w:t>
      </w:r>
    </w:p>
    <w:p w14:paraId="6248054C" w14:textId="77777777" w:rsidR="00000000" w:rsidRDefault="003A1B5D">
      <w:pPr>
        <w:pStyle w:val="a3"/>
        <w:spacing w:before="360" w:beforeAutospacing="0" w:after="0" w:afterAutospacing="0"/>
        <w:jc w:val="both"/>
        <w:rPr>
          <w:sz w:val="20"/>
          <w:szCs w:val="20"/>
        </w:rPr>
      </w:pPr>
      <w:r>
        <w:rPr>
          <w:b/>
          <w:bCs/>
          <w:i/>
          <w:iCs/>
          <w:sz w:val="20"/>
          <w:szCs w:val="20"/>
        </w:rPr>
        <w:t>Shareholder litigation expens</w:t>
      </w:r>
      <w:r>
        <w:rPr>
          <w:b/>
          <w:bCs/>
          <w:i/>
          <w:iCs/>
          <w:sz w:val="20"/>
          <w:szCs w:val="20"/>
        </w:rPr>
        <w:t>e</w:t>
      </w:r>
    </w:p>
    <w:p w14:paraId="00001532" w14:textId="77777777" w:rsidR="00000000" w:rsidRDefault="003A1B5D">
      <w:pPr>
        <w:pStyle w:val="a3"/>
        <w:spacing w:before="120" w:beforeAutospacing="0" w:after="0" w:afterAutospacing="0"/>
        <w:jc w:val="both"/>
        <w:rPr>
          <w:sz w:val="20"/>
          <w:szCs w:val="20"/>
        </w:rPr>
      </w:pPr>
      <w:r>
        <w:rPr>
          <w:sz w:val="20"/>
          <w:szCs w:val="20"/>
        </w:rPr>
        <w:t xml:space="preserve">On April 16, 2021, we reached an agreement in principle to settle a purported securities class action lawsuit that was filed on </w:t>
      </w:r>
      <w:r>
        <w:rPr>
          <w:sz w:val="20"/>
          <w:szCs w:val="20"/>
        </w:rPr>
        <w:t>August 23, 2016 in the United States District Court for the Middle District of Tennessee, or the District Court, captioned</w:t>
      </w:r>
      <w:r>
        <w:rPr>
          <w:sz w:val="20"/>
          <w:szCs w:val="20"/>
        </w:rPr>
        <w:t xml:space="preserve"> </w:t>
      </w:r>
      <w:r>
        <w:rPr>
          <w:i/>
          <w:iCs/>
          <w:sz w:val="20"/>
          <w:szCs w:val="20"/>
        </w:rPr>
        <w:t>Grae v. Corrections Corporation of America et al</w:t>
      </w:r>
      <w:r>
        <w:rPr>
          <w:i/>
          <w:iCs/>
          <w:sz w:val="20"/>
          <w:szCs w:val="20"/>
        </w:rPr>
        <w:t>.</w:t>
      </w:r>
      <w:r>
        <w:rPr>
          <w:sz w:val="20"/>
          <w:szCs w:val="20"/>
        </w:rPr>
        <w:t xml:space="preserve"> The monetary terms of the settlement included a payment of $56.0 million in return </w:t>
      </w:r>
      <w:r>
        <w:rPr>
          <w:sz w:val="20"/>
          <w:szCs w:val="20"/>
        </w:rPr>
        <w:t>for a dismissal of th</w:t>
      </w:r>
      <w:r>
        <w:rPr>
          <w:sz w:val="20"/>
          <w:szCs w:val="20"/>
        </w:rPr>
        <w:t>e</w:t>
      </w:r>
      <w:r>
        <w:rPr>
          <w:sz w:val="20"/>
          <w:szCs w:val="20"/>
        </w:rPr>
        <w:t xml:space="preserve"> </w:t>
      </w:r>
    </w:p>
    <w:p w14:paraId="1E39D7D0" w14:textId="77777777" w:rsidR="00000000" w:rsidRDefault="003A1B5D">
      <w:pPr>
        <w:pStyle w:val="a3"/>
        <w:spacing w:before="240" w:beforeAutospacing="0" w:after="0" w:afterAutospacing="0"/>
        <w:jc w:val="center"/>
        <w:rPr>
          <w:sz w:val="20"/>
          <w:szCs w:val="20"/>
        </w:rPr>
      </w:pPr>
      <w:r>
        <w:rPr>
          <w:sz w:val="20"/>
          <w:szCs w:val="20"/>
        </w:rPr>
        <w:t>3</w:t>
      </w:r>
      <w:r>
        <w:rPr>
          <w:sz w:val="20"/>
          <w:szCs w:val="20"/>
        </w:rPr>
        <w:t>4</w:t>
      </w:r>
    </w:p>
    <w:p w14:paraId="2C190654" w14:textId="77777777" w:rsidR="00000000" w:rsidRDefault="003A1B5D">
      <w:pPr>
        <w:rPr>
          <w:rFonts w:eastAsia="Times New Roman"/>
        </w:rPr>
      </w:pPr>
      <w:r>
        <w:rPr>
          <w:rFonts w:eastAsia="Times New Roman"/>
        </w:rPr>
        <w:pict w14:anchorId="677D9747">
          <v:rect id="_x0000_i1060" style="width:0;height:1.5pt" o:hralign="center" o:hrstd="t" o:hr="t" fillcolor="#a0a0a0" stroked="f"/>
        </w:pict>
      </w:r>
    </w:p>
    <w:p w14:paraId="57149BE2" w14:textId="77777777" w:rsidR="00000000" w:rsidRDefault="003A1B5D">
      <w:pPr>
        <w:pStyle w:val="a3"/>
        <w:spacing w:before="0" w:beforeAutospacing="0" w:after="0" w:afterAutospacing="0"/>
        <w:rPr>
          <w:sz w:val="20"/>
          <w:szCs w:val="20"/>
        </w:rPr>
      </w:pPr>
      <w:r>
        <w:rPr>
          <w:sz w:val="20"/>
          <w:szCs w:val="20"/>
        </w:rPr>
        <w:t> </w:t>
      </w:r>
    </w:p>
    <w:p w14:paraId="4CACFEFF" w14:textId="77777777" w:rsidR="00000000" w:rsidRDefault="003A1B5D">
      <w:pPr>
        <w:pStyle w:val="a3"/>
        <w:spacing w:before="120" w:beforeAutospacing="0" w:after="0" w:afterAutospacing="0"/>
        <w:jc w:val="both"/>
        <w:rPr>
          <w:sz w:val="20"/>
          <w:szCs w:val="20"/>
        </w:rPr>
      </w:pPr>
      <w:r>
        <w:rPr>
          <w:sz w:val="20"/>
          <w:szCs w:val="20"/>
        </w:rPr>
        <w:t xml:space="preserve">case with prejudice and a full release of all claims against all defendants. The settlement agreement, which was approved by the District Court on November 8, 2021, contains no admission of </w:t>
      </w:r>
      <w:r>
        <w:rPr>
          <w:sz w:val="20"/>
          <w:szCs w:val="20"/>
        </w:rPr>
        <w:t>liability, wrongdoing, or responsibility by any of the defendants, including us. As a result of the settlement, we recognized an expense of $54.3 million during 2021 (all of which was recognized during the first six months of 2021), which was net of the re</w:t>
      </w:r>
      <w:r>
        <w:rPr>
          <w:sz w:val="20"/>
          <w:szCs w:val="20"/>
        </w:rPr>
        <w:t>maining insurance available under the Company's policies. We paid the settlement amount in May 2021</w:t>
      </w:r>
      <w:r>
        <w:rPr>
          <w:sz w:val="20"/>
          <w:szCs w:val="20"/>
        </w:rPr>
        <w:t>.</w:t>
      </w:r>
      <w:r>
        <w:rPr>
          <w:sz w:val="20"/>
          <w:szCs w:val="20"/>
        </w:rPr>
        <w:t xml:space="preserve"> </w:t>
      </w:r>
    </w:p>
    <w:p w14:paraId="23BF6AEF" w14:textId="77777777" w:rsidR="00000000" w:rsidRDefault="003A1B5D">
      <w:pPr>
        <w:pStyle w:val="a3"/>
        <w:spacing w:before="240" w:beforeAutospacing="0" w:after="0" w:afterAutospacing="0"/>
        <w:jc w:val="both"/>
        <w:rPr>
          <w:sz w:val="20"/>
          <w:szCs w:val="20"/>
        </w:rPr>
      </w:pPr>
      <w:r>
        <w:rPr>
          <w:sz w:val="20"/>
          <w:szCs w:val="20"/>
        </w:rPr>
        <w:t>We are also named along with several of our directors in six derivative lawsuits which raise similar allegations to those raised in the</w:t>
      </w:r>
      <w:r>
        <w:rPr>
          <w:sz w:val="20"/>
          <w:szCs w:val="20"/>
        </w:rPr>
        <w:t xml:space="preserve"> </w:t>
      </w:r>
      <w:r>
        <w:rPr>
          <w:i/>
          <w:iCs/>
          <w:sz w:val="20"/>
          <w:szCs w:val="20"/>
        </w:rPr>
        <w:t>Gra</w:t>
      </w:r>
      <w:r>
        <w:rPr>
          <w:i/>
          <w:iCs/>
          <w:sz w:val="20"/>
          <w:szCs w:val="20"/>
        </w:rPr>
        <w:t>e</w:t>
      </w:r>
      <w:r>
        <w:rPr>
          <w:sz w:val="20"/>
          <w:szCs w:val="20"/>
        </w:rPr>
        <w:t xml:space="preserve"> securities li</w:t>
      </w:r>
      <w:r>
        <w:rPr>
          <w:sz w:val="20"/>
          <w:szCs w:val="20"/>
        </w:rPr>
        <w:t>tigation, which are currently stayed by agreement of the parties. While we believe these lawsuits are entirely without merit, we acknowledge the costs and risks of extensive and complex litigation regarding these matters are substantial and subject to an u</w:t>
      </w:r>
      <w:r>
        <w:rPr>
          <w:sz w:val="20"/>
          <w:szCs w:val="20"/>
        </w:rPr>
        <w:t>npredictable outcome. On June 17, 2022, we and derivative plaintiffs informed the District Court that the parties had reached an agreement as to the plaintiffs' attorneys' fees and expenses. During the second quarter of 2022, we recognized an additional ex</w:t>
      </w:r>
      <w:r>
        <w:rPr>
          <w:sz w:val="20"/>
          <w:szCs w:val="20"/>
        </w:rPr>
        <w:t>pense of $1.9 million to reflect our estimate of the probable liability associated with these matters. On September 19, 2022, the Court issued an order, or the Preliminary Order, providing for preliminary approval of the proposed settlement of the claims a</w:t>
      </w:r>
      <w:r>
        <w:rPr>
          <w:sz w:val="20"/>
          <w:szCs w:val="20"/>
        </w:rPr>
        <w:t>sserted nominally on our behalf against the individual defendants named in the previously disclosed stockholder derivative action. The settlement calls for us to adopt certain governance changes and to pay plaintiff’s counsel $3.5 million in attorneys’ fee</w:t>
      </w:r>
      <w:r>
        <w:rPr>
          <w:sz w:val="20"/>
          <w:szCs w:val="20"/>
        </w:rPr>
        <w:t>s. The Preliminary Order set a final settlement approval hearing for December 1, 2022. Considering amounts previously recognized for these matters, we had adequately accrued for this liability as of September 30, 202</w:t>
      </w:r>
      <w:r>
        <w:rPr>
          <w:sz w:val="20"/>
          <w:szCs w:val="20"/>
        </w:rPr>
        <w:t>2</w:t>
      </w:r>
      <w:r>
        <w:rPr>
          <w:sz w:val="20"/>
          <w:szCs w:val="20"/>
        </w:rPr>
        <w:t>.</w:t>
      </w:r>
      <w:r>
        <w:rPr>
          <w:sz w:val="20"/>
          <w:szCs w:val="20"/>
        </w:rPr>
        <w:t xml:space="preserve"> </w:t>
      </w:r>
    </w:p>
    <w:p w14:paraId="017614B1" w14:textId="77777777" w:rsidR="00000000" w:rsidRDefault="003A1B5D">
      <w:pPr>
        <w:pStyle w:val="a3"/>
        <w:spacing w:before="360" w:beforeAutospacing="0" w:after="0" w:afterAutospacing="0"/>
        <w:jc w:val="both"/>
        <w:rPr>
          <w:sz w:val="20"/>
          <w:szCs w:val="20"/>
        </w:rPr>
      </w:pPr>
      <w:r>
        <w:rPr>
          <w:b/>
          <w:bCs/>
          <w:i/>
          <w:iCs/>
          <w:sz w:val="20"/>
          <w:szCs w:val="20"/>
        </w:rPr>
        <w:t>Asset impairment</w:t>
      </w:r>
      <w:r>
        <w:rPr>
          <w:b/>
          <w:bCs/>
          <w:i/>
          <w:iCs/>
          <w:sz w:val="20"/>
          <w:szCs w:val="20"/>
        </w:rPr>
        <w:t>s</w:t>
      </w:r>
    </w:p>
    <w:p w14:paraId="2A0470D1" w14:textId="77777777" w:rsidR="00000000" w:rsidRDefault="003A1B5D">
      <w:pPr>
        <w:pStyle w:val="a3"/>
        <w:spacing w:before="120" w:beforeAutospacing="0" w:after="0" w:afterAutospacing="0"/>
        <w:jc w:val="both"/>
        <w:rPr>
          <w:sz w:val="20"/>
          <w:szCs w:val="20"/>
        </w:rPr>
      </w:pPr>
      <w:r>
        <w:rPr>
          <w:sz w:val="20"/>
          <w:szCs w:val="20"/>
        </w:rPr>
        <w:t>Pursuant to the ag</w:t>
      </w:r>
      <w:r>
        <w:rPr>
          <w:sz w:val="20"/>
          <w:szCs w:val="20"/>
        </w:rPr>
        <w:t>reement to sell the Oklahoma City Transitional Center expected to close in the fourth quarter of 2022, we recognized an impairment charge of $3.5 million during the three months ended September 30, 2022 associated with this facility held for sale, based on</w:t>
      </w:r>
      <w:r>
        <w:rPr>
          <w:sz w:val="20"/>
          <w:szCs w:val="20"/>
        </w:rPr>
        <w:t xml:space="preserve"> its estimated net realizable value less costs to sell</w:t>
      </w:r>
      <w:r>
        <w:rPr>
          <w:sz w:val="20"/>
          <w:szCs w:val="20"/>
        </w:rPr>
        <w:t>.</w:t>
      </w:r>
    </w:p>
    <w:p w14:paraId="0768C358" w14:textId="77777777" w:rsidR="00000000" w:rsidRDefault="003A1B5D">
      <w:pPr>
        <w:pStyle w:val="a3"/>
        <w:spacing w:before="120" w:beforeAutospacing="0" w:after="0" w:afterAutospacing="0"/>
        <w:jc w:val="both"/>
        <w:rPr>
          <w:sz w:val="20"/>
          <w:szCs w:val="20"/>
        </w:rPr>
      </w:pPr>
      <w:r>
        <w:rPr>
          <w:sz w:val="20"/>
          <w:szCs w:val="20"/>
        </w:rPr>
        <w:t>Asset impairment charges during the nine months ended September 30, 2021 include $5.2 million for the impairment of pre-development activities recognized in the third quarter of 2021 in our Properties</w:t>
      </w:r>
      <w:r>
        <w:rPr>
          <w:sz w:val="20"/>
          <w:szCs w:val="20"/>
        </w:rPr>
        <w:t xml:space="preserve"> segment. The impairment was a result of lease terminations with the state of Alabama, as previously described in our 2021 Form 10-K. Asset impairment charges during the nine months ended September 30, 2021 also include the impairment of $2.9 million for g</w:t>
      </w:r>
      <w:r>
        <w:rPr>
          <w:sz w:val="20"/>
          <w:szCs w:val="20"/>
        </w:rPr>
        <w:t>oodwill and other assets associated with the anticipated termination of a managed-only contract in our Safety segment recognized during the second quarter of 2021, and $1.3 million for the impairment of real estate assets recognized during the first quarte</w:t>
      </w:r>
      <w:r>
        <w:rPr>
          <w:sz w:val="20"/>
          <w:szCs w:val="20"/>
        </w:rPr>
        <w:t>r of 2021 for a facility in our Properties segment that was sold during the second quarter of 2021</w:t>
      </w:r>
      <w:r>
        <w:rPr>
          <w:sz w:val="20"/>
          <w:szCs w:val="20"/>
        </w:rPr>
        <w:t>.</w:t>
      </w:r>
      <w:r>
        <w:rPr>
          <w:sz w:val="20"/>
          <w:szCs w:val="20"/>
        </w:rPr>
        <w:t xml:space="preserve"> </w:t>
      </w:r>
    </w:p>
    <w:p w14:paraId="591AB589" w14:textId="77777777" w:rsidR="00000000" w:rsidRDefault="003A1B5D">
      <w:pPr>
        <w:pStyle w:val="a3"/>
        <w:spacing w:before="360" w:beforeAutospacing="0" w:after="0" w:afterAutospacing="0"/>
        <w:jc w:val="both"/>
        <w:rPr>
          <w:sz w:val="20"/>
          <w:szCs w:val="20"/>
        </w:rPr>
      </w:pPr>
      <w:r>
        <w:rPr>
          <w:b/>
          <w:bCs/>
          <w:i/>
          <w:iCs/>
          <w:sz w:val="20"/>
          <w:szCs w:val="20"/>
        </w:rPr>
        <w:t>Interest expense, ne</w:t>
      </w:r>
      <w:r>
        <w:rPr>
          <w:b/>
          <w:bCs/>
          <w:i/>
          <w:iCs/>
          <w:sz w:val="20"/>
          <w:szCs w:val="20"/>
        </w:rPr>
        <w:t>t</w:t>
      </w:r>
    </w:p>
    <w:p w14:paraId="70B3318E" w14:textId="77777777" w:rsidR="00000000" w:rsidRDefault="003A1B5D">
      <w:pPr>
        <w:pStyle w:val="a3"/>
        <w:spacing w:before="240" w:beforeAutospacing="0" w:after="0" w:afterAutospacing="0"/>
        <w:jc w:val="both"/>
        <w:rPr>
          <w:sz w:val="20"/>
          <w:szCs w:val="20"/>
        </w:rPr>
      </w:pPr>
      <w:r>
        <w:rPr>
          <w:sz w:val="20"/>
          <w:szCs w:val="20"/>
        </w:rPr>
        <w:t>As discussed in more detail hereinafter, on May 12, 2022, we entered into a Third Amended and Restated Credit Agreement, or the New B</w:t>
      </w:r>
      <w:r>
        <w:rPr>
          <w:sz w:val="20"/>
          <w:szCs w:val="20"/>
        </w:rPr>
        <w:t>ank Credit Facility, in an aggregate principal amount of $350.0 million, consisting of a $100.0 million term loan, or the New Term Loan A, and a $250.0 revolving credit facility, or the New Revolving Credit Facility. The New Bank Credit Facility replaced t</w:t>
      </w:r>
      <w:r>
        <w:rPr>
          <w:sz w:val="20"/>
          <w:szCs w:val="20"/>
        </w:rPr>
        <w:t>he Second Amended and Restated Credit Agreement, or the Previous Bank Credit Facility, which was in an aggregate principal amount of $1.0 billion and consisted of a term loan with an original principal balance of $200.0 million, or the Previous Term Loan A</w:t>
      </w:r>
      <w:r>
        <w:rPr>
          <w:sz w:val="20"/>
          <w:szCs w:val="20"/>
        </w:rPr>
        <w:t>, and a revolving credit facility with a borrowing capacity of $800.0 million, or the Previous Revolving Credit Facility. The New Bank Credit Facility extends the maturity to May 2026 from the April 2023 maturity under the Previous Bank Credit Facility. Th</w:t>
      </w:r>
      <w:r>
        <w:rPr>
          <w:sz w:val="20"/>
          <w:szCs w:val="20"/>
        </w:rPr>
        <w:t>e New Bank Credit Facility and the Previous Bank Credit Facility are together referred to herein as the Bank Credit Facility</w:t>
      </w:r>
      <w:r>
        <w:rPr>
          <w:sz w:val="20"/>
          <w:szCs w:val="20"/>
        </w:rPr>
        <w:t>.</w:t>
      </w:r>
    </w:p>
    <w:p w14:paraId="25810295" w14:textId="77777777" w:rsidR="00000000" w:rsidRDefault="003A1B5D">
      <w:pPr>
        <w:pStyle w:val="a3"/>
        <w:spacing w:before="120" w:beforeAutospacing="0" w:after="0" w:afterAutospacing="0"/>
        <w:jc w:val="both"/>
        <w:rPr>
          <w:sz w:val="20"/>
          <w:szCs w:val="20"/>
        </w:rPr>
      </w:pPr>
      <w:r>
        <w:rPr>
          <w:sz w:val="20"/>
          <w:szCs w:val="20"/>
        </w:rPr>
        <w:t>Interest expense is reported net of interest income and capitalized interest for the three and nine months ended September 30, 202</w:t>
      </w:r>
      <w:r>
        <w:rPr>
          <w:sz w:val="20"/>
          <w:szCs w:val="20"/>
        </w:rPr>
        <w:t xml:space="preserve">2 and 2021. Gross interest expense, net of capitalized interest, was $23.5 million and $23.1 million for the three months ended September 30, 2022 and 2021, respectively, and was $73.1 million and $69.9 million for the nine months ended September 30, 2022 </w:t>
      </w:r>
      <w:r>
        <w:rPr>
          <w:sz w:val="20"/>
          <w:szCs w:val="20"/>
        </w:rPr>
        <w:t>and 2021, respectively. Gross interest expense was based on outstanding borrowings under our Bank Credit Facility, our Term Loan B (which we repaid in full in May 2022, as further described hereinafter), our outstanding senior unsecured notes, and our outs</w:t>
      </w:r>
      <w:r>
        <w:rPr>
          <w:sz w:val="20"/>
          <w:szCs w:val="20"/>
        </w:rPr>
        <w:t>tanding non-recourse mortgage notes, as well as the amortization of loan costs and unused facility fees. Interest expense during the nine-month period ended September 30, 2022 compared with the same period in 2021 increased primarily as a result of the iss</w:t>
      </w:r>
      <w:r>
        <w:rPr>
          <w:sz w:val="20"/>
          <w:szCs w:val="20"/>
        </w:rPr>
        <w:t>uance of $675.0 million aggregate principal amount of 8.25% senior unsecured notes in April and September 2021, which increased the average interest rate applicable to our outstanding debt, as further described hereinafter. However, the increase in gross i</w:t>
      </w:r>
      <w:r>
        <w:rPr>
          <w:sz w:val="20"/>
          <w:szCs w:val="20"/>
        </w:rPr>
        <w:t>nterest expense was partially offset by a decrease in the average outstanding balance on our Previous Revolving Credit Facility (which we repaid in full in the third quarter of 2021), the redemption and repurchase of an aggregate of $426.4 million of senio</w:t>
      </w:r>
      <w:r>
        <w:rPr>
          <w:sz w:val="20"/>
          <w:szCs w:val="20"/>
        </w:rPr>
        <w:t>r unsecured notes during 2021, the repayment of certain non-recourse mortgage notes during 2021, the repayment of $90.0 million of the then-outstanding balance of the Term Loan B during October 2021, and the $124.1 million repayment of the remaining balanc</w:t>
      </w:r>
      <w:r>
        <w:rPr>
          <w:sz w:val="20"/>
          <w:szCs w:val="20"/>
        </w:rPr>
        <w:t>e of the Term Loan B during May 2022, all as further described hereinafter, which also contributed to a reduction in interest expense during the three-month period ended September 30, 2022 compared with the same period in 2021</w:t>
      </w:r>
      <w:r>
        <w:rPr>
          <w:sz w:val="20"/>
          <w:szCs w:val="20"/>
        </w:rPr>
        <w:t>.</w:t>
      </w:r>
      <w:r>
        <w:rPr>
          <w:sz w:val="20"/>
          <w:szCs w:val="20"/>
        </w:rPr>
        <w:t xml:space="preserve"> </w:t>
      </w:r>
    </w:p>
    <w:p w14:paraId="614CDA7B" w14:textId="77777777" w:rsidR="00000000" w:rsidRDefault="003A1B5D">
      <w:pPr>
        <w:pStyle w:val="a3"/>
        <w:spacing w:before="240" w:beforeAutospacing="0" w:after="0" w:afterAutospacing="0"/>
        <w:jc w:val="center"/>
        <w:rPr>
          <w:sz w:val="20"/>
          <w:szCs w:val="20"/>
        </w:rPr>
      </w:pPr>
      <w:r>
        <w:rPr>
          <w:sz w:val="20"/>
          <w:szCs w:val="20"/>
        </w:rPr>
        <w:t>3</w:t>
      </w:r>
      <w:r>
        <w:rPr>
          <w:sz w:val="20"/>
          <w:szCs w:val="20"/>
        </w:rPr>
        <w:t>5</w:t>
      </w:r>
    </w:p>
    <w:p w14:paraId="5C667E0B" w14:textId="77777777" w:rsidR="00000000" w:rsidRDefault="003A1B5D">
      <w:pPr>
        <w:rPr>
          <w:rFonts w:eastAsia="Times New Roman"/>
        </w:rPr>
      </w:pPr>
      <w:r>
        <w:rPr>
          <w:rFonts w:eastAsia="Times New Roman"/>
        </w:rPr>
        <w:pict w14:anchorId="58215AF4">
          <v:rect id="_x0000_i1061" style="width:0;height:1.5pt" o:hralign="center" o:hrstd="t" o:hr="t" fillcolor="#a0a0a0" stroked="f"/>
        </w:pict>
      </w:r>
    </w:p>
    <w:p w14:paraId="62FE5245" w14:textId="77777777" w:rsidR="00000000" w:rsidRDefault="003A1B5D">
      <w:pPr>
        <w:pStyle w:val="a3"/>
        <w:spacing w:before="0" w:beforeAutospacing="0" w:after="0" w:afterAutospacing="0"/>
        <w:rPr>
          <w:sz w:val="20"/>
          <w:szCs w:val="20"/>
        </w:rPr>
      </w:pPr>
      <w:r>
        <w:rPr>
          <w:sz w:val="20"/>
          <w:szCs w:val="20"/>
        </w:rPr>
        <w:t> </w:t>
      </w:r>
    </w:p>
    <w:p w14:paraId="51A71EF2" w14:textId="77777777" w:rsidR="00000000" w:rsidRDefault="003A1B5D">
      <w:pPr>
        <w:pStyle w:val="a3"/>
        <w:spacing w:before="240" w:beforeAutospacing="0" w:after="0" w:afterAutospacing="0"/>
        <w:jc w:val="both"/>
        <w:rPr>
          <w:sz w:val="20"/>
          <w:szCs w:val="20"/>
        </w:rPr>
      </w:pPr>
      <w:r>
        <w:rPr>
          <w:sz w:val="20"/>
          <w:szCs w:val="20"/>
        </w:rPr>
        <w:t xml:space="preserve">We benefited from relatively low interest rates on our Previous Bank Credit Facility, which was largely based on the London Interbank Offered Rate, or LIBOR. Based on our total leverage ratio, borrowings under our Previous Bank Credit Facility during most </w:t>
      </w:r>
      <w:r>
        <w:rPr>
          <w:sz w:val="20"/>
          <w:szCs w:val="20"/>
        </w:rPr>
        <w:t>of 2021 were at the base rate plus a margin of 0.50% or at LIBOR plus a margin of 1.50%, and a commitment fee equal to 0.35% of the unfunded balance of the Previous Revolving Credit Facility. During the fourth quarter of 2021, based on a reduction in our t</w:t>
      </w:r>
      <w:r>
        <w:rPr>
          <w:sz w:val="20"/>
          <w:szCs w:val="20"/>
        </w:rPr>
        <w:t xml:space="preserve">otal leverage ratio, borrowings under our Previous Bank Credit Facility decreased to a base rate plus a margin of 0.25% or LIBOR plus a margin of 1.25%, and a commitment fee equal to 0.30% of the unfunded balance of the Previous Revolving Credit Facility. </w:t>
      </w:r>
      <w:r>
        <w:rPr>
          <w:sz w:val="20"/>
          <w:szCs w:val="20"/>
        </w:rPr>
        <w:t>Based on our current total leverage ratio, loans under our New Bank Credit Facility bear interest at a base rate plus a margin of 2.25% or at the Bloomberg Short-Term Bank Yield Index, or BSBY, rate plus a margin of 3.25%, and a commitment fee equal to 0.4</w:t>
      </w:r>
      <w:r>
        <w:rPr>
          <w:sz w:val="20"/>
          <w:szCs w:val="20"/>
        </w:rPr>
        <w:t>5% of the unfunded balance of the New Revolving Credit Facility. Although we are exposed to rising interest rates, we have reduced our exposure to rising interest rates by paying down our variable rate debt. The only remaining variable rate debt we have is</w:t>
      </w:r>
      <w:r>
        <w:rPr>
          <w:sz w:val="20"/>
          <w:szCs w:val="20"/>
        </w:rPr>
        <w:t xml:space="preserve"> associated with our New Term Loan A, which had an outstanding balance of $97.5 million as of September 30, 2022, and our New Revolving Credit Facility, which has no outstanding balance and remains undrawn</w:t>
      </w:r>
      <w:r>
        <w:rPr>
          <w:sz w:val="20"/>
          <w:szCs w:val="20"/>
        </w:rPr>
        <w:t>.</w:t>
      </w:r>
      <w:r>
        <w:rPr>
          <w:sz w:val="20"/>
          <w:szCs w:val="20"/>
        </w:rPr>
        <w:t xml:space="preserve"> </w:t>
      </w:r>
    </w:p>
    <w:p w14:paraId="135B09C0" w14:textId="77777777" w:rsidR="00000000" w:rsidRDefault="003A1B5D">
      <w:pPr>
        <w:pStyle w:val="a3"/>
        <w:spacing w:before="240" w:beforeAutospacing="0" w:after="0" w:afterAutospacing="0"/>
        <w:jc w:val="both"/>
        <w:rPr>
          <w:sz w:val="20"/>
          <w:szCs w:val="20"/>
        </w:rPr>
      </w:pPr>
      <w:r>
        <w:rPr>
          <w:sz w:val="20"/>
          <w:szCs w:val="20"/>
        </w:rPr>
        <w:t>On May 19, 2022, we voluntarily repaid in full t</w:t>
      </w:r>
      <w:r>
        <w:rPr>
          <w:sz w:val="20"/>
          <w:szCs w:val="20"/>
        </w:rPr>
        <w:t>he debt outstanding under our Term Loan B, amounting to $124.1 million, and satisfied all of our outstanding obligations under the Term Loan B. We did not incur any prepayment penalties in connection with the repayment of the Term Loan B, which had a sched</w:t>
      </w:r>
      <w:r>
        <w:rPr>
          <w:sz w:val="20"/>
          <w:szCs w:val="20"/>
        </w:rPr>
        <w:t>uled maturity of December 18, 2024. The prepayment was made in full with cash on hand. The Term Loan B bore interest at LIBOR plus 4.50%, with a 1.00% LIBOR floor (or, at our option, a base rate plus 3.50%)</w:t>
      </w:r>
      <w:r>
        <w:rPr>
          <w:sz w:val="20"/>
          <w:szCs w:val="20"/>
        </w:rPr>
        <w:t>.</w:t>
      </w:r>
      <w:r>
        <w:rPr>
          <w:sz w:val="20"/>
          <w:szCs w:val="20"/>
        </w:rPr>
        <w:t xml:space="preserve"> </w:t>
      </w:r>
    </w:p>
    <w:p w14:paraId="2691CA71" w14:textId="77777777" w:rsidR="00000000" w:rsidRDefault="003A1B5D">
      <w:pPr>
        <w:pStyle w:val="a3"/>
        <w:spacing w:before="240" w:beforeAutospacing="0" w:after="0" w:afterAutospacing="0"/>
        <w:jc w:val="both"/>
        <w:rPr>
          <w:sz w:val="20"/>
          <w:szCs w:val="20"/>
        </w:rPr>
      </w:pPr>
      <w:r>
        <w:rPr>
          <w:sz w:val="20"/>
          <w:szCs w:val="20"/>
        </w:rPr>
        <w:t>The 2018 acquisition of the Capital Commerce Ce</w:t>
      </w:r>
      <w:r>
        <w:rPr>
          <w:sz w:val="20"/>
          <w:szCs w:val="20"/>
        </w:rPr>
        <w:t>nter located in Tallahassee, Florida was partially financed with a non-recourse mortgage note, or the Capital Commerce Note, which was fully secured by the Capital Commerce property. The Capital Commerce Note carried a fixed interest rate of 4.5%, required</w:t>
      </w:r>
      <w:r>
        <w:rPr>
          <w:sz w:val="20"/>
          <w:szCs w:val="20"/>
        </w:rPr>
        <w:t xml:space="preserve"> monthly principal and interest payments, and was scheduled to mature in January 2033. The Capital Commerce Note was fully repaid in connection with the sale of the Capital Commerce Center on May 28, 2021</w:t>
      </w:r>
      <w:r>
        <w:rPr>
          <w:sz w:val="20"/>
          <w:szCs w:val="20"/>
        </w:rPr>
        <w:t>.</w:t>
      </w:r>
      <w:r>
        <w:rPr>
          <w:sz w:val="20"/>
          <w:szCs w:val="20"/>
        </w:rPr>
        <w:t xml:space="preserve"> </w:t>
      </w:r>
    </w:p>
    <w:p w14:paraId="421013AA" w14:textId="77777777" w:rsidR="00000000" w:rsidRDefault="003A1B5D">
      <w:pPr>
        <w:pStyle w:val="a3"/>
        <w:spacing w:before="240" w:beforeAutospacing="0" w:after="0" w:afterAutospacing="0"/>
        <w:jc w:val="both"/>
        <w:rPr>
          <w:sz w:val="20"/>
          <w:szCs w:val="20"/>
        </w:rPr>
      </w:pPr>
      <w:r>
        <w:rPr>
          <w:sz w:val="20"/>
          <w:szCs w:val="20"/>
        </w:rPr>
        <w:t>In connection with the acquisition of the SSA-Bal</w:t>
      </w:r>
      <w:r>
        <w:rPr>
          <w:sz w:val="20"/>
          <w:szCs w:val="20"/>
        </w:rPr>
        <w:t>timore office building in 2018, a wholly-owned unrestricted subsidiary of ours assumed $157.3 million of in-place financing. The assumed non-recourse mortgage note, or the SSA Baltimore Note, carried a fixed interest rate of 4.5% and required monthly princ</w:t>
      </w:r>
      <w:r>
        <w:rPr>
          <w:sz w:val="20"/>
          <w:szCs w:val="20"/>
        </w:rPr>
        <w:t>ipal and interest payments, with a balloon payment of $40.0 million due at maturity in February 2034. The SSA-Baltimore Note was fully secured by the SSA-Baltimore property. The SSA-Baltimore Note was fully repaid in connection with the sale of the SSA-Bal</w:t>
      </w:r>
      <w:r>
        <w:rPr>
          <w:sz w:val="20"/>
          <w:szCs w:val="20"/>
        </w:rPr>
        <w:t>timore property on June 29, 2021</w:t>
      </w:r>
      <w:r>
        <w:rPr>
          <w:sz w:val="20"/>
          <w:szCs w:val="20"/>
        </w:rPr>
        <w:t>.</w:t>
      </w:r>
      <w:r>
        <w:rPr>
          <w:sz w:val="20"/>
          <w:szCs w:val="20"/>
        </w:rPr>
        <w:t xml:space="preserve"> </w:t>
      </w:r>
    </w:p>
    <w:p w14:paraId="7DCF2696" w14:textId="77777777" w:rsidR="00000000" w:rsidRDefault="003A1B5D">
      <w:pPr>
        <w:pStyle w:val="a3"/>
        <w:spacing w:before="240" w:beforeAutospacing="0" w:after="0" w:afterAutospacing="0"/>
        <w:jc w:val="both"/>
        <w:rPr>
          <w:sz w:val="20"/>
          <w:szCs w:val="20"/>
        </w:rPr>
      </w:pPr>
      <w:r>
        <w:rPr>
          <w:sz w:val="20"/>
          <w:szCs w:val="20"/>
        </w:rPr>
        <w:t>On April 14, 2021, we completed an underwritten registered public offering of $450.0 million aggregate principal amount of 8.25% senior unsecured notes due 2026, or the Original 8.25% Senior Notes, which are guaranteed by</w:t>
      </w:r>
      <w:r>
        <w:rPr>
          <w:sz w:val="20"/>
          <w:szCs w:val="20"/>
        </w:rPr>
        <w:t xml:space="preserve"> our existing and future subsidiaries that guarantee the Bank Credit Facility. The Original 8.25% Senior Notes were priced at 99.0% of face value and as a result have an effective yield to maturity of 8.50%. We used a significant amount of the net proceeds</w:t>
      </w:r>
      <w:r>
        <w:rPr>
          <w:sz w:val="20"/>
          <w:szCs w:val="20"/>
        </w:rPr>
        <w:t xml:space="preserve"> from the offering of the Original 8.25% Senior Notes (i) to redeem all of our previous $250.0 million aggregate principal amount of 5.0% senior unsecured notes, which were due in 2022, or the 5.0% Senior Notes, including the payment of the applicable "mak</w:t>
      </w:r>
      <w:r>
        <w:rPr>
          <w:sz w:val="20"/>
          <w:szCs w:val="20"/>
        </w:rPr>
        <w:t>e-whole" redemption amount of $15.5 million and accrued interest, and (ii) to repurchase $149.0 million of our $350.0 million principal amount of 4.625% senior unsecured notes due 2023, or the 4.625% Senior Notes, at an aggregate purchase price of $151.2 m</w:t>
      </w:r>
      <w:r>
        <w:rPr>
          <w:sz w:val="20"/>
          <w:szCs w:val="20"/>
        </w:rPr>
        <w:t>illion in privately negotiated transactions, reducing the outstanding balance of the 4.625% Senior Notes to $201.0 million. In the second and fourth quarters of 2021, we purchased an additional aggregate $27.3 million of our 4.625% Senior Notes at par in o</w:t>
      </w:r>
      <w:r>
        <w:rPr>
          <w:sz w:val="20"/>
          <w:szCs w:val="20"/>
        </w:rPr>
        <w:t>pen market purchases, further reducing the outstanding balance of the 4.625% Senior Notes to $173.7 million. In addition, in the second and third quarters of 2022, we purchased an additional $7.1 million of the 4.625% Senior Notes at a weighted average pur</w:t>
      </w:r>
      <w:r>
        <w:rPr>
          <w:sz w:val="20"/>
          <w:szCs w:val="20"/>
        </w:rPr>
        <w:t>chase price approximately equal to par in open market purchases, reducing the outstanding balance of the 4.625% Senior Notes to $166.5 million as of September 30, 2022. The "make-whole" redemption amount paid in connection with the redemption of the 5.0% S</w:t>
      </w:r>
      <w:r>
        <w:rPr>
          <w:sz w:val="20"/>
          <w:szCs w:val="20"/>
        </w:rPr>
        <w:t>enior Notes and the aggregate price paid for the 4.625% Senior Notes in excess of the principal amount of the notes repurchased resulted in charges of approximately $19.2 million during the second quarter of 2021, including costs associated with the repurc</w:t>
      </w:r>
      <w:r>
        <w:rPr>
          <w:sz w:val="20"/>
          <w:szCs w:val="20"/>
        </w:rPr>
        <w:t>hases and the proportionate write-off of existing debt issuance costs. The remaining net proceeds from the issuance of the Original 8.25% Senior Notes were used to pay down a portion of the amounts outstanding under the Previous Revolving Credit Facility a</w:t>
      </w:r>
      <w:r>
        <w:rPr>
          <w:sz w:val="20"/>
          <w:szCs w:val="20"/>
        </w:rPr>
        <w:t>nd for general corporate purposes</w:t>
      </w:r>
      <w:r>
        <w:rPr>
          <w:sz w:val="20"/>
          <w:szCs w:val="20"/>
        </w:rPr>
        <w:t>.</w:t>
      </w:r>
    </w:p>
    <w:p w14:paraId="0F0853CA" w14:textId="77777777" w:rsidR="00000000" w:rsidRDefault="003A1B5D">
      <w:pPr>
        <w:pStyle w:val="a3"/>
        <w:spacing w:before="240" w:beforeAutospacing="0" w:after="0" w:afterAutospacing="0"/>
        <w:jc w:val="center"/>
        <w:rPr>
          <w:sz w:val="20"/>
          <w:szCs w:val="20"/>
        </w:rPr>
      </w:pPr>
      <w:r>
        <w:rPr>
          <w:sz w:val="20"/>
          <w:szCs w:val="20"/>
        </w:rPr>
        <w:t>3</w:t>
      </w:r>
      <w:r>
        <w:rPr>
          <w:sz w:val="20"/>
          <w:szCs w:val="20"/>
        </w:rPr>
        <w:t>6</w:t>
      </w:r>
    </w:p>
    <w:p w14:paraId="4D831345" w14:textId="77777777" w:rsidR="00000000" w:rsidRDefault="003A1B5D">
      <w:pPr>
        <w:rPr>
          <w:rFonts w:eastAsia="Times New Roman"/>
        </w:rPr>
      </w:pPr>
      <w:r>
        <w:rPr>
          <w:rFonts w:eastAsia="Times New Roman"/>
        </w:rPr>
        <w:pict w14:anchorId="12AB2C84">
          <v:rect id="_x0000_i1062" style="width:0;height:1.5pt" o:hralign="center" o:hrstd="t" o:hr="t" fillcolor="#a0a0a0" stroked="f"/>
        </w:pict>
      </w:r>
    </w:p>
    <w:p w14:paraId="38872252" w14:textId="77777777" w:rsidR="00000000" w:rsidRDefault="003A1B5D">
      <w:pPr>
        <w:pStyle w:val="a3"/>
        <w:spacing w:before="0" w:beforeAutospacing="0" w:after="0" w:afterAutospacing="0"/>
        <w:rPr>
          <w:sz w:val="20"/>
          <w:szCs w:val="20"/>
        </w:rPr>
      </w:pPr>
      <w:r>
        <w:rPr>
          <w:sz w:val="20"/>
          <w:szCs w:val="20"/>
        </w:rPr>
        <w:t> </w:t>
      </w:r>
    </w:p>
    <w:p w14:paraId="333C7EFA" w14:textId="77777777" w:rsidR="00000000" w:rsidRDefault="003A1B5D">
      <w:pPr>
        <w:pStyle w:val="a3"/>
        <w:spacing w:before="240" w:beforeAutospacing="0" w:after="0" w:afterAutospacing="0"/>
        <w:jc w:val="both"/>
        <w:rPr>
          <w:sz w:val="20"/>
          <w:szCs w:val="20"/>
        </w:rPr>
      </w:pPr>
      <w:r>
        <w:rPr>
          <w:sz w:val="20"/>
          <w:szCs w:val="20"/>
        </w:rPr>
        <w:t>On September 29, 2021, we completed an underwritten registered tack-on public offering of $225.0 million in aggregate principal amount of 8.25% Senior Notes due 2026, or the Additi</w:t>
      </w:r>
      <w:r>
        <w:rPr>
          <w:sz w:val="20"/>
          <w:szCs w:val="20"/>
        </w:rPr>
        <w:t>onal 8.25% Senior Notes, at an issue price of 102.25% of their aggregate principal amount, plus accrued interest from the April 14, 2021 issue date for the Original 8.25% Senior Notes, resulting in an effective yield to maturity of 7.65% for the Additional</w:t>
      </w:r>
      <w:r>
        <w:rPr>
          <w:sz w:val="20"/>
          <w:szCs w:val="20"/>
        </w:rPr>
        <w:t xml:space="preserve"> 8.25% Senior Notes. The Additional 8.25% Senior Notes and the Original 8.25% Senior Notes, together the 8.25% Senior Notes, constitute a single class of securities and have identical terms, other than issue date and issue price. The issuance of the Additi</w:t>
      </w:r>
      <w:r>
        <w:rPr>
          <w:sz w:val="20"/>
          <w:szCs w:val="20"/>
        </w:rPr>
        <w:t>onal 8.25% Senior Notes increased the total aggregate principal amount of the 8.25% Senior Notes outstanding to $675.0 million. The net proceeds from the issuance of the Additional 8.25% Senior Notes totaled approximately $225.5 million, after deducting th</w:t>
      </w:r>
      <w:r>
        <w:rPr>
          <w:sz w:val="20"/>
          <w:szCs w:val="20"/>
        </w:rPr>
        <w:t>e underwriting discounts and estimated offering expenses and including the original issuance premium. We used the net proceeds from the offering of the Additional 8.25% Senior Notes to pay down our Previous Revolving Credit Facility and for general corpora</w:t>
      </w:r>
      <w:r>
        <w:rPr>
          <w:sz w:val="20"/>
          <w:szCs w:val="20"/>
        </w:rPr>
        <w:t>te purposes. In the third quarter of 2022, we purchased $33.5 million of the 8.25% Senior Notes at a weighted average purchase price approximately equal to par in open market purchases, reducing the outstanding balance of the 8.25% Senior Notes to $641.5 m</w:t>
      </w:r>
      <w:r>
        <w:rPr>
          <w:sz w:val="20"/>
          <w:szCs w:val="20"/>
        </w:rPr>
        <w:t>illion as of September 30, 2022</w:t>
      </w:r>
      <w:r>
        <w:rPr>
          <w:sz w:val="20"/>
          <w:szCs w:val="20"/>
        </w:rPr>
        <w:t>.</w:t>
      </w:r>
      <w:r>
        <w:rPr>
          <w:sz w:val="20"/>
          <w:szCs w:val="20"/>
        </w:rPr>
        <w:t xml:space="preserve"> </w:t>
      </w:r>
    </w:p>
    <w:p w14:paraId="32E018D5" w14:textId="77777777" w:rsidR="00000000" w:rsidRDefault="003A1B5D">
      <w:pPr>
        <w:pStyle w:val="a3"/>
        <w:spacing w:before="240" w:beforeAutospacing="0" w:after="0" w:afterAutospacing="0"/>
        <w:jc w:val="both"/>
        <w:rPr>
          <w:sz w:val="20"/>
          <w:szCs w:val="20"/>
        </w:rPr>
      </w:pPr>
      <w:r>
        <w:rPr>
          <w:sz w:val="20"/>
          <w:szCs w:val="20"/>
        </w:rPr>
        <w:t>Gross interest income was $2.7 million and $2.4 million for the three months ended September 30, 2022 and 2021, respectively, and was $7.7 million and $7.6 million for the nine months ended September 30, 2022 and 2021, res</w:t>
      </w:r>
      <w:r>
        <w:rPr>
          <w:sz w:val="20"/>
          <w:szCs w:val="20"/>
        </w:rPr>
        <w:t>pectively. Gross interest income is earned on notes receivable, investments, cash and cash equivalents, and restricted cash. Interest income also includes interest income associated with the 20-year finance receivable associated with the Lansing Correction</w:t>
      </w:r>
      <w:r>
        <w:rPr>
          <w:sz w:val="20"/>
          <w:szCs w:val="20"/>
        </w:rPr>
        <w:t>al Facility lease to the Kansas Department of Corrections, which commenced in January 2020, and amounted to $2.2 million for the three months ended September 30, 2022 and 2021, and $6.6 million for the nine months ended September 30, 2022 and 2021. Total c</w:t>
      </w:r>
      <w:r>
        <w:rPr>
          <w:sz w:val="20"/>
          <w:szCs w:val="20"/>
        </w:rPr>
        <w:t>apitalized interest was $0.3 million and $0.2 million during the three months ended September 30, 2022 and 2021, respectively, and was $0.8 million and $0.2 million during the nine months ended September 30, 2022 and 2021, respectively</w:t>
      </w:r>
      <w:r>
        <w:rPr>
          <w:sz w:val="20"/>
          <w:szCs w:val="20"/>
        </w:rPr>
        <w:t>.</w:t>
      </w:r>
      <w:r>
        <w:rPr>
          <w:sz w:val="20"/>
          <w:szCs w:val="20"/>
        </w:rPr>
        <w:t xml:space="preserve"> </w:t>
      </w:r>
    </w:p>
    <w:p w14:paraId="5A257F51" w14:textId="77777777" w:rsidR="00000000" w:rsidRDefault="003A1B5D">
      <w:pPr>
        <w:pStyle w:val="a3"/>
        <w:spacing w:before="360" w:beforeAutospacing="0" w:after="0" w:afterAutospacing="0"/>
        <w:jc w:val="both"/>
        <w:rPr>
          <w:sz w:val="20"/>
          <w:szCs w:val="20"/>
        </w:rPr>
      </w:pPr>
      <w:r>
        <w:rPr>
          <w:b/>
          <w:bCs/>
          <w:i/>
          <w:iCs/>
          <w:sz w:val="20"/>
          <w:szCs w:val="20"/>
        </w:rPr>
        <w:t>Expenses associate</w:t>
      </w:r>
      <w:r>
        <w:rPr>
          <w:b/>
          <w:bCs/>
          <w:i/>
          <w:iCs/>
          <w:sz w:val="20"/>
          <w:szCs w:val="20"/>
        </w:rPr>
        <w:t>d with debt repayments and refinancing transaction</w:t>
      </w:r>
      <w:r>
        <w:rPr>
          <w:b/>
          <w:bCs/>
          <w:i/>
          <w:iCs/>
          <w:sz w:val="20"/>
          <w:szCs w:val="20"/>
        </w:rPr>
        <w:t>s</w:t>
      </w:r>
    </w:p>
    <w:p w14:paraId="6B921B64" w14:textId="77777777" w:rsidR="00000000" w:rsidRDefault="003A1B5D">
      <w:pPr>
        <w:pStyle w:val="a3"/>
        <w:spacing w:before="240" w:beforeAutospacing="0" w:after="0" w:afterAutospacing="0"/>
        <w:jc w:val="both"/>
        <w:rPr>
          <w:sz w:val="20"/>
          <w:szCs w:val="20"/>
        </w:rPr>
      </w:pPr>
      <w:r>
        <w:rPr>
          <w:sz w:val="20"/>
          <w:szCs w:val="20"/>
        </w:rPr>
        <w:t>During the third quarter of 2022, we incurred charges of $0.8 million for the write-off of a pro-rata portion of the loan costs associated with the aforementioned open market purchases of the 4.625% Senio</w:t>
      </w:r>
      <w:r>
        <w:rPr>
          <w:sz w:val="20"/>
          <w:szCs w:val="20"/>
        </w:rPr>
        <w:t>r Notes and the 8.25% Senior Notes, net of discounts to the principal balance of notes purchased. Further, as previously described, during the second quarter of 2022, we incurred charges of $0.8 million for</w:t>
      </w:r>
      <w:r>
        <w:rPr>
          <w:sz w:val="20"/>
          <w:szCs w:val="20"/>
        </w:rPr>
        <w:t xml:space="preserve"> </w:t>
      </w:r>
      <w:r>
        <w:rPr>
          <w:sz w:val="20"/>
          <w:szCs w:val="20"/>
        </w:rPr>
        <w:t>the write-off of a portion of the pre-existing lo</w:t>
      </w:r>
      <w:r>
        <w:rPr>
          <w:sz w:val="20"/>
          <w:szCs w:val="20"/>
        </w:rPr>
        <w:t>an costs associated with our Previous Bank Credit Facilit</w:t>
      </w:r>
      <w:r>
        <w:rPr>
          <w:sz w:val="20"/>
          <w:szCs w:val="20"/>
        </w:rPr>
        <w:t>y</w:t>
      </w:r>
      <w:r>
        <w:rPr>
          <w:sz w:val="20"/>
          <w:szCs w:val="20"/>
        </w:rPr>
        <w:t>, as well as $6.0 million associated with the write-off of the remaining unamortized debt issuance costs and original issue discount resulting from the prepayment of our Term Loan B</w:t>
      </w:r>
      <w:r>
        <w:rPr>
          <w:sz w:val="20"/>
          <w:szCs w:val="20"/>
        </w:rPr>
        <w:t>.</w:t>
      </w:r>
      <w:r>
        <w:rPr>
          <w:sz w:val="20"/>
          <w:szCs w:val="20"/>
        </w:rPr>
        <w:t xml:space="preserve"> </w:t>
      </w:r>
    </w:p>
    <w:p w14:paraId="5F31CAC8" w14:textId="77777777" w:rsidR="00000000" w:rsidRDefault="003A1B5D">
      <w:pPr>
        <w:pStyle w:val="a3"/>
        <w:spacing w:before="240" w:beforeAutospacing="0" w:after="0" w:afterAutospacing="0"/>
        <w:jc w:val="both"/>
        <w:rPr>
          <w:sz w:val="20"/>
          <w:szCs w:val="20"/>
        </w:rPr>
      </w:pPr>
      <w:r>
        <w:rPr>
          <w:sz w:val="20"/>
          <w:szCs w:val="20"/>
        </w:rPr>
        <w:t>Also, as previ</w:t>
      </w:r>
      <w:r>
        <w:rPr>
          <w:sz w:val="20"/>
          <w:szCs w:val="20"/>
        </w:rPr>
        <w:t>ously described, during the second quarter of 2021, we completed the sales of three non-core actively leased properties in two separate transactions for a collective aggregate price of $326.0 million, generating total net proceeds of $122.6 million after t</w:t>
      </w:r>
      <w:r>
        <w:rPr>
          <w:sz w:val="20"/>
          <w:szCs w:val="20"/>
        </w:rPr>
        <w:t>he repayment of two non-recourse mortgage notes associated with two of the properties and other transaction-related costs. In connection with the sales, we incurred charges of $32.5 million associated with the prepayment of the two non-recourse mortgage no</w:t>
      </w:r>
      <w:r>
        <w:rPr>
          <w:sz w:val="20"/>
          <w:szCs w:val="20"/>
        </w:rPr>
        <w:t xml:space="preserve">tes and non-cash charges of $0.5 million associated with the write-off of existing debt issuance costs. Expenses associated with debt repayments and refinancing transactions during the second quarter of 2021 also included $19.2 million associated with the </w:t>
      </w:r>
      <w:r>
        <w:rPr>
          <w:sz w:val="20"/>
          <w:szCs w:val="20"/>
        </w:rPr>
        <w:t>redemption of our $250.0 million in aggregate principal amount of 5.0% Senior Notes originally due in October 2022, as well as the aggregate price paid for our 4.625% Senior Notes in excess of the principal amount of the notes repurchased, costs associated</w:t>
      </w:r>
      <w:r>
        <w:rPr>
          <w:sz w:val="20"/>
          <w:szCs w:val="20"/>
        </w:rPr>
        <w:t xml:space="preserve"> with the repurchases, and the proportionate write-off of existing debt issuance costs</w:t>
      </w:r>
      <w:r>
        <w:rPr>
          <w:sz w:val="20"/>
          <w:szCs w:val="20"/>
        </w:rPr>
        <w:t>.</w:t>
      </w:r>
      <w:r>
        <w:rPr>
          <w:sz w:val="20"/>
          <w:szCs w:val="20"/>
        </w:rPr>
        <w:t xml:space="preserve"> </w:t>
      </w:r>
    </w:p>
    <w:p w14:paraId="143D3373" w14:textId="77777777" w:rsidR="00000000" w:rsidRDefault="003A1B5D">
      <w:pPr>
        <w:pStyle w:val="a3"/>
        <w:spacing w:before="360" w:beforeAutospacing="0" w:after="0" w:afterAutospacing="0"/>
        <w:jc w:val="both"/>
        <w:rPr>
          <w:sz w:val="20"/>
          <w:szCs w:val="20"/>
        </w:rPr>
      </w:pPr>
      <w:r>
        <w:rPr>
          <w:b/>
          <w:bCs/>
          <w:i/>
          <w:iCs/>
          <w:sz w:val="20"/>
          <w:szCs w:val="20"/>
        </w:rPr>
        <w:t>Gain on sale of real estate assets, ne</w:t>
      </w:r>
      <w:r>
        <w:rPr>
          <w:b/>
          <w:bCs/>
          <w:i/>
          <w:iCs/>
          <w:sz w:val="20"/>
          <w:szCs w:val="20"/>
        </w:rPr>
        <w:t>t</w:t>
      </w:r>
    </w:p>
    <w:p w14:paraId="0AEB7F9F" w14:textId="77777777" w:rsidR="00000000" w:rsidRDefault="003A1B5D">
      <w:pPr>
        <w:pStyle w:val="a3"/>
        <w:spacing w:before="240" w:beforeAutospacing="0" w:after="0" w:afterAutospacing="0"/>
        <w:jc w:val="both"/>
        <w:rPr>
          <w:sz w:val="20"/>
          <w:szCs w:val="20"/>
        </w:rPr>
      </w:pPr>
      <w:r>
        <w:rPr>
          <w:sz w:val="20"/>
          <w:szCs w:val="20"/>
        </w:rPr>
        <w:t>Gain on sale of real estate assets, net during the nine months ended September 30, 2022, primarily includes the gains on the sa</w:t>
      </w:r>
      <w:r>
        <w:rPr>
          <w:sz w:val="20"/>
          <w:szCs w:val="20"/>
        </w:rPr>
        <w:t>les of the McRae Correctional Facility in our Safety segment and the Stockton Female Community Corrections Facility and the Long Beach Community Corrections Center in our Properties segment, all of which were recorded in the third quarter of 2022, as previ</w:t>
      </w:r>
      <w:r>
        <w:rPr>
          <w:sz w:val="20"/>
          <w:szCs w:val="20"/>
        </w:rPr>
        <w:t>ously described herein. Gain on sale of real estate assets, net during the nine-month period also includes gains related to the sales of certain other real estate properties, including two vacant land parcels</w:t>
      </w:r>
      <w:r>
        <w:rPr>
          <w:sz w:val="20"/>
          <w:szCs w:val="20"/>
        </w:rPr>
        <w:t>.</w:t>
      </w:r>
      <w:r>
        <w:rPr>
          <w:sz w:val="20"/>
          <w:szCs w:val="20"/>
        </w:rPr>
        <w:t xml:space="preserve"> </w:t>
      </w:r>
    </w:p>
    <w:p w14:paraId="078BBD20" w14:textId="77777777" w:rsidR="00000000" w:rsidRDefault="003A1B5D">
      <w:pPr>
        <w:pStyle w:val="a3"/>
        <w:spacing w:before="240" w:beforeAutospacing="0" w:after="0" w:afterAutospacing="0"/>
        <w:jc w:val="both"/>
        <w:rPr>
          <w:sz w:val="20"/>
          <w:szCs w:val="20"/>
        </w:rPr>
      </w:pPr>
      <w:r>
        <w:rPr>
          <w:sz w:val="20"/>
          <w:szCs w:val="20"/>
        </w:rPr>
        <w:t>Gain on sale of real estate assets, net durin</w:t>
      </w:r>
      <w:r>
        <w:rPr>
          <w:sz w:val="20"/>
          <w:szCs w:val="20"/>
        </w:rPr>
        <w:t>g the nine months ended September 30, 2021, includes the gains on the sales of the Capital Commerce Center in Florida, a 217,000 square foot warehouse property in Dayton, Ohio, and a 541,000 square foot property in Baltimore Maryland, all of which were rec</w:t>
      </w:r>
      <w:r>
        <w:rPr>
          <w:sz w:val="20"/>
          <w:szCs w:val="20"/>
        </w:rPr>
        <w:t>orded in the second quarter of 2021, as previously described herein</w:t>
      </w:r>
      <w:r>
        <w:rPr>
          <w:sz w:val="20"/>
          <w:szCs w:val="20"/>
        </w:rPr>
        <w:t>.</w:t>
      </w:r>
    </w:p>
    <w:p w14:paraId="16E3173F" w14:textId="77777777" w:rsidR="00000000" w:rsidRDefault="003A1B5D">
      <w:pPr>
        <w:pStyle w:val="a3"/>
        <w:spacing w:before="360" w:beforeAutospacing="0" w:after="0" w:afterAutospacing="0"/>
        <w:jc w:val="both"/>
        <w:rPr>
          <w:sz w:val="20"/>
          <w:szCs w:val="20"/>
        </w:rPr>
      </w:pPr>
      <w:r>
        <w:rPr>
          <w:b/>
          <w:bCs/>
          <w:i/>
          <w:iCs/>
          <w:sz w:val="20"/>
          <w:szCs w:val="20"/>
        </w:rPr>
        <w:t>Income tax expens</w:t>
      </w:r>
      <w:r>
        <w:rPr>
          <w:b/>
          <w:bCs/>
          <w:i/>
          <w:iCs/>
          <w:sz w:val="20"/>
          <w:szCs w:val="20"/>
        </w:rPr>
        <w:t>e</w:t>
      </w:r>
    </w:p>
    <w:p w14:paraId="20FF7C38" w14:textId="77777777" w:rsidR="00000000" w:rsidRDefault="003A1B5D">
      <w:pPr>
        <w:pStyle w:val="a3"/>
        <w:spacing w:before="240" w:beforeAutospacing="0" w:after="0" w:afterAutospacing="0"/>
        <w:jc w:val="both"/>
        <w:rPr>
          <w:sz w:val="20"/>
          <w:szCs w:val="20"/>
        </w:rPr>
      </w:pPr>
      <w:r>
        <w:rPr>
          <w:sz w:val="20"/>
          <w:szCs w:val="20"/>
        </w:rPr>
        <w:t>On August 5, 2020, we announced that our BOD unanimously approved a plan to revoke our REIT election and become a taxable C Corporation, effective January 1, 2021. As a</w:t>
      </w:r>
      <w:r>
        <w:rPr>
          <w:sz w:val="20"/>
          <w:szCs w:val="20"/>
        </w:rPr>
        <w:t xml:space="preserve"> result, we are no longer required to operate under REIT rules, including the requirement to distribute at least 90% of our taxable income to our stockholders, which provides us with greater flexibility to use our free cash flow</w:t>
      </w:r>
      <w:r>
        <w:rPr>
          <w:sz w:val="20"/>
          <w:szCs w:val="20"/>
        </w:rPr>
        <w:t>.</w:t>
      </w:r>
      <w:r>
        <w:rPr>
          <w:sz w:val="20"/>
          <w:szCs w:val="20"/>
        </w:rPr>
        <w:t xml:space="preserve"> </w:t>
      </w:r>
    </w:p>
    <w:p w14:paraId="044D29E5" w14:textId="77777777" w:rsidR="00000000" w:rsidRDefault="003A1B5D">
      <w:pPr>
        <w:pStyle w:val="a3"/>
        <w:spacing w:before="240" w:beforeAutospacing="0" w:after="0" w:afterAutospacing="0"/>
        <w:jc w:val="center"/>
        <w:rPr>
          <w:sz w:val="20"/>
          <w:szCs w:val="20"/>
        </w:rPr>
      </w:pPr>
      <w:r>
        <w:rPr>
          <w:sz w:val="20"/>
          <w:szCs w:val="20"/>
        </w:rPr>
        <w:t>3</w:t>
      </w:r>
      <w:r>
        <w:rPr>
          <w:sz w:val="20"/>
          <w:szCs w:val="20"/>
        </w:rPr>
        <w:t>7</w:t>
      </w:r>
    </w:p>
    <w:p w14:paraId="1F4CD67D" w14:textId="77777777" w:rsidR="00000000" w:rsidRDefault="003A1B5D">
      <w:pPr>
        <w:rPr>
          <w:rFonts w:eastAsia="Times New Roman"/>
        </w:rPr>
      </w:pPr>
      <w:r>
        <w:rPr>
          <w:rFonts w:eastAsia="Times New Roman"/>
        </w:rPr>
        <w:pict w14:anchorId="4BD790AE">
          <v:rect id="_x0000_i1063" style="width:0;height:1.5pt" o:hralign="center" o:hrstd="t" o:hr="t" fillcolor="#a0a0a0" stroked="f"/>
        </w:pict>
      </w:r>
    </w:p>
    <w:p w14:paraId="61CD37E6" w14:textId="77777777" w:rsidR="00000000" w:rsidRDefault="003A1B5D">
      <w:pPr>
        <w:pStyle w:val="a3"/>
        <w:spacing w:before="0" w:beforeAutospacing="0" w:after="0" w:afterAutospacing="0"/>
        <w:rPr>
          <w:sz w:val="20"/>
          <w:szCs w:val="20"/>
        </w:rPr>
      </w:pPr>
      <w:r>
        <w:rPr>
          <w:sz w:val="20"/>
          <w:szCs w:val="20"/>
        </w:rPr>
        <w:t> </w:t>
      </w:r>
    </w:p>
    <w:p w14:paraId="18E65F21" w14:textId="77777777" w:rsidR="00000000" w:rsidRDefault="003A1B5D">
      <w:pPr>
        <w:pStyle w:val="a3"/>
        <w:spacing w:before="240" w:beforeAutospacing="0" w:after="0" w:afterAutospacing="0"/>
        <w:jc w:val="both"/>
        <w:rPr>
          <w:sz w:val="20"/>
          <w:szCs w:val="20"/>
        </w:rPr>
      </w:pPr>
      <w:r>
        <w:rPr>
          <w:sz w:val="20"/>
          <w:szCs w:val="20"/>
        </w:rPr>
        <w:t>We continued to operate as a REIT for the remainder of the 2020 tax year, and existing REIT requirements and limitations, including those established by our organizational documents, remained in place until January 1, 2021. Effective Januar</w:t>
      </w:r>
      <w:r>
        <w:rPr>
          <w:sz w:val="20"/>
          <w:szCs w:val="20"/>
        </w:rPr>
        <w:t>y 1, 2021, we became subject to federal and state income taxes on our taxable income at applicable tax rates, and are no longer entitled to a tax deduction for dividends paid. We recorded an income tax expense of $24.2 million and $8.6 million for the thre</w:t>
      </w:r>
      <w:r>
        <w:rPr>
          <w:sz w:val="20"/>
          <w:szCs w:val="20"/>
        </w:rPr>
        <w:t>e months ended September 30, 2022 and 2021, respectively, and $34.9 million and $128.7 million for the nine months ended September 30, 2022 and 2021, respectively. Income tax expense for the three months ended September 30, 2022 included an income tax expe</w:t>
      </w:r>
      <w:r>
        <w:rPr>
          <w:sz w:val="20"/>
          <w:szCs w:val="20"/>
        </w:rPr>
        <w:t>nse of $21.0 million associated with the gain on sale of real estate assets previously described, partially offset by an income tax benefit associated with asset impairments and expenses associated with debt repayments and refinancing transactions previous</w:t>
      </w:r>
      <w:r>
        <w:rPr>
          <w:sz w:val="20"/>
          <w:szCs w:val="20"/>
        </w:rPr>
        <w:t xml:space="preserve">ly described. Income tax expense for the nine months ended September 30, 2022 included an income tax expense of $19.5 million associated with the gain on sale of real estate assets previously described, partially offset by an income tax benefit associated </w:t>
      </w:r>
      <w:r>
        <w:rPr>
          <w:sz w:val="20"/>
          <w:szCs w:val="20"/>
        </w:rPr>
        <w:t>with shareholder litigation expenses, asset impairments, and expenses associated with debt repayments and refinancing transactions previously described. Income tax expense for the first nine months of 2021 included $114.2 million primarily resulting from t</w:t>
      </w:r>
      <w:r>
        <w:rPr>
          <w:sz w:val="20"/>
          <w:szCs w:val="20"/>
        </w:rPr>
        <w:t>he revaluation of our net deferred tax liabilities due to the completion of all significant actions necessary to revoke our REIT election. No catch-up tax payments or penalties resulted from the revocation of our REIT election. Income tax expense related t</w:t>
      </w:r>
      <w:r>
        <w:rPr>
          <w:sz w:val="20"/>
          <w:szCs w:val="20"/>
        </w:rPr>
        <w:t>o operations for the three and nine months ended September 30, 2021 was partially offset by an income tax benefit of $1.4 million and $19.7 million, respectively, associated with the settlement agreement reached on April 16, 2021 in connection with the sha</w:t>
      </w:r>
      <w:r>
        <w:rPr>
          <w:sz w:val="20"/>
          <w:szCs w:val="20"/>
        </w:rPr>
        <w:t>reholder litigation, incremental expenses directly associated with COVID-19 (reflected in operating expenses), asset impairments, and expenses associated with debt repayments and refinancing transactions, net of an income tax expense associated with the ga</w:t>
      </w:r>
      <w:r>
        <w:rPr>
          <w:sz w:val="20"/>
          <w:szCs w:val="20"/>
        </w:rPr>
        <w:t>in on sale of real estate assets</w:t>
      </w:r>
      <w:r>
        <w:rPr>
          <w:sz w:val="20"/>
          <w:szCs w:val="20"/>
        </w:rPr>
        <w:t>.</w:t>
      </w:r>
      <w:r>
        <w:rPr>
          <w:sz w:val="20"/>
          <w:szCs w:val="20"/>
        </w:rPr>
        <w:t xml:space="preserve"> </w:t>
      </w:r>
    </w:p>
    <w:p w14:paraId="58DC3008" w14:textId="77777777" w:rsidR="00000000" w:rsidRDefault="003A1B5D">
      <w:pPr>
        <w:pStyle w:val="a3"/>
        <w:spacing w:before="240" w:beforeAutospacing="0" w:after="0" w:afterAutospacing="0"/>
        <w:jc w:val="both"/>
        <w:rPr>
          <w:sz w:val="20"/>
          <w:szCs w:val="20"/>
        </w:rPr>
      </w:pPr>
      <w:r>
        <w:rPr>
          <w:sz w:val="20"/>
          <w:szCs w:val="20"/>
        </w:rPr>
        <w:t>Our effective tax rate could fluctuate in the future based on changes in estimates of taxable income, the implementation of additional tax planning strategies, changes in federal or state tax rates or laws affecting tax c</w:t>
      </w:r>
      <w:r>
        <w:rPr>
          <w:sz w:val="20"/>
          <w:szCs w:val="20"/>
        </w:rPr>
        <w:t>redits available to us, changes in other tax laws, changes in estimates related to uncertain tax positions, or changes in state apportionment factors, as well as changes in the valuation allowance applied to our deferred tax assets that are based primarily</w:t>
      </w:r>
      <w:r>
        <w:rPr>
          <w:sz w:val="20"/>
          <w:szCs w:val="20"/>
        </w:rPr>
        <w:t xml:space="preserve"> on the amount of state net operating losses and tax credits that could expire unused</w:t>
      </w:r>
      <w:r>
        <w:rPr>
          <w:sz w:val="20"/>
          <w:szCs w:val="20"/>
        </w:rPr>
        <w:t>.</w:t>
      </w:r>
    </w:p>
    <w:p w14:paraId="122B81D8" w14:textId="77777777" w:rsidR="00000000" w:rsidRDefault="003A1B5D">
      <w:pPr>
        <w:pStyle w:val="a3"/>
        <w:spacing w:before="360" w:beforeAutospacing="0" w:after="0" w:afterAutospacing="0"/>
        <w:jc w:val="both"/>
        <w:rPr>
          <w:sz w:val="20"/>
          <w:szCs w:val="20"/>
        </w:rPr>
      </w:pPr>
      <w:r>
        <w:rPr>
          <w:b/>
          <w:bCs/>
          <w:sz w:val="20"/>
          <w:szCs w:val="20"/>
        </w:rPr>
        <w:t>LIQUIDITY AND CAPITAL RESOURCE</w:t>
      </w:r>
      <w:r>
        <w:rPr>
          <w:b/>
          <w:bCs/>
          <w:sz w:val="20"/>
          <w:szCs w:val="20"/>
        </w:rPr>
        <w:t>S</w:t>
      </w:r>
    </w:p>
    <w:p w14:paraId="2A20F444" w14:textId="77777777" w:rsidR="00000000" w:rsidRDefault="003A1B5D">
      <w:pPr>
        <w:pStyle w:val="a3"/>
        <w:spacing w:before="120" w:beforeAutospacing="0" w:after="0" w:afterAutospacing="0"/>
        <w:jc w:val="both"/>
        <w:rPr>
          <w:sz w:val="20"/>
          <w:szCs w:val="20"/>
        </w:rPr>
      </w:pPr>
      <w:r>
        <w:rPr>
          <w:sz w:val="20"/>
          <w:szCs w:val="20"/>
        </w:rPr>
        <w:t xml:space="preserve">Our principal capital requirements are for working capital, capital expenditures, and debt service payments, as well as outstanding commitments and contingencies, as further discussed in the notes to our financial statements. Effective January 1, 2021, we </w:t>
      </w:r>
      <w:r>
        <w:rPr>
          <w:sz w:val="20"/>
          <w:szCs w:val="20"/>
        </w:rPr>
        <w:t>became subject to federal and state income taxes on our taxable income at applicable tax rates, and are no longer entitled to a tax deduction for dividends paid, which were available when we elected REIT status. However, we believe this conversion in corpo</w:t>
      </w:r>
      <w:r>
        <w:rPr>
          <w:sz w:val="20"/>
          <w:szCs w:val="20"/>
        </w:rPr>
        <w:t>rate tax structure improves our overall credit profile and will lower our overall cost of capital, as we are able to allocate our free cash flow toward the repayment of debt, which may include the purchase of our outstanding debt in open market transaction</w:t>
      </w:r>
      <w:r>
        <w:rPr>
          <w:sz w:val="20"/>
          <w:szCs w:val="20"/>
        </w:rPr>
        <w:t>s, privately negotiated transactions or otherwise. Any such debt repurchases will depend upon prevailing market conditions, our liquidity requirements, contractual requirements, applicable securities laws requirements, and other factors. During 2021 and th</w:t>
      </w:r>
      <w:r>
        <w:rPr>
          <w:sz w:val="20"/>
          <w:szCs w:val="20"/>
        </w:rPr>
        <w:t>e first nine months of 2022, we repaid $574.5 million of debt, net of the change in cash. Following our first priority of utilizing free cash flow to reduce debt, we expect to allocate a substantial portion of our free cash flow to returning capital to our</w:t>
      </w:r>
      <w:r>
        <w:rPr>
          <w:sz w:val="20"/>
          <w:szCs w:val="20"/>
        </w:rPr>
        <w:t xml:space="preserve"> shareholders, which could include share repurchases and future dividends. Any future dividend is subject to the BOD's determinations as to the amount of distributions and the timing thereof, as well as limitations under the Company's debt covenants. We we</w:t>
      </w:r>
      <w:r>
        <w:rPr>
          <w:sz w:val="20"/>
          <w:szCs w:val="20"/>
        </w:rPr>
        <w:t>re not able to implement a meaningful share repurchase program under the REIT structure without increasing our debt because a substantial portion of our free cash flow was required to satisfy the distribution requirements under the REIT structure. On May 2</w:t>
      </w:r>
      <w:r>
        <w:rPr>
          <w:sz w:val="20"/>
          <w:szCs w:val="20"/>
        </w:rPr>
        <w:t>, 2022, the BOD approved a share repurchase program to purchase up to $150.0 million of our common stock. On August 2, 2022, the BOD increased the authorization to repurchase under the share purchase program by up to an additional $75.0 million of our comm</w:t>
      </w:r>
      <w:r>
        <w:rPr>
          <w:sz w:val="20"/>
          <w:szCs w:val="20"/>
        </w:rPr>
        <w:t>on stock, which resulted in a total aggregate authorized amount to repurchase of up to $225.0 million of our common stock. Repurchases of our outstanding common stock will be made in accordance with applicable securities laws and may be made at our discret</w:t>
      </w:r>
      <w:r>
        <w:rPr>
          <w:sz w:val="20"/>
          <w:szCs w:val="20"/>
        </w:rPr>
        <w:t>ion based on parameters set by our BOD from time to time in the open market, through privately negotiated transactions, or otherwise. The share repurchase program has no time limit and does not obligate us to purchase any particular amount of our common st</w:t>
      </w:r>
      <w:r>
        <w:rPr>
          <w:sz w:val="20"/>
          <w:szCs w:val="20"/>
        </w:rPr>
        <w:t>ock. The authorization for the share repurchase program may be terminated, suspended, increased or decreased by the BOD in its discretion at any time. Through September 30, 2022, we completed the repurchase of 6.6 million shares of our common stock at a to</w:t>
      </w:r>
      <w:r>
        <w:rPr>
          <w:sz w:val="20"/>
          <w:szCs w:val="20"/>
        </w:rPr>
        <w:t>tal cost of $74.5 million, using cash on hand and cash provided by operations</w:t>
      </w:r>
      <w:r>
        <w:rPr>
          <w:sz w:val="20"/>
          <w:szCs w:val="20"/>
        </w:rPr>
        <w:t>.</w:t>
      </w:r>
      <w:r>
        <w:rPr>
          <w:sz w:val="20"/>
          <w:szCs w:val="20"/>
        </w:rPr>
        <w:t xml:space="preserve"> </w:t>
      </w:r>
    </w:p>
    <w:p w14:paraId="4D47A267" w14:textId="77777777" w:rsidR="00000000" w:rsidRDefault="003A1B5D">
      <w:pPr>
        <w:pStyle w:val="a3"/>
        <w:spacing w:before="240" w:beforeAutospacing="0" w:after="0" w:afterAutospacing="0"/>
        <w:jc w:val="both"/>
        <w:rPr>
          <w:sz w:val="20"/>
          <w:szCs w:val="20"/>
        </w:rPr>
      </w:pPr>
      <w:r>
        <w:rPr>
          <w:sz w:val="20"/>
          <w:szCs w:val="20"/>
        </w:rPr>
        <w:t>We will also pursue attractive growth opportunities, including new development opportunities in our Properties segment, to meet the need to modernize outdated correctional infr</w:t>
      </w:r>
      <w:r>
        <w:rPr>
          <w:sz w:val="20"/>
          <w:szCs w:val="20"/>
        </w:rPr>
        <w:t xml:space="preserve">astructure across the country, and explore potential opportunities to expand the scope of non-residential correctional alternatives we provide in our Community segment that were not available under the REIT structure. As a REIT, we depended on the capital </w:t>
      </w:r>
      <w:r>
        <w:rPr>
          <w:sz w:val="20"/>
          <w:szCs w:val="20"/>
        </w:rPr>
        <w:t>markets to provide resources we could deploy toward acquisition and development opportunities. This capital was not always available to us and came at an increasing cost. The revocation of our REIT election provides us with significantly more liquidity and</w:t>
      </w:r>
      <w:r>
        <w:rPr>
          <w:sz w:val="20"/>
          <w:szCs w:val="20"/>
        </w:rPr>
        <w:t xml:space="preserve"> financial flexibility, which enables us to reduce our reliance on the capital markets and enabled us to reduce the size of our Bank Credit Facility</w:t>
      </w:r>
      <w:r>
        <w:rPr>
          <w:sz w:val="20"/>
          <w:szCs w:val="20"/>
        </w:rPr>
        <w:t>.</w:t>
      </w:r>
      <w:r>
        <w:rPr>
          <w:sz w:val="20"/>
          <w:szCs w:val="20"/>
        </w:rPr>
        <w:t xml:space="preserve"> </w:t>
      </w:r>
    </w:p>
    <w:p w14:paraId="502E311E" w14:textId="77777777" w:rsidR="00000000" w:rsidRDefault="003A1B5D">
      <w:pPr>
        <w:pStyle w:val="a3"/>
        <w:spacing w:before="240" w:beforeAutospacing="0" w:after="0" w:afterAutospacing="0"/>
        <w:jc w:val="center"/>
        <w:rPr>
          <w:sz w:val="20"/>
          <w:szCs w:val="20"/>
        </w:rPr>
      </w:pPr>
      <w:r>
        <w:rPr>
          <w:sz w:val="20"/>
          <w:szCs w:val="20"/>
        </w:rPr>
        <w:t>3</w:t>
      </w:r>
      <w:r>
        <w:rPr>
          <w:sz w:val="20"/>
          <w:szCs w:val="20"/>
        </w:rPr>
        <w:t>8</w:t>
      </w:r>
    </w:p>
    <w:p w14:paraId="171F34BA" w14:textId="77777777" w:rsidR="00000000" w:rsidRDefault="003A1B5D">
      <w:pPr>
        <w:rPr>
          <w:rFonts w:eastAsia="Times New Roman"/>
        </w:rPr>
      </w:pPr>
      <w:r>
        <w:rPr>
          <w:rFonts w:eastAsia="Times New Roman"/>
        </w:rPr>
        <w:pict w14:anchorId="27D63D0D">
          <v:rect id="_x0000_i1064" style="width:0;height:1.5pt" o:hralign="center" o:hrstd="t" o:hr="t" fillcolor="#a0a0a0" stroked="f"/>
        </w:pict>
      </w:r>
    </w:p>
    <w:p w14:paraId="23367B78" w14:textId="77777777" w:rsidR="00000000" w:rsidRDefault="003A1B5D">
      <w:pPr>
        <w:pStyle w:val="a3"/>
        <w:spacing w:before="0" w:beforeAutospacing="0" w:after="0" w:afterAutospacing="0"/>
        <w:rPr>
          <w:sz w:val="20"/>
          <w:szCs w:val="20"/>
        </w:rPr>
      </w:pPr>
      <w:r>
        <w:rPr>
          <w:sz w:val="20"/>
          <w:szCs w:val="20"/>
        </w:rPr>
        <w:t> </w:t>
      </w:r>
    </w:p>
    <w:p w14:paraId="7C2B7166" w14:textId="77777777" w:rsidR="00000000" w:rsidRDefault="003A1B5D">
      <w:pPr>
        <w:pStyle w:val="a3"/>
        <w:spacing w:before="240" w:beforeAutospacing="0" w:after="0" w:afterAutospacing="0"/>
        <w:jc w:val="both"/>
        <w:rPr>
          <w:sz w:val="20"/>
          <w:szCs w:val="20"/>
        </w:rPr>
      </w:pPr>
      <w:r>
        <w:rPr>
          <w:sz w:val="20"/>
          <w:szCs w:val="20"/>
        </w:rPr>
        <w:t>With the extensively aged criminal justice infrastructure in the U.S. today, we believe we can bring real estate and financing solutions to government agencies like we did in connection with the construction of the Lansing Correctional Facility that commen</w:t>
      </w:r>
      <w:r>
        <w:rPr>
          <w:sz w:val="20"/>
          <w:szCs w:val="20"/>
        </w:rPr>
        <w:t>ced operations in January 2020. We financed the construction of the Lansing Correctional Facility 100% with project specific financing, requiring no equity commitment from us. We believe we can also provide other real estate solutions to government agencie</w:t>
      </w:r>
      <w:r>
        <w:rPr>
          <w:sz w:val="20"/>
          <w:szCs w:val="20"/>
        </w:rPr>
        <w:t>s faced with extensively aged criminal justice infrastructure, including "turn-key" solutions like those we are providing to the state of Arizona in connection with the new contract awarded to us during the fourth quarter of 2021 at our La Palma Correction</w:t>
      </w:r>
      <w:r>
        <w:rPr>
          <w:sz w:val="20"/>
          <w:szCs w:val="20"/>
        </w:rPr>
        <w:t>al Center, as well as real estate only solutions to government agencies that need correctional capacity where they prefer to perform the operations. We expect to incur $4.0 million to $5.0 million in capital expenditures for the award from the state of Ari</w:t>
      </w:r>
      <w:r>
        <w:rPr>
          <w:sz w:val="20"/>
          <w:szCs w:val="20"/>
        </w:rPr>
        <w:t>zona. Most real estate only solutions would not require material capital expenditures if we have existing capacity. However, in the future we could incur capital expenditures to provide replacement capacity for government agencies that have extensively age</w:t>
      </w:r>
      <w:r>
        <w:rPr>
          <w:sz w:val="20"/>
          <w:szCs w:val="20"/>
        </w:rPr>
        <w:t>d criminal justice infrastructure and are in need of new capacity</w:t>
      </w:r>
      <w:r>
        <w:rPr>
          <w:sz w:val="20"/>
          <w:szCs w:val="20"/>
        </w:rPr>
        <w:t>.</w:t>
      </w:r>
      <w:r>
        <w:rPr>
          <w:sz w:val="20"/>
          <w:szCs w:val="20"/>
        </w:rPr>
        <w:t xml:space="preserve"> </w:t>
      </w:r>
    </w:p>
    <w:p w14:paraId="29AA48D9" w14:textId="77777777" w:rsidR="00000000" w:rsidRDefault="003A1B5D">
      <w:pPr>
        <w:pStyle w:val="a3"/>
        <w:spacing w:before="240" w:beforeAutospacing="0" w:after="0" w:afterAutospacing="0"/>
        <w:jc w:val="both"/>
        <w:rPr>
          <w:sz w:val="20"/>
          <w:szCs w:val="20"/>
        </w:rPr>
      </w:pPr>
      <w:r>
        <w:rPr>
          <w:sz w:val="20"/>
          <w:szCs w:val="20"/>
        </w:rPr>
        <w:t>In July 2022, we entered into a Purchase and Sale Agreement with the Georgia Building Authority to purchase the 1,978-bed McRae Correctional Facility for a price of $130.0 million in order</w:t>
      </w:r>
      <w:r>
        <w:rPr>
          <w:sz w:val="20"/>
          <w:szCs w:val="20"/>
        </w:rPr>
        <w:t xml:space="preserve"> to update their aged and inefficient public sector correctional infrastructure. We completed the sale in August 2022. The sale of the McRae facility generated net sales proceeds of $129.7 million. We also sold two additional properties and a parcel of lan</w:t>
      </w:r>
      <w:r>
        <w:rPr>
          <w:sz w:val="20"/>
          <w:szCs w:val="20"/>
        </w:rPr>
        <w:t>d during the third quarter of 2022 that generated net sales proceeds of approximately $15.6 million, and have entered into additional agreements to sell two additional properties in our Properties segment and a property in our Community segment for an aggr</w:t>
      </w:r>
      <w:r>
        <w:rPr>
          <w:sz w:val="20"/>
          <w:szCs w:val="20"/>
        </w:rPr>
        <w:t>egate gross sales price of $7.2 million. These sales will provide additional liquidity to us for general corporate purposes, which may include making repurchases under our share repurchase plan and/or reducing our outstanding indebtedness</w:t>
      </w:r>
      <w:r>
        <w:rPr>
          <w:sz w:val="20"/>
          <w:szCs w:val="20"/>
        </w:rPr>
        <w:t>.</w:t>
      </w:r>
      <w:r>
        <w:rPr>
          <w:sz w:val="20"/>
          <w:szCs w:val="20"/>
        </w:rPr>
        <w:t xml:space="preserve"> </w:t>
      </w:r>
    </w:p>
    <w:p w14:paraId="04B96ACD" w14:textId="77777777" w:rsidR="00000000" w:rsidRDefault="003A1B5D">
      <w:pPr>
        <w:pStyle w:val="a3"/>
        <w:spacing w:before="240" w:beforeAutospacing="0" w:after="0" w:afterAutospacing="0"/>
        <w:jc w:val="both"/>
        <w:rPr>
          <w:sz w:val="20"/>
          <w:szCs w:val="20"/>
        </w:rPr>
      </w:pPr>
      <w:r>
        <w:rPr>
          <w:sz w:val="20"/>
          <w:szCs w:val="20"/>
        </w:rPr>
        <w:t>As of September</w:t>
      </w:r>
      <w:r>
        <w:rPr>
          <w:sz w:val="20"/>
          <w:szCs w:val="20"/>
        </w:rPr>
        <w:t xml:space="preserve"> 30, 2022, we had cash on hand of $185.3 million, and $233.2 million available under our New Revolving Credit Facility. During the nine months ended September 30, 2022 and 2021, we generated $118.2 million and $284.1 million, respectively, in cash through </w:t>
      </w:r>
      <w:r>
        <w:rPr>
          <w:sz w:val="20"/>
          <w:szCs w:val="20"/>
        </w:rPr>
        <w:t>operating activities. We currently expect to be able to meet our cash expenditure requirements for the next year and beyond utilizing cash on hand, cash flows from operations, and availability under our New Revolving Credit Facility. Following the completi</w:t>
      </w:r>
      <w:r>
        <w:rPr>
          <w:sz w:val="20"/>
          <w:szCs w:val="20"/>
        </w:rPr>
        <w:t>on of the offering of the Original 8.25% Senior Notes and redemption of our 5.0% Senior Notes in the second quarter of 2021, and of the entry into our New Bank Credit Facility in the second quarter of 2022, we have no debt maturities until May 2023, when t</w:t>
      </w:r>
      <w:r>
        <w:rPr>
          <w:sz w:val="20"/>
          <w:szCs w:val="20"/>
        </w:rPr>
        <w:t>he remaining $166.5 million of the 4.625% Senior Notes matures. We currently anticipate that we will have sufficient liquidity to repay the remaining outstanding 4.625% Senior Notes upon maturity</w:t>
      </w:r>
      <w:r>
        <w:rPr>
          <w:sz w:val="20"/>
          <w:szCs w:val="20"/>
        </w:rPr>
        <w:t>.</w:t>
      </w:r>
      <w:r>
        <w:rPr>
          <w:sz w:val="20"/>
          <w:szCs w:val="20"/>
        </w:rPr>
        <w:t xml:space="preserve"> </w:t>
      </w:r>
    </w:p>
    <w:p w14:paraId="5842F644" w14:textId="77777777" w:rsidR="00000000" w:rsidRDefault="003A1B5D">
      <w:pPr>
        <w:pStyle w:val="a3"/>
        <w:spacing w:before="240" w:beforeAutospacing="0" w:after="0" w:afterAutospacing="0"/>
        <w:jc w:val="both"/>
        <w:rPr>
          <w:sz w:val="20"/>
          <w:szCs w:val="20"/>
        </w:rPr>
      </w:pPr>
      <w:r>
        <w:rPr>
          <w:sz w:val="20"/>
          <w:szCs w:val="20"/>
        </w:rPr>
        <w:t>Our cash flow is subject to the receipt of sufficient fund</w:t>
      </w:r>
      <w:r>
        <w:rPr>
          <w:sz w:val="20"/>
          <w:szCs w:val="20"/>
        </w:rPr>
        <w:t>ing of and timely payment by contracting governmental entities. If the appropriate governmental agency does not receive sufficient appropriations to cover its contractual obligations, it may terminate our contract or delay or reduce payment to us. Delays i</w:t>
      </w:r>
      <w:r>
        <w:rPr>
          <w:sz w:val="20"/>
          <w:szCs w:val="20"/>
        </w:rPr>
        <w:t>n payment from our major customers or the termination of contracts from our major customers could have an adverse effect on our cash flow and financial condition. Although our revenue has been negatively impacted by COVID-19, we have not experienced any un</w:t>
      </w:r>
      <w:r>
        <w:rPr>
          <w:sz w:val="20"/>
          <w:szCs w:val="20"/>
        </w:rPr>
        <w:t>usual delays in payments from our major customers</w:t>
      </w:r>
      <w:r>
        <w:rPr>
          <w:sz w:val="20"/>
          <w:szCs w:val="20"/>
        </w:rPr>
        <w:t>.</w:t>
      </w:r>
    </w:p>
    <w:p w14:paraId="1BEE6699" w14:textId="77777777" w:rsidR="00000000" w:rsidRDefault="003A1B5D">
      <w:pPr>
        <w:pStyle w:val="a3"/>
        <w:spacing w:before="360" w:beforeAutospacing="0" w:after="0" w:afterAutospacing="0"/>
        <w:jc w:val="both"/>
        <w:rPr>
          <w:sz w:val="20"/>
          <w:szCs w:val="20"/>
        </w:rPr>
      </w:pPr>
      <w:r>
        <w:rPr>
          <w:b/>
          <w:bCs/>
          <w:i/>
          <w:iCs/>
          <w:sz w:val="20"/>
          <w:szCs w:val="20"/>
        </w:rPr>
        <w:t>Deb</w:t>
      </w:r>
      <w:r>
        <w:rPr>
          <w:b/>
          <w:bCs/>
          <w:i/>
          <w:iCs/>
          <w:sz w:val="20"/>
          <w:szCs w:val="20"/>
        </w:rPr>
        <w:t>t</w:t>
      </w:r>
      <w:r>
        <w:rPr>
          <w:b/>
          <w:bCs/>
          <w:i/>
          <w:iCs/>
          <w:sz w:val="20"/>
          <w:szCs w:val="20"/>
        </w:rPr>
        <w:t xml:space="preserve"> </w:t>
      </w:r>
    </w:p>
    <w:p w14:paraId="23E2B188" w14:textId="77777777" w:rsidR="00000000" w:rsidRDefault="003A1B5D">
      <w:pPr>
        <w:pStyle w:val="a3"/>
        <w:spacing w:before="120" w:beforeAutospacing="0" w:after="0" w:afterAutospacing="0"/>
        <w:jc w:val="both"/>
        <w:rPr>
          <w:sz w:val="20"/>
          <w:szCs w:val="20"/>
        </w:rPr>
      </w:pPr>
      <w:r>
        <w:rPr>
          <w:sz w:val="20"/>
          <w:szCs w:val="20"/>
        </w:rPr>
        <w:t>As of September 30, 2022, we had $166.5 million principal amount of unsecured notes outstanding with a fixed stated interest rate of 4.625%, $250.0 million principal amount of unsecured notes outstan</w:t>
      </w:r>
      <w:r>
        <w:rPr>
          <w:sz w:val="20"/>
          <w:szCs w:val="20"/>
        </w:rPr>
        <w:t>ding with a fixed stated interest rate of 4.75%, and $641.5 million principal amount of unsecured notes outstanding with a fixed stated interest rate of 8.25%, or collectively, the Senior Notes. In addition, we had $151.6 million outstanding under the Kans</w:t>
      </w:r>
      <w:r>
        <w:rPr>
          <w:sz w:val="20"/>
          <w:szCs w:val="20"/>
        </w:rPr>
        <w:t>as Notes with a fixed stated interest rate of 4.43% and $97.5 million outstanding under our New Term Loan A with a variable interest rate of 6.6%. We had $16.8 million of letters of credit outstanding under our New Revolving Credit Facility at September 30</w:t>
      </w:r>
      <w:r>
        <w:rPr>
          <w:sz w:val="20"/>
          <w:szCs w:val="20"/>
        </w:rPr>
        <w:t>, 2022. There was no other amount outstanding under our New Revolving Credit Facility as of September 30, 2022. As of September 30, 2022, our total weighted average effective interest rate was 7.0%, while our total weighted average maturity was 5.1 years</w:t>
      </w:r>
      <w:r>
        <w:rPr>
          <w:sz w:val="20"/>
          <w:szCs w:val="20"/>
        </w:rPr>
        <w:t>.</w:t>
      </w:r>
    </w:p>
    <w:p w14:paraId="4AC17FDA" w14:textId="77777777" w:rsidR="00000000" w:rsidRDefault="003A1B5D">
      <w:pPr>
        <w:pStyle w:val="a3"/>
        <w:spacing w:before="240" w:beforeAutospacing="0" w:after="0" w:afterAutospacing="0"/>
        <w:jc w:val="both"/>
        <w:rPr>
          <w:sz w:val="20"/>
          <w:szCs w:val="20"/>
        </w:rPr>
      </w:pPr>
      <w:r>
        <w:rPr>
          <w:sz w:val="20"/>
          <w:szCs w:val="20"/>
        </w:rPr>
        <w:t xml:space="preserve">On May 12, 2022, we entered into the New Bank Credit Facility in an aggregate principal amount of $350.0 million, consisting of the New Term Loan A with an original principal balance of $100.0 million and the New Revolving Credit Facility with a borrowing </w:t>
      </w:r>
      <w:r>
        <w:rPr>
          <w:sz w:val="20"/>
          <w:szCs w:val="20"/>
        </w:rPr>
        <w:t>capacity of $250.0 million. The New Bank Credit Facility replaced the Previous Bank Credit Facility, which was in an aggregate principal amount of $1.0 billion and consisted of the Previous Term Loan A with an original principal balance of $200.0 million a</w:t>
      </w:r>
      <w:r>
        <w:rPr>
          <w:sz w:val="20"/>
          <w:szCs w:val="20"/>
        </w:rPr>
        <w:t>nd the Previous Revolving Credit facility with a borrowing capacity of $800.0 million. The New Bank Credit Facility extends the maturity to May 2026 from the April 2023 maturity under the Previous Bank Credit Facility. The New Bank Credit Facility includes</w:t>
      </w:r>
      <w:r>
        <w:rPr>
          <w:sz w:val="20"/>
          <w:szCs w:val="20"/>
        </w:rPr>
        <w:t xml:space="preserve"> an option to increase the availability under the New Revolving Credit Facility and to request term loans from the lenders in an aggregate amount not to exceed the greater of (a) $200.0 million and (b) 50% of consolidated EBITDA for the most recently ended</w:t>
      </w:r>
      <w:r>
        <w:rPr>
          <w:sz w:val="20"/>
          <w:szCs w:val="20"/>
        </w:rPr>
        <w:t xml:space="preserve"> four-quarter period, subject to, among other things, the receipt of commitments for the increased amount. At our option, interest on outstanding borrowings under the New Bank Credit Facility is based on either a base rate plus a margin ranging from 1.75% </w:t>
      </w:r>
      <w:r>
        <w:rPr>
          <w:sz w:val="20"/>
          <w:szCs w:val="20"/>
        </w:rPr>
        <w:t>to 3.5%, or at the BSBY rate plus a margin ranging from 2.75% to 4.5% based on our then-current total leverage ratio. The New Revolving Credit Facility includes a $25.0 million sublimit for swing line loans that enables us to borrow at the base rate from t</w:t>
      </w:r>
      <w:r>
        <w:rPr>
          <w:sz w:val="20"/>
          <w:szCs w:val="20"/>
        </w:rPr>
        <w:t>he Administrative Agent on same-day notice and also has a $100.0 million sublimit for the issuance of standby letters of credit</w:t>
      </w:r>
      <w:r>
        <w:rPr>
          <w:sz w:val="20"/>
          <w:szCs w:val="20"/>
        </w:rPr>
        <w:t>.</w:t>
      </w:r>
      <w:r>
        <w:rPr>
          <w:sz w:val="20"/>
          <w:szCs w:val="20"/>
        </w:rPr>
        <w:t xml:space="preserve"> </w:t>
      </w:r>
    </w:p>
    <w:p w14:paraId="7C52B90A" w14:textId="77777777" w:rsidR="00000000" w:rsidRDefault="003A1B5D">
      <w:pPr>
        <w:pStyle w:val="a3"/>
        <w:spacing w:before="240" w:beforeAutospacing="0" w:after="0" w:afterAutospacing="0"/>
        <w:jc w:val="center"/>
        <w:rPr>
          <w:sz w:val="20"/>
          <w:szCs w:val="20"/>
        </w:rPr>
      </w:pPr>
      <w:r>
        <w:rPr>
          <w:sz w:val="20"/>
          <w:szCs w:val="20"/>
        </w:rPr>
        <w:t>3</w:t>
      </w:r>
      <w:r>
        <w:rPr>
          <w:sz w:val="20"/>
          <w:szCs w:val="20"/>
        </w:rPr>
        <w:t>9</w:t>
      </w:r>
    </w:p>
    <w:p w14:paraId="0C91B596" w14:textId="77777777" w:rsidR="00000000" w:rsidRDefault="003A1B5D">
      <w:pPr>
        <w:rPr>
          <w:rFonts w:eastAsia="Times New Roman"/>
        </w:rPr>
      </w:pPr>
      <w:r>
        <w:rPr>
          <w:rFonts w:eastAsia="Times New Roman"/>
        </w:rPr>
        <w:pict w14:anchorId="60F0ED65">
          <v:rect id="_x0000_i1065" style="width:0;height:1.5pt" o:hralign="center" o:hrstd="t" o:hr="t" fillcolor="#a0a0a0" stroked="f"/>
        </w:pict>
      </w:r>
    </w:p>
    <w:p w14:paraId="4CF00632" w14:textId="77777777" w:rsidR="00000000" w:rsidRDefault="003A1B5D">
      <w:pPr>
        <w:pStyle w:val="a3"/>
        <w:spacing w:before="0" w:beforeAutospacing="0" w:after="0" w:afterAutospacing="0"/>
        <w:rPr>
          <w:sz w:val="20"/>
          <w:szCs w:val="20"/>
        </w:rPr>
      </w:pPr>
      <w:r>
        <w:rPr>
          <w:sz w:val="20"/>
          <w:szCs w:val="20"/>
        </w:rPr>
        <w:t> </w:t>
      </w:r>
    </w:p>
    <w:p w14:paraId="2F2A89AD" w14:textId="77777777" w:rsidR="00000000" w:rsidRDefault="003A1B5D">
      <w:pPr>
        <w:pStyle w:val="a3"/>
        <w:spacing w:before="240" w:beforeAutospacing="0" w:after="0" w:afterAutospacing="0"/>
        <w:jc w:val="both"/>
        <w:rPr>
          <w:sz w:val="20"/>
          <w:szCs w:val="20"/>
        </w:rPr>
      </w:pPr>
      <w:r>
        <w:rPr>
          <w:sz w:val="20"/>
          <w:szCs w:val="20"/>
        </w:rPr>
        <w:t>The New Bank Credit Facility requires us to meet certain financial covenants, includ</w:t>
      </w:r>
      <w:r>
        <w:rPr>
          <w:sz w:val="20"/>
          <w:szCs w:val="20"/>
        </w:rPr>
        <w:t>ing, without limitation, a total leverage ratio of not more than 4.50 to 1.00 (from 5.50 to 1.00 under the Previous Bank Credit Facility) for which we may net unrestricted cash and cash equivalents not exceeding $100.0 million when calculating, a secured l</w:t>
      </w:r>
      <w:r>
        <w:rPr>
          <w:sz w:val="20"/>
          <w:szCs w:val="20"/>
        </w:rPr>
        <w:t>everage ratio of not more than 2.50 to 1.00 (from 3.25 to 1.00 under the Previous Bank Credit Facility) for which we may net unrestricted cash and cash equivalents not exceeding $100.0 million when calculating, and a fixed charge coverage ratio of not less</w:t>
      </w:r>
      <w:r>
        <w:rPr>
          <w:sz w:val="20"/>
          <w:szCs w:val="20"/>
        </w:rPr>
        <w:t xml:space="preserve"> than 1.75 to 1.00 (unchanged from the Previous Bank Credit Facility). The New Bank Credit Facility is secured by a pledge of all of the capital stock (or other ownership interests) of our domestic restricted subsidiaries, 65% of the capital stock (or othe</w:t>
      </w:r>
      <w:r>
        <w:rPr>
          <w:sz w:val="20"/>
          <w:szCs w:val="20"/>
        </w:rPr>
        <w:t>r ownership interests) of our "first-tier" foreign subsidiaries, all of our accounts receivable and those of our domestic restricted subsidiaries, and substantially all of our deposit accounts and those of our domestic restricted subsidiaries. In the event</w:t>
      </w:r>
      <w:r>
        <w:rPr>
          <w:sz w:val="20"/>
          <w:szCs w:val="20"/>
        </w:rPr>
        <w:t xml:space="preserve"> that (a) the consolidated total leverage equals or exceeds 4.00 to 1.00 or (b) we incur certain debt above a specified threshold, certain intangible assets and unencumbered real estate assets that meet a 50% loan-to-value requirement are required to be ad</w:t>
      </w:r>
      <w:r>
        <w:rPr>
          <w:sz w:val="20"/>
          <w:szCs w:val="20"/>
        </w:rPr>
        <w:t>ded as collateral. In addition, the New Bank Credit Facility contains certain covenants that, among other things, limit the incurrence of additional indebtedness, payment of dividends and other customary restricted payments, permitted investments, transact</w:t>
      </w:r>
      <w:r>
        <w:rPr>
          <w:sz w:val="20"/>
          <w:szCs w:val="20"/>
        </w:rPr>
        <w:t>ions with affiliates, asset sales, mergers and consolidations, liquidations, prepayments and modifications of other indebtedness, liens and other encumbrances and other matters customarily restricted in such agreements. The New Bank Credit Facility is subj</w:t>
      </w:r>
      <w:r>
        <w:rPr>
          <w:sz w:val="20"/>
          <w:szCs w:val="20"/>
        </w:rPr>
        <w:t>ect to certain cross-default provisions with terms of our other unsecured indebtedness, and is subject to acceleration upon the occurrence of a change of control</w:t>
      </w:r>
      <w:r>
        <w:rPr>
          <w:sz w:val="20"/>
          <w:szCs w:val="20"/>
        </w:rPr>
        <w:t>.</w:t>
      </w:r>
      <w:r>
        <w:rPr>
          <w:sz w:val="20"/>
          <w:szCs w:val="20"/>
        </w:rPr>
        <w:t xml:space="preserve"> </w:t>
      </w:r>
    </w:p>
    <w:p w14:paraId="0DF07FB4" w14:textId="77777777" w:rsidR="00000000" w:rsidRDefault="003A1B5D">
      <w:pPr>
        <w:pStyle w:val="a3"/>
        <w:spacing w:before="360" w:beforeAutospacing="0" w:after="0" w:afterAutospacing="0"/>
        <w:jc w:val="both"/>
        <w:rPr>
          <w:sz w:val="20"/>
          <w:szCs w:val="20"/>
        </w:rPr>
      </w:pPr>
      <w:r>
        <w:rPr>
          <w:b/>
          <w:bCs/>
          <w:sz w:val="20"/>
          <w:szCs w:val="20"/>
        </w:rPr>
        <w:t>Operating Activitie</w:t>
      </w:r>
      <w:r>
        <w:rPr>
          <w:b/>
          <w:bCs/>
          <w:sz w:val="20"/>
          <w:szCs w:val="20"/>
        </w:rPr>
        <w:t>s</w:t>
      </w:r>
    </w:p>
    <w:p w14:paraId="5E5FC54D" w14:textId="77777777" w:rsidR="00000000" w:rsidRDefault="003A1B5D">
      <w:pPr>
        <w:pStyle w:val="a3"/>
        <w:spacing w:before="120" w:beforeAutospacing="0" w:after="0" w:afterAutospacing="0"/>
        <w:jc w:val="both"/>
        <w:rPr>
          <w:sz w:val="20"/>
          <w:szCs w:val="20"/>
        </w:rPr>
      </w:pPr>
      <w:r>
        <w:rPr>
          <w:sz w:val="20"/>
          <w:szCs w:val="20"/>
        </w:rPr>
        <w:t>Our net cash provided by operating activities for the nine months ended</w:t>
      </w:r>
      <w:r>
        <w:rPr>
          <w:sz w:val="20"/>
          <w:szCs w:val="20"/>
        </w:rPr>
        <w:t xml:space="preserve"> September 30, 2022 was $118.2 million, compared with $284.1 million for the same period in the prior year. Cash provided by operating activities represents the year to date net income (loss) plus depreciation and amortization, changes in various component</w:t>
      </w:r>
      <w:r>
        <w:rPr>
          <w:sz w:val="20"/>
          <w:szCs w:val="20"/>
        </w:rPr>
        <w:t>s of working capital, and various non-cash charges. The reduction in cash provided by operating activities primarily resulted from a decline in facility net operating income of $74.2 million, combined with negative fluctuations in working capital during th</w:t>
      </w:r>
      <w:r>
        <w:rPr>
          <w:sz w:val="20"/>
          <w:szCs w:val="20"/>
        </w:rPr>
        <w:t>e nine months ended September 30, 2022, compared with the nine-month period in 2021</w:t>
      </w:r>
      <w:r>
        <w:rPr>
          <w:sz w:val="20"/>
          <w:szCs w:val="20"/>
        </w:rPr>
        <w:t>.</w:t>
      </w:r>
    </w:p>
    <w:p w14:paraId="1B20FB8F" w14:textId="77777777" w:rsidR="00000000" w:rsidRDefault="003A1B5D">
      <w:pPr>
        <w:pStyle w:val="a3"/>
        <w:spacing w:before="360" w:beforeAutospacing="0" w:after="0" w:afterAutospacing="0"/>
        <w:jc w:val="both"/>
        <w:rPr>
          <w:sz w:val="20"/>
          <w:szCs w:val="20"/>
        </w:rPr>
      </w:pPr>
      <w:r>
        <w:rPr>
          <w:b/>
          <w:bCs/>
          <w:sz w:val="20"/>
          <w:szCs w:val="20"/>
        </w:rPr>
        <w:t>Investing Activitie</w:t>
      </w:r>
      <w:r>
        <w:rPr>
          <w:b/>
          <w:bCs/>
          <w:sz w:val="20"/>
          <w:szCs w:val="20"/>
        </w:rPr>
        <w:t>s</w:t>
      </w:r>
    </w:p>
    <w:p w14:paraId="5B5F5598" w14:textId="77777777" w:rsidR="00000000" w:rsidRDefault="003A1B5D">
      <w:pPr>
        <w:pStyle w:val="a3"/>
        <w:spacing w:before="120" w:beforeAutospacing="0" w:after="0" w:afterAutospacing="0"/>
        <w:jc w:val="both"/>
        <w:rPr>
          <w:sz w:val="20"/>
          <w:szCs w:val="20"/>
        </w:rPr>
      </w:pPr>
      <w:r>
        <w:rPr>
          <w:sz w:val="20"/>
          <w:szCs w:val="20"/>
        </w:rPr>
        <w:t>Our net cash flow provided by investing activities was $101.9 million for the nine months ended September 30, 2022 and was primarily attributable to $</w:t>
      </w:r>
      <w:r>
        <w:rPr>
          <w:sz w:val="20"/>
          <w:szCs w:val="20"/>
        </w:rPr>
        <w:t>156.2 million in net proceeds from the sale of assets, partially offset by capital expenditures for facility development and expansions of $17.2 million and $33.7 million for facility maintenance and information technology capital expenditures. Our net cas</w:t>
      </w:r>
      <w:r>
        <w:rPr>
          <w:sz w:val="20"/>
          <w:szCs w:val="20"/>
        </w:rPr>
        <w:t>h flow provided by investing activities was $274.5 million for the nine months ended September 30, 2021 and was primarily attributable to $320.7 million in net proceeds from the sale of assets, partially offset by capital expenditures for facility developm</w:t>
      </w:r>
      <w:r>
        <w:rPr>
          <w:sz w:val="20"/>
          <w:szCs w:val="20"/>
        </w:rPr>
        <w:t>ent and expansions of $14.5 million and $38.4 million for facility maintenance and information technology capital expenditures</w:t>
      </w:r>
      <w:r>
        <w:rPr>
          <w:sz w:val="20"/>
          <w:szCs w:val="20"/>
        </w:rPr>
        <w:t>.</w:t>
      </w:r>
      <w:r>
        <w:rPr>
          <w:sz w:val="20"/>
          <w:szCs w:val="20"/>
        </w:rPr>
        <w:t xml:space="preserve"> </w:t>
      </w:r>
    </w:p>
    <w:p w14:paraId="73638E58" w14:textId="77777777" w:rsidR="00000000" w:rsidRDefault="003A1B5D">
      <w:pPr>
        <w:pStyle w:val="a3"/>
        <w:spacing w:before="360" w:beforeAutospacing="0" w:after="0" w:afterAutospacing="0"/>
        <w:jc w:val="both"/>
        <w:rPr>
          <w:sz w:val="20"/>
          <w:szCs w:val="20"/>
        </w:rPr>
      </w:pPr>
      <w:r>
        <w:rPr>
          <w:b/>
          <w:bCs/>
          <w:sz w:val="20"/>
          <w:szCs w:val="20"/>
        </w:rPr>
        <w:t>Financing Activitie</w:t>
      </w:r>
      <w:r>
        <w:rPr>
          <w:b/>
          <w:bCs/>
          <w:sz w:val="20"/>
          <w:szCs w:val="20"/>
        </w:rPr>
        <w:t>s</w:t>
      </w:r>
    </w:p>
    <w:p w14:paraId="4D58B5E9" w14:textId="77777777" w:rsidR="00000000" w:rsidRDefault="003A1B5D">
      <w:pPr>
        <w:pStyle w:val="a3"/>
        <w:spacing w:before="120" w:beforeAutospacing="0" w:after="0" w:afterAutospacing="0"/>
        <w:jc w:val="both"/>
        <w:rPr>
          <w:sz w:val="20"/>
          <w:szCs w:val="20"/>
        </w:rPr>
      </w:pPr>
      <w:r>
        <w:rPr>
          <w:sz w:val="20"/>
          <w:szCs w:val="20"/>
        </w:rPr>
        <w:t xml:space="preserve">Our net cash flow used in financing activities was $331.6 million for the nine months ended September 30, </w:t>
      </w:r>
      <w:r>
        <w:rPr>
          <w:sz w:val="20"/>
          <w:szCs w:val="20"/>
        </w:rPr>
        <w:t>2022 and was primarily attributable to debt repayments, including the aforementioned $167.5 million related to our Previous Term Loan A, $124.1 million related to our Term Loan B, and $40.6 million related to our 4.625% and 8.25% Senior Notes. In addition,</w:t>
      </w:r>
      <w:r>
        <w:rPr>
          <w:sz w:val="20"/>
          <w:szCs w:val="20"/>
        </w:rPr>
        <w:t xml:space="preserve"> our net cash flow used in financing activities was attributable to $12.7 million of scheduled principal repayments under our Term Loan A, Term Loan B, and our non-recourse mortgage note. Our net cash flow used in financing activities also included $79.1 m</w:t>
      </w:r>
      <w:r>
        <w:rPr>
          <w:sz w:val="20"/>
          <w:szCs w:val="20"/>
        </w:rPr>
        <w:t>illion for the share repurchase program our BOD authorized during the second quarter of 2022, as well as the purchase and retirement of common stock that was issued in connection with equity-based compensation, and dividend payments on restricted stock uni</w:t>
      </w:r>
      <w:r>
        <w:rPr>
          <w:sz w:val="20"/>
          <w:szCs w:val="20"/>
        </w:rPr>
        <w:t>ts that became vested of $0.9 million. These payments were partially offset by the $100.0 million of proceeds from the aforementioned issuance of the New Term Loan A</w:t>
      </w:r>
      <w:r>
        <w:rPr>
          <w:sz w:val="20"/>
          <w:szCs w:val="20"/>
        </w:rPr>
        <w:t>.</w:t>
      </w:r>
    </w:p>
    <w:p w14:paraId="5F4793DE" w14:textId="77777777" w:rsidR="00000000" w:rsidRDefault="003A1B5D">
      <w:pPr>
        <w:pStyle w:val="a3"/>
        <w:spacing w:before="240" w:beforeAutospacing="0" w:after="0" w:afterAutospacing="0"/>
        <w:jc w:val="both"/>
        <w:rPr>
          <w:sz w:val="20"/>
          <w:szCs w:val="20"/>
        </w:rPr>
      </w:pPr>
      <w:r>
        <w:rPr>
          <w:sz w:val="20"/>
          <w:szCs w:val="20"/>
        </w:rPr>
        <w:t xml:space="preserve">Our net cash flow used in financing activities was $228.8 million for the nine months ended September 30, 2021 and was primarily attributable to net repayments under our Revolving Credit Facility of $219.0 million. In addition, cash flow used in financing </w:t>
      </w:r>
      <w:r>
        <w:rPr>
          <w:sz w:val="20"/>
          <w:szCs w:val="20"/>
        </w:rPr>
        <w:t>activities included $27.4 million of scheduled principal repayments under our Term Loan A, Term Loan B, and non-recourse mortgage notes, as well as $426.0 million for the aforementioned repayment of Senior Notes, $161.9 million for the repayment of non-rec</w:t>
      </w:r>
      <w:r>
        <w:rPr>
          <w:sz w:val="20"/>
          <w:szCs w:val="20"/>
        </w:rPr>
        <w:t>ourse mortgage notes in connection with the aforementioned sale of assets, and $64.4 million for debt defeasance, issuance, and other refinancing and related costs. Cash flow used in financing activities also included $1.0 million of contingent considerati</w:t>
      </w:r>
      <w:r>
        <w:rPr>
          <w:sz w:val="20"/>
          <w:szCs w:val="20"/>
        </w:rPr>
        <w:t>on associated with the acquisition of a business acquired in 2019 and $1.6 million for the purchase and retirement of common stock that was issued in connection with equity-based compensation. These payments were partially offset by the $445.5 million of g</w:t>
      </w:r>
      <w:r>
        <w:rPr>
          <w:sz w:val="20"/>
          <w:szCs w:val="20"/>
        </w:rPr>
        <w:t>ross proceeds from the aforementioned issuance of the Original 8.25% Senior Notes that were issued in the second quarter of 2021 at a 99.0% discount of face value and the $230.1 million of gross proceeds from the aforementioned issuance of the Additional 8</w:t>
      </w:r>
      <w:r>
        <w:rPr>
          <w:sz w:val="20"/>
          <w:szCs w:val="20"/>
        </w:rPr>
        <w:t>.25% Senior Notes that were issued in the third quarter of 2021 at a 102.25% premium of face value</w:t>
      </w:r>
      <w:r>
        <w:rPr>
          <w:sz w:val="20"/>
          <w:szCs w:val="20"/>
        </w:rPr>
        <w:t>.</w:t>
      </w:r>
    </w:p>
    <w:p w14:paraId="58009EE3" w14:textId="77777777" w:rsidR="00000000" w:rsidRDefault="003A1B5D">
      <w:pPr>
        <w:pStyle w:val="a3"/>
        <w:spacing w:before="240" w:beforeAutospacing="0" w:after="0" w:afterAutospacing="0"/>
        <w:jc w:val="center"/>
        <w:rPr>
          <w:sz w:val="20"/>
          <w:szCs w:val="20"/>
        </w:rPr>
      </w:pPr>
      <w:r>
        <w:rPr>
          <w:sz w:val="20"/>
          <w:szCs w:val="20"/>
        </w:rPr>
        <w:t>4</w:t>
      </w:r>
      <w:r>
        <w:rPr>
          <w:sz w:val="20"/>
          <w:szCs w:val="20"/>
        </w:rPr>
        <w:t>0</w:t>
      </w:r>
    </w:p>
    <w:p w14:paraId="2ADC523E" w14:textId="77777777" w:rsidR="00000000" w:rsidRDefault="003A1B5D">
      <w:pPr>
        <w:rPr>
          <w:rFonts w:eastAsia="Times New Roman"/>
        </w:rPr>
      </w:pPr>
      <w:r>
        <w:rPr>
          <w:rFonts w:eastAsia="Times New Roman"/>
        </w:rPr>
        <w:pict w14:anchorId="15D01515">
          <v:rect id="_x0000_i1066" style="width:0;height:1.5pt" o:hralign="center" o:hrstd="t" o:hr="t" fillcolor="#a0a0a0" stroked="f"/>
        </w:pict>
      </w:r>
    </w:p>
    <w:p w14:paraId="614BDDF4" w14:textId="77777777" w:rsidR="00000000" w:rsidRDefault="003A1B5D">
      <w:pPr>
        <w:pStyle w:val="a3"/>
        <w:spacing w:before="0" w:beforeAutospacing="0" w:after="0" w:afterAutospacing="0"/>
        <w:rPr>
          <w:sz w:val="20"/>
          <w:szCs w:val="20"/>
        </w:rPr>
      </w:pPr>
      <w:r>
        <w:rPr>
          <w:sz w:val="20"/>
          <w:szCs w:val="20"/>
        </w:rPr>
        <w:t> </w:t>
      </w:r>
    </w:p>
    <w:p w14:paraId="368EB3C8" w14:textId="77777777" w:rsidR="00000000" w:rsidRDefault="003A1B5D">
      <w:pPr>
        <w:pStyle w:val="a3"/>
        <w:spacing w:before="360" w:beforeAutospacing="0" w:after="0" w:afterAutospacing="0"/>
        <w:jc w:val="both"/>
        <w:rPr>
          <w:sz w:val="20"/>
          <w:szCs w:val="20"/>
        </w:rPr>
      </w:pPr>
      <w:r>
        <w:rPr>
          <w:b/>
          <w:bCs/>
          <w:sz w:val="20"/>
          <w:szCs w:val="20"/>
        </w:rPr>
        <w:t>Supplemental Guarantor Informatio</w:t>
      </w:r>
      <w:r>
        <w:rPr>
          <w:b/>
          <w:bCs/>
          <w:sz w:val="20"/>
          <w:szCs w:val="20"/>
        </w:rPr>
        <w:t>n</w:t>
      </w:r>
    </w:p>
    <w:p w14:paraId="1B93C6D7" w14:textId="77777777" w:rsidR="00000000" w:rsidRDefault="003A1B5D">
      <w:pPr>
        <w:pStyle w:val="a3"/>
        <w:spacing w:before="240" w:beforeAutospacing="0" w:after="0" w:afterAutospacing="0"/>
        <w:jc w:val="both"/>
        <w:rPr>
          <w:sz w:val="20"/>
          <w:szCs w:val="20"/>
        </w:rPr>
      </w:pPr>
      <w:r>
        <w:rPr>
          <w:sz w:val="20"/>
          <w:szCs w:val="20"/>
        </w:rPr>
        <w:t xml:space="preserve">All of the domestic subsidiaries of CoreCivic (as the parent corporation) that </w:t>
      </w:r>
      <w:r>
        <w:rPr>
          <w:sz w:val="20"/>
          <w:szCs w:val="20"/>
        </w:rPr>
        <w:t>guarantee the Credit Agreements have provided full and unconditional guarantees of our Senior Notes. All of CoreCivic's subsidiaries guaranteeing the Senior Notes are 100% owned direct or indirect subsidiaries of CoreCivic, and the subsidiary guarantees ar</w:t>
      </w:r>
      <w:r>
        <w:rPr>
          <w:sz w:val="20"/>
          <w:szCs w:val="20"/>
        </w:rPr>
        <w:t>e full and unconditional and are joint and several obligations of the guarantors</w:t>
      </w:r>
      <w:r>
        <w:rPr>
          <w:sz w:val="20"/>
          <w:szCs w:val="20"/>
        </w:rPr>
        <w:t>.</w:t>
      </w:r>
      <w:r>
        <w:rPr>
          <w:sz w:val="20"/>
          <w:szCs w:val="20"/>
        </w:rPr>
        <w:t xml:space="preserve"> </w:t>
      </w:r>
    </w:p>
    <w:p w14:paraId="0F3FEF04" w14:textId="77777777" w:rsidR="00000000" w:rsidRDefault="003A1B5D">
      <w:pPr>
        <w:pStyle w:val="a3"/>
        <w:spacing w:before="240" w:beforeAutospacing="0" w:after="0" w:afterAutospacing="0"/>
        <w:jc w:val="both"/>
        <w:rPr>
          <w:sz w:val="20"/>
          <w:szCs w:val="20"/>
        </w:rPr>
      </w:pPr>
      <w:r>
        <w:rPr>
          <w:sz w:val="20"/>
          <w:szCs w:val="20"/>
        </w:rPr>
        <w:t>As of September 30, 2022, neither CoreCivic nor any of its subsidiary guarantors had any material or significant restrictions on CoreCivic's ability to obtain funds from its</w:t>
      </w:r>
      <w:r>
        <w:rPr>
          <w:sz w:val="20"/>
          <w:szCs w:val="20"/>
        </w:rPr>
        <w:t xml:space="preserve"> subsidiaries by dividend or loan or to transfer assets from such subsidiaries</w:t>
      </w:r>
      <w:r>
        <w:rPr>
          <w:sz w:val="20"/>
          <w:szCs w:val="20"/>
        </w:rPr>
        <w:t>.</w:t>
      </w:r>
    </w:p>
    <w:p w14:paraId="22C115D1" w14:textId="77777777" w:rsidR="00000000" w:rsidRDefault="003A1B5D">
      <w:pPr>
        <w:pStyle w:val="a3"/>
        <w:spacing w:before="240" w:beforeAutospacing="0" w:after="0" w:afterAutospacing="0"/>
        <w:jc w:val="both"/>
        <w:rPr>
          <w:sz w:val="20"/>
          <w:szCs w:val="20"/>
        </w:rPr>
      </w:pPr>
      <w:r>
        <w:rPr>
          <w:sz w:val="20"/>
          <w:szCs w:val="20"/>
        </w:rPr>
        <w:t>The indentures governing our Senior Notes contain certain customary covenants that, subject to certain exceptions and qualifications, restrict CoreCivic's ability to, among oth</w:t>
      </w:r>
      <w:r>
        <w:rPr>
          <w:sz w:val="20"/>
          <w:szCs w:val="20"/>
        </w:rPr>
        <w:t>er things, create or permit to exist certain liens and consolidate, merge or transfer all or substantially all of CoreCivic's assets. In addition, if CoreCivic experiences specific kinds of changes in control, CoreCivic must offer to repurchase all or a po</w:t>
      </w:r>
      <w:r>
        <w:rPr>
          <w:sz w:val="20"/>
          <w:szCs w:val="20"/>
        </w:rPr>
        <w:t>rtion of the Senior Notes. The offer price for the Senior Notes in connection with a change in control would be 101% of the aggregate principal amount of the notes repurchased plus accrued and unpaid interest, if any, on the notes repurchased to the date o</w:t>
      </w:r>
      <w:r>
        <w:rPr>
          <w:sz w:val="20"/>
          <w:szCs w:val="20"/>
        </w:rPr>
        <w:t>f purchase. The indenture related to our 8.25% Senior Notes additionally limits our ability to incur indebtedness, make restricted payments and investments and prepay certain indebtedness</w:t>
      </w:r>
      <w:r>
        <w:rPr>
          <w:sz w:val="20"/>
          <w:szCs w:val="20"/>
        </w:rPr>
        <w:t>.</w:t>
      </w:r>
      <w:r>
        <w:rPr>
          <w:sz w:val="20"/>
          <w:szCs w:val="20"/>
        </w:rPr>
        <w:t xml:space="preserve"> </w:t>
      </w:r>
    </w:p>
    <w:p w14:paraId="646EB097" w14:textId="77777777" w:rsidR="00000000" w:rsidRDefault="003A1B5D">
      <w:pPr>
        <w:pStyle w:val="a3"/>
        <w:spacing w:before="240" w:beforeAutospacing="0" w:after="0" w:afterAutospacing="0"/>
        <w:jc w:val="both"/>
        <w:rPr>
          <w:sz w:val="20"/>
          <w:szCs w:val="20"/>
        </w:rPr>
      </w:pPr>
      <w:r>
        <w:rPr>
          <w:sz w:val="20"/>
          <w:szCs w:val="20"/>
        </w:rPr>
        <w:t xml:space="preserve">The following tables present summarized information for CoreCivic </w:t>
      </w:r>
      <w:r>
        <w:rPr>
          <w:sz w:val="20"/>
          <w:szCs w:val="20"/>
        </w:rPr>
        <w:t>and the subsidiary guarantors, on a combined basis after elimination of (i) intercompany transactions and balances among CoreCivic and the subsidiary guarantors and (ii) equity in earnings from, and any investments in, any subsidiary that is a non-guaranto</w:t>
      </w:r>
      <w:r>
        <w:rPr>
          <w:sz w:val="20"/>
          <w:szCs w:val="20"/>
        </w:rPr>
        <w:t>r (in thousands)</w:t>
      </w:r>
      <w:r>
        <w:rPr>
          <w:sz w:val="20"/>
          <w:szCs w:val="20"/>
        </w:rPr>
        <w:t>.</w:t>
      </w:r>
      <w:r>
        <w:rPr>
          <w:sz w:val="20"/>
          <w:szCs w:val="20"/>
        </w:rPr>
        <w:t xml:space="preserve"> </w:t>
      </w:r>
    </w:p>
    <w:p w14:paraId="05797D81" w14:textId="77777777" w:rsidR="00000000" w:rsidRDefault="003A1B5D">
      <w:pPr>
        <w:pStyle w:val="a3"/>
        <w:spacing w:before="240" w:beforeAutospacing="0" w:after="0" w:afterAutospacing="0"/>
        <w:jc w:val="both"/>
        <w:rPr>
          <w:sz w:val="20"/>
          <w:szCs w:val="20"/>
        </w:rPr>
      </w:pPr>
      <w:r>
        <w:rPr>
          <w:sz w:val="20"/>
          <w:szCs w:val="20"/>
        </w:rPr>
        <w:t> </w:t>
      </w:r>
    </w:p>
    <w:p w14:paraId="20D07FE1" w14:textId="77777777" w:rsidR="00000000" w:rsidRDefault="003A1B5D">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27"/>
        <w:gridCol w:w="118"/>
        <w:gridCol w:w="160"/>
        <w:gridCol w:w="928"/>
        <w:gridCol w:w="110"/>
        <w:gridCol w:w="119"/>
        <w:gridCol w:w="160"/>
        <w:gridCol w:w="928"/>
        <w:gridCol w:w="125"/>
      </w:tblGrid>
      <w:tr w:rsidR="00000000" w14:paraId="2A587CA3" w14:textId="77777777">
        <w:trPr>
          <w:tblCellSpacing w:w="15" w:type="dxa"/>
        </w:trPr>
        <w:tc>
          <w:tcPr>
            <w:tcW w:w="3349" w:type="pct"/>
            <w:vAlign w:val="center"/>
            <w:hideMark/>
          </w:tcPr>
          <w:p w14:paraId="79C68F2F" w14:textId="77777777" w:rsidR="00000000" w:rsidRDefault="003A1B5D">
            <w:pPr>
              <w:rPr>
                <w:sz w:val="20"/>
                <w:szCs w:val="20"/>
              </w:rPr>
            </w:pPr>
          </w:p>
        </w:tc>
        <w:tc>
          <w:tcPr>
            <w:tcW w:w="80" w:type="pct"/>
            <w:vAlign w:val="center"/>
            <w:hideMark/>
          </w:tcPr>
          <w:p w14:paraId="517003F8" w14:textId="77777777" w:rsidR="00000000" w:rsidRDefault="003A1B5D">
            <w:pPr>
              <w:rPr>
                <w:rFonts w:eastAsia="Times New Roman"/>
                <w:sz w:val="20"/>
                <w:szCs w:val="20"/>
              </w:rPr>
            </w:pPr>
          </w:p>
        </w:tc>
        <w:tc>
          <w:tcPr>
            <w:tcW w:w="50" w:type="pct"/>
            <w:vAlign w:val="center"/>
            <w:hideMark/>
          </w:tcPr>
          <w:p w14:paraId="515531B6" w14:textId="77777777" w:rsidR="00000000" w:rsidRDefault="003A1B5D">
            <w:pPr>
              <w:rPr>
                <w:rFonts w:eastAsia="Times New Roman"/>
                <w:sz w:val="20"/>
                <w:szCs w:val="20"/>
              </w:rPr>
            </w:pPr>
          </w:p>
        </w:tc>
        <w:tc>
          <w:tcPr>
            <w:tcW w:w="644" w:type="pct"/>
            <w:vAlign w:val="center"/>
            <w:hideMark/>
          </w:tcPr>
          <w:p w14:paraId="4C60ED2E" w14:textId="77777777" w:rsidR="00000000" w:rsidRDefault="003A1B5D">
            <w:pPr>
              <w:rPr>
                <w:rFonts w:eastAsia="Times New Roman"/>
                <w:sz w:val="20"/>
                <w:szCs w:val="20"/>
              </w:rPr>
            </w:pPr>
          </w:p>
        </w:tc>
        <w:tc>
          <w:tcPr>
            <w:tcW w:w="50" w:type="pct"/>
            <w:vAlign w:val="center"/>
            <w:hideMark/>
          </w:tcPr>
          <w:p w14:paraId="3D77E44A" w14:textId="77777777" w:rsidR="00000000" w:rsidRDefault="003A1B5D">
            <w:pPr>
              <w:rPr>
                <w:rFonts w:eastAsia="Times New Roman"/>
                <w:sz w:val="20"/>
                <w:szCs w:val="20"/>
              </w:rPr>
            </w:pPr>
          </w:p>
        </w:tc>
        <w:tc>
          <w:tcPr>
            <w:tcW w:w="80" w:type="pct"/>
            <w:vAlign w:val="center"/>
            <w:hideMark/>
          </w:tcPr>
          <w:p w14:paraId="3B7DB7E9" w14:textId="77777777" w:rsidR="00000000" w:rsidRDefault="003A1B5D">
            <w:pPr>
              <w:rPr>
                <w:rFonts w:eastAsia="Times New Roman"/>
                <w:sz w:val="20"/>
                <w:szCs w:val="20"/>
              </w:rPr>
            </w:pPr>
          </w:p>
        </w:tc>
        <w:tc>
          <w:tcPr>
            <w:tcW w:w="50" w:type="pct"/>
            <w:vAlign w:val="center"/>
            <w:hideMark/>
          </w:tcPr>
          <w:p w14:paraId="610534FE" w14:textId="77777777" w:rsidR="00000000" w:rsidRDefault="003A1B5D">
            <w:pPr>
              <w:rPr>
                <w:rFonts w:eastAsia="Times New Roman"/>
                <w:sz w:val="20"/>
                <w:szCs w:val="20"/>
              </w:rPr>
            </w:pPr>
          </w:p>
        </w:tc>
        <w:tc>
          <w:tcPr>
            <w:tcW w:w="644" w:type="pct"/>
            <w:vAlign w:val="center"/>
            <w:hideMark/>
          </w:tcPr>
          <w:p w14:paraId="1FCEDBD4" w14:textId="77777777" w:rsidR="00000000" w:rsidRDefault="003A1B5D">
            <w:pPr>
              <w:rPr>
                <w:rFonts w:eastAsia="Times New Roman"/>
                <w:sz w:val="20"/>
                <w:szCs w:val="20"/>
              </w:rPr>
            </w:pPr>
          </w:p>
        </w:tc>
        <w:tc>
          <w:tcPr>
            <w:tcW w:w="50" w:type="pct"/>
            <w:vAlign w:val="center"/>
            <w:hideMark/>
          </w:tcPr>
          <w:p w14:paraId="5DD4088A" w14:textId="77777777" w:rsidR="00000000" w:rsidRDefault="003A1B5D">
            <w:pPr>
              <w:rPr>
                <w:rFonts w:eastAsia="Times New Roman"/>
                <w:sz w:val="20"/>
                <w:szCs w:val="20"/>
              </w:rPr>
            </w:pPr>
          </w:p>
        </w:tc>
      </w:tr>
      <w:tr w:rsidR="00000000" w14:paraId="464E65BF" w14:textId="77777777">
        <w:trPr>
          <w:trHeight w:val="160"/>
          <w:tblCellSpacing w:w="15" w:type="dxa"/>
        </w:trPr>
        <w:tc>
          <w:tcPr>
            <w:tcW w:w="0" w:type="auto"/>
            <w:vAlign w:val="bottom"/>
            <w:hideMark/>
          </w:tcPr>
          <w:p w14:paraId="1FB23F46"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143233E7"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4FDE5BB" w14:textId="77777777" w:rsidR="00000000" w:rsidRDefault="003A1B5D">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14:paraId="7B631557"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2336A5B7"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028021BF" w14:textId="77777777" w:rsidR="00000000" w:rsidRDefault="003A1B5D">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14:paraId="089B3BB6"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584CB05C" w14:textId="77777777">
        <w:trPr>
          <w:trHeight w:val="200"/>
          <w:tblCellSpacing w:w="15" w:type="dxa"/>
        </w:trPr>
        <w:tc>
          <w:tcPr>
            <w:tcW w:w="0" w:type="auto"/>
            <w:hideMark/>
          </w:tcPr>
          <w:p w14:paraId="48A23CCC" w14:textId="77777777" w:rsidR="00000000" w:rsidRDefault="003A1B5D">
            <w:pPr>
              <w:pStyle w:val="a3"/>
              <w:spacing w:before="0" w:beforeAutospacing="0" w:after="0" w:afterAutospacing="0"/>
              <w:rPr>
                <w:sz w:val="20"/>
                <w:szCs w:val="20"/>
              </w:rPr>
            </w:pPr>
            <w:r>
              <w:rPr>
                <w:sz w:val="20"/>
                <w:szCs w:val="20"/>
              </w:rPr>
              <w:t>Current asset</w:t>
            </w:r>
            <w:r>
              <w:rPr>
                <w:sz w:val="20"/>
                <w:szCs w:val="20"/>
              </w:rPr>
              <w:t>s</w:t>
            </w:r>
          </w:p>
        </w:tc>
        <w:tc>
          <w:tcPr>
            <w:tcW w:w="0" w:type="auto"/>
            <w:vAlign w:val="bottom"/>
            <w:hideMark/>
          </w:tcPr>
          <w:p w14:paraId="130348A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0073A1D"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304D1F49" w14:textId="77777777" w:rsidR="00000000" w:rsidRDefault="003A1B5D">
            <w:pPr>
              <w:pStyle w:val="a3"/>
              <w:spacing w:before="0" w:beforeAutospacing="0" w:after="0" w:afterAutospacing="0"/>
              <w:jc w:val="right"/>
              <w:rPr>
                <w:sz w:val="20"/>
                <w:szCs w:val="20"/>
              </w:rPr>
            </w:pPr>
            <w:r>
              <w:rPr>
                <w:b/>
                <w:bCs/>
                <w:sz w:val="20"/>
                <w:szCs w:val="20"/>
              </w:rPr>
              <w:t>432,33</w:t>
            </w:r>
            <w:r>
              <w:rPr>
                <w:b/>
                <w:bCs/>
                <w:sz w:val="20"/>
                <w:szCs w:val="20"/>
              </w:rPr>
              <w:t>2</w:t>
            </w:r>
          </w:p>
        </w:tc>
        <w:tc>
          <w:tcPr>
            <w:tcW w:w="0" w:type="auto"/>
            <w:noWrap/>
            <w:vAlign w:val="bottom"/>
            <w:hideMark/>
          </w:tcPr>
          <w:p w14:paraId="19B6089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7736A0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1B6A592"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76FA9998" w14:textId="77777777" w:rsidR="00000000" w:rsidRDefault="003A1B5D">
            <w:pPr>
              <w:pStyle w:val="a3"/>
              <w:spacing w:before="0" w:beforeAutospacing="0" w:after="0" w:afterAutospacing="0"/>
              <w:jc w:val="right"/>
              <w:rPr>
                <w:sz w:val="20"/>
                <w:szCs w:val="20"/>
              </w:rPr>
            </w:pPr>
            <w:r>
              <w:rPr>
                <w:sz w:val="20"/>
                <w:szCs w:val="20"/>
              </w:rPr>
              <w:t>531,62</w:t>
            </w:r>
            <w:r>
              <w:rPr>
                <w:sz w:val="20"/>
                <w:szCs w:val="20"/>
              </w:rPr>
              <w:t>6</w:t>
            </w:r>
          </w:p>
        </w:tc>
        <w:tc>
          <w:tcPr>
            <w:tcW w:w="0" w:type="auto"/>
            <w:noWrap/>
            <w:vAlign w:val="bottom"/>
            <w:hideMark/>
          </w:tcPr>
          <w:p w14:paraId="06E347F8" w14:textId="77777777" w:rsidR="00000000" w:rsidRDefault="003A1B5D">
            <w:pPr>
              <w:pStyle w:val="a3"/>
              <w:spacing w:before="0" w:beforeAutospacing="0" w:after="0" w:afterAutospacing="0"/>
              <w:rPr>
                <w:sz w:val="20"/>
                <w:szCs w:val="20"/>
              </w:rPr>
            </w:pPr>
            <w:r>
              <w:rPr>
                <w:sz w:val="20"/>
                <w:szCs w:val="20"/>
              </w:rPr>
              <w:t> </w:t>
            </w:r>
          </w:p>
        </w:tc>
      </w:tr>
      <w:tr w:rsidR="00000000" w14:paraId="3EA749C6" w14:textId="77777777">
        <w:trPr>
          <w:trHeight w:val="200"/>
          <w:tblCellSpacing w:w="15" w:type="dxa"/>
        </w:trPr>
        <w:tc>
          <w:tcPr>
            <w:tcW w:w="0" w:type="auto"/>
            <w:hideMark/>
          </w:tcPr>
          <w:p w14:paraId="1116AD44" w14:textId="77777777" w:rsidR="00000000" w:rsidRDefault="003A1B5D">
            <w:pPr>
              <w:pStyle w:val="a3"/>
              <w:spacing w:before="0" w:beforeAutospacing="0" w:after="0" w:afterAutospacing="0"/>
              <w:rPr>
                <w:sz w:val="20"/>
                <w:szCs w:val="20"/>
              </w:rPr>
            </w:pPr>
            <w:r>
              <w:rPr>
                <w:sz w:val="20"/>
                <w:szCs w:val="20"/>
              </w:rPr>
              <w:t>   Real estate and related asset</w:t>
            </w:r>
            <w:r>
              <w:rPr>
                <w:sz w:val="20"/>
                <w:szCs w:val="20"/>
              </w:rPr>
              <w:t>s</w:t>
            </w:r>
          </w:p>
        </w:tc>
        <w:tc>
          <w:tcPr>
            <w:tcW w:w="0" w:type="auto"/>
            <w:vAlign w:val="bottom"/>
            <w:hideMark/>
          </w:tcPr>
          <w:p w14:paraId="2E01B62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2B52B8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B542A45" w14:textId="77777777" w:rsidR="00000000" w:rsidRDefault="003A1B5D">
            <w:pPr>
              <w:pStyle w:val="a3"/>
              <w:spacing w:before="0" w:beforeAutospacing="0" w:after="0" w:afterAutospacing="0"/>
              <w:jc w:val="right"/>
              <w:rPr>
                <w:sz w:val="20"/>
                <w:szCs w:val="20"/>
              </w:rPr>
            </w:pPr>
            <w:r>
              <w:rPr>
                <w:b/>
                <w:bCs/>
                <w:sz w:val="20"/>
                <w:szCs w:val="20"/>
              </w:rPr>
              <w:t>2,386,27</w:t>
            </w:r>
            <w:r>
              <w:rPr>
                <w:b/>
                <w:bCs/>
                <w:sz w:val="20"/>
                <w:szCs w:val="20"/>
              </w:rPr>
              <w:t>5</w:t>
            </w:r>
          </w:p>
        </w:tc>
        <w:tc>
          <w:tcPr>
            <w:tcW w:w="0" w:type="auto"/>
            <w:noWrap/>
            <w:vAlign w:val="bottom"/>
            <w:hideMark/>
          </w:tcPr>
          <w:p w14:paraId="76E66A6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08E2E9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99D4F7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2FE3317" w14:textId="77777777" w:rsidR="00000000" w:rsidRDefault="003A1B5D">
            <w:pPr>
              <w:pStyle w:val="a3"/>
              <w:spacing w:before="0" w:beforeAutospacing="0" w:after="0" w:afterAutospacing="0"/>
              <w:jc w:val="right"/>
              <w:rPr>
                <w:sz w:val="20"/>
                <w:szCs w:val="20"/>
              </w:rPr>
            </w:pPr>
            <w:r>
              <w:rPr>
                <w:sz w:val="20"/>
                <w:szCs w:val="20"/>
              </w:rPr>
              <w:t>2,502,13</w:t>
            </w:r>
            <w:r>
              <w:rPr>
                <w:sz w:val="20"/>
                <w:szCs w:val="20"/>
              </w:rPr>
              <w:t>5</w:t>
            </w:r>
          </w:p>
        </w:tc>
        <w:tc>
          <w:tcPr>
            <w:tcW w:w="0" w:type="auto"/>
            <w:noWrap/>
            <w:vAlign w:val="bottom"/>
            <w:hideMark/>
          </w:tcPr>
          <w:p w14:paraId="7CFADAC2" w14:textId="77777777" w:rsidR="00000000" w:rsidRDefault="003A1B5D">
            <w:pPr>
              <w:pStyle w:val="a3"/>
              <w:spacing w:before="0" w:beforeAutospacing="0" w:after="0" w:afterAutospacing="0"/>
              <w:rPr>
                <w:sz w:val="20"/>
                <w:szCs w:val="20"/>
              </w:rPr>
            </w:pPr>
            <w:r>
              <w:rPr>
                <w:sz w:val="20"/>
                <w:szCs w:val="20"/>
              </w:rPr>
              <w:t> </w:t>
            </w:r>
          </w:p>
        </w:tc>
      </w:tr>
      <w:tr w:rsidR="00000000" w14:paraId="63E0A508" w14:textId="77777777">
        <w:trPr>
          <w:trHeight w:val="200"/>
          <w:tblCellSpacing w:w="15" w:type="dxa"/>
        </w:trPr>
        <w:tc>
          <w:tcPr>
            <w:tcW w:w="0" w:type="auto"/>
            <w:hideMark/>
          </w:tcPr>
          <w:p w14:paraId="32C6102A" w14:textId="77777777" w:rsidR="00000000" w:rsidRDefault="003A1B5D">
            <w:pPr>
              <w:pStyle w:val="a3"/>
              <w:spacing w:before="0" w:beforeAutospacing="0" w:after="0" w:afterAutospacing="0"/>
              <w:rPr>
                <w:sz w:val="20"/>
                <w:szCs w:val="20"/>
              </w:rPr>
            </w:pPr>
            <w:r>
              <w:rPr>
                <w:sz w:val="20"/>
                <w:szCs w:val="20"/>
              </w:rPr>
              <w:t>   Other asset</w:t>
            </w:r>
            <w:r>
              <w:rPr>
                <w:sz w:val="20"/>
                <w:szCs w:val="20"/>
              </w:rPr>
              <w:t>s</w:t>
            </w:r>
          </w:p>
        </w:tc>
        <w:tc>
          <w:tcPr>
            <w:tcW w:w="0" w:type="auto"/>
            <w:vAlign w:val="bottom"/>
            <w:hideMark/>
          </w:tcPr>
          <w:p w14:paraId="7366EFE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F0F3AA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64AE820" w14:textId="77777777" w:rsidR="00000000" w:rsidRDefault="003A1B5D">
            <w:pPr>
              <w:pStyle w:val="a3"/>
              <w:spacing w:before="0" w:beforeAutospacing="0" w:after="0" w:afterAutospacing="0"/>
              <w:jc w:val="right"/>
              <w:rPr>
                <w:sz w:val="20"/>
                <w:szCs w:val="20"/>
              </w:rPr>
            </w:pPr>
            <w:r>
              <w:rPr>
                <w:b/>
                <w:bCs/>
                <w:sz w:val="20"/>
                <w:szCs w:val="20"/>
              </w:rPr>
              <w:t>211,73</w:t>
            </w:r>
            <w:r>
              <w:rPr>
                <w:b/>
                <w:bCs/>
                <w:sz w:val="20"/>
                <w:szCs w:val="20"/>
              </w:rPr>
              <w:t>1</w:t>
            </w:r>
          </w:p>
        </w:tc>
        <w:tc>
          <w:tcPr>
            <w:tcW w:w="0" w:type="auto"/>
            <w:noWrap/>
            <w:vAlign w:val="bottom"/>
            <w:hideMark/>
          </w:tcPr>
          <w:p w14:paraId="52B7CEF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08BD48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F6580C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40B548D" w14:textId="77777777" w:rsidR="00000000" w:rsidRDefault="003A1B5D">
            <w:pPr>
              <w:pStyle w:val="a3"/>
              <w:spacing w:before="0" w:beforeAutospacing="0" w:after="0" w:afterAutospacing="0"/>
              <w:jc w:val="right"/>
              <w:rPr>
                <w:sz w:val="20"/>
                <w:szCs w:val="20"/>
              </w:rPr>
            </w:pPr>
            <w:r>
              <w:rPr>
                <w:sz w:val="20"/>
                <w:szCs w:val="20"/>
              </w:rPr>
              <w:t>224,27</w:t>
            </w:r>
            <w:r>
              <w:rPr>
                <w:sz w:val="20"/>
                <w:szCs w:val="20"/>
              </w:rPr>
              <w:t>7</w:t>
            </w:r>
          </w:p>
        </w:tc>
        <w:tc>
          <w:tcPr>
            <w:tcW w:w="0" w:type="auto"/>
            <w:noWrap/>
            <w:vAlign w:val="bottom"/>
            <w:hideMark/>
          </w:tcPr>
          <w:p w14:paraId="31B76669" w14:textId="77777777" w:rsidR="00000000" w:rsidRDefault="003A1B5D">
            <w:pPr>
              <w:pStyle w:val="a3"/>
              <w:spacing w:before="0" w:beforeAutospacing="0" w:after="0" w:afterAutospacing="0"/>
              <w:rPr>
                <w:sz w:val="20"/>
                <w:szCs w:val="20"/>
              </w:rPr>
            </w:pPr>
            <w:r>
              <w:rPr>
                <w:sz w:val="20"/>
                <w:szCs w:val="20"/>
              </w:rPr>
              <w:t> </w:t>
            </w:r>
          </w:p>
        </w:tc>
      </w:tr>
      <w:tr w:rsidR="00000000" w14:paraId="7E43E22F" w14:textId="77777777">
        <w:trPr>
          <w:trHeight w:val="200"/>
          <w:tblCellSpacing w:w="15" w:type="dxa"/>
        </w:trPr>
        <w:tc>
          <w:tcPr>
            <w:tcW w:w="0" w:type="auto"/>
            <w:hideMark/>
          </w:tcPr>
          <w:p w14:paraId="3C280A69" w14:textId="77777777" w:rsidR="00000000" w:rsidRDefault="003A1B5D">
            <w:pPr>
              <w:pStyle w:val="a3"/>
              <w:spacing w:before="0" w:beforeAutospacing="0" w:after="0" w:afterAutospacing="0"/>
              <w:rPr>
                <w:sz w:val="20"/>
                <w:szCs w:val="20"/>
              </w:rPr>
            </w:pPr>
            <w:r>
              <w:rPr>
                <w:sz w:val="20"/>
                <w:szCs w:val="20"/>
              </w:rPr>
              <w:t>Total non-current asset</w:t>
            </w:r>
            <w:r>
              <w:rPr>
                <w:sz w:val="20"/>
                <w:szCs w:val="20"/>
              </w:rPr>
              <w:t>s</w:t>
            </w:r>
          </w:p>
        </w:tc>
        <w:tc>
          <w:tcPr>
            <w:tcW w:w="0" w:type="auto"/>
            <w:vAlign w:val="bottom"/>
            <w:hideMark/>
          </w:tcPr>
          <w:p w14:paraId="6724243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08DB25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7005A9A" w14:textId="77777777" w:rsidR="00000000" w:rsidRDefault="003A1B5D">
            <w:pPr>
              <w:pStyle w:val="a3"/>
              <w:spacing w:before="0" w:beforeAutospacing="0" w:after="0" w:afterAutospacing="0"/>
              <w:jc w:val="right"/>
              <w:rPr>
                <w:sz w:val="20"/>
                <w:szCs w:val="20"/>
              </w:rPr>
            </w:pPr>
            <w:r>
              <w:rPr>
                <w:b/>
                <w:bCs/>
                <w:sz w:val="20"/>
                <w:szCs w:val="20"/>
              </w:rPr>
              <w:t>2,598,00</w:t>
            </w:r>
            <w:r>
              <w:rPr>
                <w:b/>
                <w:bCs/>
                <w:sz w:val="20"/>
                <w:szCs w:val="20"/>
              </w:rPr>
              <w:t>6</w:t>
            </w:r>
          </w:p>
        </w:tc>
        <w:tc>
          <w:tcPr>
            <w:tcW w:w="0" w:type="auto"/>
            <w:noWrap/>
            <w:vAlign w:val="bottom"/>
            <w:hideMark/>
          </w:tcPr>
          <w:p w14:paraId="33A07E1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F112DE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11A43E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7AB6748" w14:textId="77777777" w:rsidR="00000000" w:rsidRDefault="003A1B5D">
            <w:pPr>
              <w:pStyle w:val="a3"/>
              <w:spacing w:before="0" w:beforeAutospacing="0" w:after="0" w:afterAutospacing="0"/>
              <w:jc w:val="right"/>
              <w:rPr>
                <w:sz w:val="20"/>
                <w:szCs w:val="20"/>
              </w:rPr>
            </w:pPr>
            <w:r>
              <w:rPr>
                <w:sz w:val="20"/>
                <w:szCs w:val="20"/>
              </w:rPr>
              <w:t>2,726,41</w:t>
            </w:r>
            <w:r>
              <w:rPr>
                <w:sz w:val="20"/>
                <w:szCs w:val="20"/>
              </w:rPr>
              <w:t>2</w:t>
            </w:r>
          </w:p>
        </w:tc>
        <w:tc>
          <w:tcPr>
            <w:tcW w:w="0" w:type="auto"/>
            <w:noWrap/>
            <w:vAlign w:val="bottom"/>
            <w:hideMark/>
          </w:tcPr>
          <w:p w14:paraId="75A60CBF" w14:textId="77777777" w:rsidR="00000000" w:rsidRDefault="003A1B5D">
            <w:pPr>
              <w:pStyle w:val="a3"/>
              <w:spacing w:before="0" w:beforeAutospacing="0" w:after="0" w:afterAutospacing="0"/>
              <w:rPr>
                <w:sz w:val="20"/>
                <w:szCs w:val="20"/>
              </w:rPr>
            </w:pPr>
            <w:r>
              <w:rPr>
                <w:sz w:val="20"/>
                <w:szCs w:val="20"/>
              </w:rPr>
              <w:t> </w:t>
            </w:r>
          </w:p>
        </w:tc>
      </w:tr>
      <w:tr w:rsidR="00000000" w14:paraId="78C7DC21" w14:textId="77777777">
        <w:trPr>
          <w:trHeight w:val="200"/>
          <w:tblCellSpacing w:w="15" w:type="dxa"/>
        </w:trPr>
        <w:tc>
          <w:tcPr>
            <w:tcW w:w="0" w:type="auto"/>
            <w:hideMark/>
          </w:tcPr>
          <w:p w14:paraId="0D492D5F" w14:textId="77777777" w:rsidR="00000000" w:rsidRDefault="003A1B5D">
            <w:pPr>
              <w:pStyle w:val="a3"/>
              <w:spacing w:before="0" w:beforeAutospacing="0" w:after="0" w:afterAutospacing="0"/>
              <w:rPr>
                <w:sz w:val="20"/>
                <w:szCs w:val="20"/>
              </w:rPr>
            </w:pPr>
            <w:r>
              <w:rPr>
                <w:sz w:val="20"/>
                <w:szCs w:val="20"/>
              </w:rPr>
              <w:t>Current liabilitie</w:t>
            </w:r>
            <w:r>
              <w:rPr>
                <w:sz w:val="20"/>
                <w:szCs w:val="20"/>
              </w:rPr>
              <w:t>s</w:t>
            </w:r>
          </w:p>
        </w:tc>
        <w:tc>
          <w:tcPr>
            <w:tcW w:w="0" w:type="auto"/>
            <w:vAlign w:val="bottom"/>
            <w:hideMark/>
          </w:tcPr>
          <w:p w14:paraId="4B5E589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D78C8A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DB7ADC7" w14:textId="77777777" w:rsidR="00000000" w:rsidRDefault="003A1B5D">
            <w:pPr>
              <w:pStyle w:val="a3"/>
              <w:spacing w:before="0" w:beforeAutospacing="0" w:after="0" w:afterAutospacing="0"/>
              <w:jc w:val="right"/>
              <w:rPr>
                <w:sz w:val="20"/>
                <w:szCs w:val="20"/>
              </w:rPr>
            </w:pPr>
            <w:r>
              <w:rPr>
                <w:b/>
                <w:bCs/>
                <w:sz w:val="20"/>
                <w:szCs w:val="20"/>
              </w:rPr>
              <w:t>368,17</w:t>
            </w:r>
            <w:r>
              <w:rPr>
                <w:b/>
                <w:bCs/>
                <w:sz w:val="20"/>
                <w:szCs w:val="20"/>
              </w:rPr>
              <w:t>3</w:t>
            </w:r>
          </w:p>
        </w:tc>
        <w:tc>
          <w:tcPr>
            <w:tcW w:w="0" w:type="auto"/>
            <w:noWrap/>
            <w:vAlign w:val="bottom"/>
            <w:hideMark/>
          </w:tcPr>
          <w:p w14:paraId="2A927AC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07D8CD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B9219A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EEF2949" w14:textId="77777777" w:rsidR="00000000" w:rsidRDefault="003A1B5D">
            <w:pPr>
              <w:pStyle w:val="a3"/>
              <w:spacing w:before="0" w:beforeAutospacing="0" w:after="0" w:afterAutospacing="0"/>
              <w:jc w:val="right"/>
              <w:rPr>
                <w:sz w:val="20"/>
                <w:szCs w:val="20"/>
              </w:rPr>
            </w:pPr>
            <w:r>
              <w:rPr>
                <w:sz w:val="20"/>
                <w:szCs w:val="20"/>
              </w:rPr>
              <w:t>237,79</w:t>
            </w:r>
            <w:r>
              <w:rPr>
                <w:sz w:val="20"/>
                <w:szCs w:val="20"/>
              </w:rPr>
              <w:t>5</w:t>
            </w:r>
          </w:p>
        </w:tc>
        <w:tc>
          <w:tcPr>
            <w:tcW w:w="0" w:type="auto"/>
            <w:noWrap/>
            <w:vAlign w:val="bottom"/>
            <w:hideMark/>
          </w:tcPr>
          <w:p w14:paraId="280F94B0" w14:textId="77777777" w:rsidR="00000000" w:rsidRDefault="003A1B5D">
            <w:pPr>
              <w:pStyle w:val="a3"/>
              <w:spacing w:before="0" w:beforeAutospacing="0" w:after="0" w:afterAutospacing="0"/>
              <w:rPr>
                <w:sz w:val="20"/>
                <w:szCs w:val="20"/>
              </w:rPr>
            </w:pPr>
            <w:r>
              <w:rPr>
                <w:sz w:val="20"/>
                <w:szCs w:val="20"/>
              </w:rPr>
              <w:t> </w:t>
            </w:r>
          </w:p>
        </w:tc>
      </w:tr>
      <w:tr w:rsidR="00000000" w14:paraId="03041080" w14:textId="77777777">
        <w:trPr>
          <w:trHeight w:val="200"/>
          <w:tblCellSpacing w:w="15" w:type="dxa"/>
        </w:trPr>
        <w:tc>
          <w:tcPr>
            <w:tcW w:w="0" w:type="auto"/>
            <w:hideMark/>
          </w:tcPr>
          <w:p w14:paraId="2654E709" w14:textId="77777777" w:rsidR="00000000" w:rsidRDefault="003A1B5D">
            <w:pPr>
              <w:pStyle w:val="a3"/>
              <w:spacing w:before="0" w:beforeAutospacing="0" w:after="0" w:afterAutospacing="0"/>
              <w:rPr>
                <w:sz w:val="20"/>
                <w:szCs w:val="20"/>
              </w:rPr>
            </w:pPr>
            <w:r>
              <w:rPr>
                <w:sz w:val="20"/>
                <w:szCs w:val="20"/>
              </w:rPr>
              <w:t>   Long-term debt, ne</w:t>
            </w:r>
            <w:r>
              <w:rPr>
                <w:sz w:val="20"/>
                <w:szCs w:val="20"/>
              </w:rPr>
              <w:t>t</w:t>
            </w:r>
          </w:p>
        </w:tc>
        <w:tc>
          <w:tcPr>
            <w:tcW w:w="0" w:type="auto"/>
            <w:vAlign w:val="bottom"/>
            <w:hideMark/>
          </w:tcPr>
          <w:p w14:paraId="2230004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687DD5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5423C60" w14:textId="77777777" w:rsidR="00000000" w:rsidRDefault="003A1B5D">
            <w:pPr>
              <w:pStyle w:val="a3"/>
              <w:spacing w:before="0" w:beforeAutospacing="0" w:after="0" w:afterAutospacing="0"/>
              <w:jc w:val="right"/>
              <w:rPr>
                <w:sz w:val="20"/>
                <w:szCs w:val="20"/>
              </w:rPr>
            </w:pPr>
            <w:r>
              <w:rPr>
                <w:b/>
                <w:bCs/>
                <w:sz w:val="20"/>
                <w:szCs w:val="20"/>
              </w:rPr>
              <w:t>970,02</w:t>
            </w:r>
            <w:r>
              <w:rPr>
                <w:b/>
                <w:bCs/>
                <w:sz w:val="20"/>
                <w:szCs w:val="20"/>
              </w:rPr>
              <w:t>4</w:t>
            </w:r>
          </w:p>
        </w:tc>
        <w:tc>
          <w:tcPr>
            <w:tcW w:w="0" w:type="auto"/>
            <w:noWrap/>
            <w:vAlign w:val="bottom"/>
            <w:hideMark/>
          </w:tcPr>
          <w:p w14:paraId="1913017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92B52B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E10602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545FB82" w14:textId="77777777" w:rsidR="00000000" w:rsidRDefault="003A1B5D">
            <w:pPr>
              <w:pStyle w:val="a3"/>
              <w:spacing w:before="0" w:beforeAutospacing="0" w:after="0" w:afterAutospacing="0"/>
              <w:jc w:val="right"/>
              <w:rPr>
                <w:sz w:val="20"/>
                <w:szCs w:val="20"/>
              </w:rPr>
            </w:pPr>
            <w:r>
              <w:rPr>
                <w:sz w:val="20"/>
                <w:szCs w:val="20"/>
              </w:rPr>
              <w:t>1,344,60</w:t>
            </w:r>
            <w:r>
              <w:rPr>
                <w:sz w:val="20"/>
                <w:szCs w:val="20"/>
              </w:rPr>
              <w:t>6</w:t>
            </w:r>
          </w:p>
        </w:tc>
        <w:tc>
          <w:tcPr>
            <w:tcW w:w="0" w:type="auto"/>
            <w:noWrap/>
            <w:vAlign w:val="bottom"/>
            <w:hideMark/>
          </w:tcPr>
          <w:p w14:paraId="58CE724E" w14:textId="77777777" w:rsidR="00000000" w:rsidRDefault="003A1B5D">
            <w:pPr>
              <w:pStyle w:val="a3"/>
              <w:spacing w:before="0" w:beforeAutospacing="0" w:after="0" w:afterAutospacing="0"/>
              <w:rPr>
                <w:sz w:val="20"/>
                <w:szCs w:val="20"/>
              </w:rPr>
            </w:pPr>
            <w:r>
              <w:rPr>
                <w:sz w:val="20"/>
                <w:szCs w:val="20"/>
              </w:rPr>
              <w:t> </w:t>
            </w:r>
          </w:p>
        </w:tc>
      </w:tr>
      <w:tr w:rsidR="00000000" w14:paraId="38013049" w14:textId="77777777">
        <w:trPr>
          <w:trHeight w:val="200"/>
          <w:tblCellSpacing w:w="15" w:type="dxa"/>
        </w:trPr>
        <w:tc>
          <w:tcPr>
            <w:tcW w:w="0" w:type="auto"/>
            <w:hideMark/>
          </w:tcPr>
          <w:p w14:paraId="4DF9C322" w14:textId="77777777" w:rsidR="00000000" w:rsidRDefault="003A1B5D">
            <w:pPr>
              <w:pStyle w:val="a3"/>
              <w:spacing w:before="0" w:beforeAutospacing="0" w:after="0" w:afterAutospacing="0"/>
              <w:rPr>
                <w:sz w:val="20"/>
                <w:szCs w:val="20"/>
              </w:rPr>
            </w:pPr>
            <w:r>
              <w:rPr>
                <w:sz w:val="20"/>
                <w:szCs w:val="20"/>
              </w:rPr>
              <w:t>   Other liabilitie</w:t>
            </w:r>
            <w:r>
              <w:rPr>
                <w:sz w:val="20"/>
                <w:szCs w:val="20"/>
              </w:rPr>
              <w:t>s</w:t>
            </w:r>
          </w:p>
        </w:tc>
        <w:tc>
          <w:tcPr>
            <w:tcW w:w="0" w:type="auto"/>
            <w:vAlign w:val="bottom"/>
            <w:hideMark/>
          </w:tcPr>
          <w:p w14:paraId="01BFD7E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7C9AC2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EDD3C37" w14:textId="77777777" w:rsidR="00000000" w:rsidRDefault="003A1B5D">
            <w:pPr>
              <w:pStyle w:val="a3"/>
              <w:spacing w:before="0" w:beforeAutospacing="0" w:after="0" w:afterAutospacing="0"/>
              <w:jc w:val="right"/>
              <w:rPr>
                <w:sz w:val="20"/>
                <w:szCs w:val="20"/>
              </w:rPr>
            </w:pPr>
            <w:r>
              <w:rPr>
                <w:b/>
                <w:bCs/>
                <w:sz w:val="20"/>
                <w:szCs w:val="20"/>
              </w:rPr>
              <w:t>281,58</w:t>
            </w:r>
            <w:r>
              <w:rPr>
                <w:b/>
                <w:bCs/>
                <w:sz w:val="20"/>
                <w:szCs w:val="20"/>
              </w:rPr>
              <w:t>6</w:t>
            </w:r>
          </w:p>
        </w:tc>
        <w:tc>
          <w:tcPr>
            <w:tcW w:w="0" w:type="auto"/>
            <w:noWrap/>
            <w:vAlign w:val="bottom"/>
            <w:hideMark/>
          </w:tcPr>
          <w:p w14:paraId="185BECB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995D19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395AFB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08406D5" w14:textId="77777777" w:rsidR="00000000" w:rsidRDefault="003A1B5D">
            <w:pPr>
              <w:pStyle w:val="a3"/>
              <w:spacing w:before="0" w:beforeAutospacing="0" w:after="0" w:afterAutospacing="0"/>
              <w:jc w:val="right"/>
              <w:rPr>
                <w:sz w:val="20"/>
                <w:szCs w:val="20"/>
              </w:rPr>
            </w:pPr>
            <w:r>
              <w:rPr>
                <w:sz w:val="20"/>
                <w:szCs w:val="20"/>
              </w:rPr>
              <w:t>293,45</w:t>
            </w:r>
            <w:r>
              <w:rPr>
                <w:sz w:val="20"/>
                <w:szCs w:val="20"/>
              </w:rPr>
              <w:t>6</w:t>
            </w:r>
          </w:p>
        </w:tc>
        <w:tc>
          <w:tcPr>
            <w:tcW w:w="0" w:type="auto"/>
            <w:noWrap/>
            <w:vAlign w:val="bottom"/>
            <w:hideMark/>
          </w:tcPr>
          <w:p w14:paraId="2406E80E" w14:textId="77777777" w:rsidR="00000000" w:rsidRDefault="003A1B5D">
            <w:pPr>
              <w:pStyle w:val="a3"/>
              <w:spacing w:before="0" w:beforeAutospacing="0" w:after="0" w:afterAutospacing="0"/>
              <w:rPr>
                <w:sz w:val="20"/>
                <w:szCs w:val="20"/>
              </w:rPr>
            </w:pPr>
            <w:r>
              <w:rPr>
                <w:sz w:val="20"/>
                <w:szCs w:val="20"/>
              </w:rPr>
              <w:t> </w:t>
            </w:r>
          </w:p>
        </w:tc>
      </w:tr>
      <w:tr w:rsidR="00000000" w14:paraId="29500E2C" w14:textId="77777777">
        <w:trPr>
          <w:trHeight w:val="200"/>
          <w:tblCellSpacing w:w="15" w:type="dxa"/>
        </w:trPr>
        <w:tc>
          <w:tcPr>
            <w:tcW w:w="0" w:type="auto"/>
            <w:hideMark/>
          </w:tcPr>
          <w:p w14:paraId="20A63A23" w14:textId="77777777" w:rsidR="00000000" w:rsidRDefault="003A1B5D">
            <w:pPr>
              <w:pStyle w:val="a3"/>
              <w:spacing w:before="0" w:beforeAutospacing="0" w:after="0" w:afterAutospacing="0"/>
              <w:rPr>
                <w:sz w:val="20"/>
                <w:szCs w:val="20"/>
              </w:rPr>
            </w:pPr>
            <w:r>
              <w:rPr>
                <w:sz w:val="20"/>
                <w:szCs w:val="20"/>
              </w:rPr>
              <w:t>Total long-term liabilitie</w:t>
            </w:r>
            <w:r>
              <w:rPr>
                <w:sz w:val="20"/>
                <w:szCs w:val="20"/>
              </w:rPr>
              <w:t>s</w:t>
            </w:r>
          </w:p>
        </w:tc>
        <w:tc>
          <w:tcPr>
            <w:tcW w:w="0" w:type="auto"/>
            <w:vAlign w:val="bottom"/>
            <w:hideMark/>
          </w:tcPr>
          <w:p w14:paraId="24110D7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D3F0D7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6F34ECA" w14:textId="77777777" w:rsidR="00000000" w:rsidRDefault="003A1B5D">
            <w:pPr>
              <w:pStyle w:val="a3"/>
              <w:spacing w:before="0" w:beforeAutospacing="0" w:after="0" w:afterAutospacing="0"/>
              <w:jc w:val="right"/>
              <w:rPr>
                <w:sz w:val="20"/>
                <w:szCs w:val="20"/>
              </w:rPr>
            </w:pPr>
            <w:r>
              <w:rPr>
                <w:b/>
                <w:bCs/>
                <w:sz w:val="20"/>
                <w:szCs w:val="20"/>
              </w:rPr>
              <w:t>1,251,61</w:t>
            </w:r>
            <w:r>
              <w:rPr>
                <w:b/>
                <w:bCs/>
                <w:sz w:val="20"/>
                <w:szCs w:val="20"/>
              </w:rPr>
              <w:t>0</w:t>
            </w:r>
          </w:p>
        </w:tc>
        <w:tc>
          <w:tcPr>
            <w:tcW w:w="0" w:type="auto"/>
            <w:noWrap/>
            <w:vAlign w:val="bottom"/>
            <w:hideMark/>
          </w:tcPr>
          <w:p w14:paraId="2F2271B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770C37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C073AC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C66542F" w14:textId="77777777" w:rsidR="00000000" w:rsidRDefault="003A1B5D">
            <w:pPr>
              <w:pStyle w:val="a3"/>
              <w:spacing w:before="0" w:beforeAutospacing="0" w:after="0" w:afterAutospacing="0"/>
              <w:jc w:val="right"/>
              <w:rPr>
                <w:sz w:val="20"/>
                <w:szCs w:val="20"/>
              </w:rPr>
            </w:pPr>
            <w:r>
              <w:rPr>
                <w:sz w:val="20"/>
                <w:szCs w:val="20"/>
              </w:rPr>
              <w:t>1,638,06</w:t>
            </w:r>
            <w:r>
              <w:rPr>
                <w:sz w:val="20"/>
                <w:szCs w:val="20"/>
              </w:rPr>
              <w:t>2</w:t>
            </w:r>
          </w:p>
        </w:tc>
        <w:tc>
          <w:tcPr>
            <w:tcW w:w="0" w:type="auto"/>
            <w:noWrap/>
            <w:vAlign w:val="bottom"/>
            <w:hideMark/>
          </w:tcPr>
          <w:p w14:paraId="5CB866E4" w14:textId="77777777" w:rsidR="00000000" w:rsidRDefault="003A1B5D">
            <w:pPr>
              <w:pStyle w:val="a3"/>
              <w:spacing w:before="0" w:beforeAutospacing="0" w:after="0" w:afterAutospacing="0"/>
              <w:rPr>
                <w:sz w:val="20"/>
                <w:szCs w:val="20"/>
              </w:rPr>
            </w:pPr>
            <w:r>
              <w:rPr>
                <w:sz w:val="20"/>
                <w:szCs w:val="20"/>
              </w:rPr>
              <w:t> </w:t>
            </w:r>
          </w:p>
        </w:tc>
      </w:tr>
    </w:tbl>
    <w:p w14:paraId="7F3C838D" w14:textId="77777777" w:rsidR="00000000" w:rsidRDefault="003A1B5D">
      <w:pPr>
        <w:pStyle w:val="a3"/>
        <w:spacing w:before="0" w:beforeAutospacing="0" w:after="0" w:afterAutospacing="0"/>
        <w:jc w:val="both"/>
        <w:rPr>
          <w:sz w:val="20"/>
          <w:szCs w:val="20"/>
        </w:rPr>
      </w:pPr>
      <w:r>
        <w:rPr>
          <w:sz w:val="20"/>
          <w:szCs w:val="20"/>
        </w:rPr>
        <w:t> </w:t>
      </w:r>
    </w:p>
    <w:p w14:paraId="4F8FA2B2" w14:textId="77777777" w:rsidR="00000000" w:rsidRDefault="003A1B5D">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772"/>
        <w:gridCol w:w="113"/>
        <w:gridCol w:w="160"/>
        <w:gridCol w:w="913"/>
        <w:gridCol w:w="110"/>
        <w:gridCol w:w="114"/>
        <w:gridCol w:w="160"/>
        <w:gridCol w:w="991"/>
        <w:gridCol w:w="142"/>
      </w:tblGrid>
      <w:tr w:rsidR="00000000" w14:paraId="22DAE50E" w14:textId="77777777">
        <w:trPr>
          <w:tblCellSpacing w:w="15" w:type="dxa"/>
        </w:trPr>
        <w:tc>
          <w:tcPr>
            <w:tcW w:w="3313" w:type="pct"/>
            <w:vAlign w:val="center"/>
            <w:hideMark/>
          </w:tcPr>
          <w:p w14:paraId="546164D9" w14:textId="77777777" w:rsidR="00000000" w:rsidRDefault="003A1B5D">
            <w:pPr>
              <w:rPr>
                <w:sz w:val="20"/>
                <w:szCs w:val="20"/>
              </w:rPr>
            </w:pPr>
          </w:p>
        </w:tc>
        <w:tc>
          <w:tcPr>
            <w:tcW w:w="79" w:type="pct"/>
            <w:vAlign w:val="center"/>
            <w:hideMark/>
          </w:tcPr>
          <w:p w14:paraId="3766BF09" w14:textId="77777777" w:rsidR="00000000" w:rsidRDefault="003A1B5D">
            <w:pPr>
              <w:rPr>
                <w:rFonts w:eastAsia="Times New Roman"/>
                <w:sz w:val="20"/>
                <w:szCs w:val="20"/>
              </w:rPr>
            </w:pPr>
          </w:p>
        </w:tc>
        <w:tc>
          <w:tcPr>
            <w:tcW w:w="50" w:type="pct"/>
            <w:vAlign w:val="center"/>
            <w:hideMark/>
          </w:tcPr>
          <w:p w14:paraId="7BBB8CD0" w14:textId="77777777" w:rsidR="00000000" w:rsidRDefault="003A1B5D">
            <w:pPr>
              <w:rPr>
                <w:rFonts w:eastAsia="Times New Roman"/>
                <w:sz w:val="20"/>
                <w:szCs w:val="20"/>
              </w:rPr>
            </w:pPr>
          </w:p>
        </w:tc>
        <w:tc>
          <w:tcPr>
            <w:tcW w:w="636" w:type="pct"/>
            <w:vAlign w:val="center"/>
            <w:hideMark/>
          </w:tcPr>
          <w:p w14:paraId="651611E1" w14:textId="77777777" w:rsidR="00000000" w:rsidRDefault="003A1B5D">
            <w:pPr>
              <w:rPr>
                <w:rFonts w:eastAsia="Times New Roman"/>
                <w:sz w:val="20"/>
                <w:szCs w:val="20"/>
              </w:rPr>
            </w:pPr>
          </w:p>
        </w:tc>
        <w:tc>
          <w:tcPr>
            <w:tcW w:w="50" w:type="pct"/>
            <w:vAlign w:val="center"/>
            <w:hideMark/>
          </w:tcPr>
          <w:p w14:paraId="1AB8CA92" w14:textId="77777777" w:rsidR="00000000" w:rsidRDefault="003A1B5D">
            <w:pPr>
              <w:rPr>
                <w:rFonts w:eastAsia="Times New Roman"/>
                <w:sz w:val="20"/>
                <w:szCs w:val="20"/>
              </w:rPr>
            </w:pPr>
          </w:p>
        </w:tc>
        <w:tc>
          <w:tcPr>
            <w:tcW w:w="79" w:type="pct"/>
            <w:vAlign w:val="center"/>
            <w:hideMark/>
          </w:tcPr>
          <w:p w14:paraId="3E3FF0BF" w14:textId="77777777" w:rsidR="00000000" w:rsidRDefault="003A1B5D">
            <w:pPr>
              <w:rPr>
                <w:rFonts w:eastAsia="Times New Roman"/>
                <w:sz w:val="20"/>
                <w:szCs w:val="20"/>
              </w:rPr>
            </w:pPr>
          </w:p>
        </w:tc>
        <w:tc>
          <w:tcPr>
            <w:tcW w:w="50" w:type="pct"/>
            <w:vAlign w:val="center"/>
            <w:hideMark/>
          </w:tcPr>
          <w:p w14:paraId="3603A196" w14:textId="77777777" w:rsidR="00000000" w:rsidRDefault="003A1B5D">
            <w:pPr>
              <w:rPr>
                <w:rFonts w:eastAsia="Times New Roman"/>
                <w:sz w:val="20"/>
                <w:szCs w:val="20"/>
              </w:rPr>
            </w:pPr>
          </w:p>
        </w:tc>
        <w:tc>
          <w:tcPr>
            <w:tcW w:w="690" w:type="pct"/>
            <w:vAlign w:val="center"/>
            <w:hideMark/>
          </w:tcPr>
          <w:p w14:paraId="445AB4EF" w14:textId="77777777" w:rsidR="00000000" w:rsidRDefault="003A1B5D">
            <w:pPr>
              <w:rPr>
                <w:rFonts w:eastAsia="Times New Roman"/>
                <w:sz w:val="20"/>
                <w:szCs w:val="20"/>
              </w:rPr>
            </w:pPr>
          </w:p>
        </w:tc>
        <w:tc>
          <w:tcPr>
            <w:tcW w:w="50" w:type="pct"/>
            <w:vAlign w:val="center"/>
            <w:hideMark/>
          </w:tcPr>
          <w:p w14:paraId="66DC0C90" w14:textId="77777777" w:rsidR="00000000" w:rsidRDefault="003A1B5D">
            <w:pPr>
              <w:rPr>
                <w:rFonts w:eastAsia="Times New Roman"/>
                <w:sz w:val="20"/>
                <w:szCs w:val="20"/>
              </w:rPr>
            </w:pPr>
          </w:p>
        </w:tc>
      </w:tr>
      <w:tr w:rsidR="00000000" w14:paraId="25AAE7BE" w14:textId="77777777">
        <w:trPr>
          <w:trHeight w:val="160"/>
          <w:tblCellSpacing w:w="15" w:type="dxa"/>
        </w:trPr>
        <w:tc>
          <w:tcPr>
            <w:tcW w:w="0" w:type="auto"/>
            <w:vAlign w:val="bottom"/>
            <w:hideMark/>
          </w:tcPr>
          <w:p w14:paraId="4291FD69"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75B38F3D" w14:textId="77777777" w:rsidR="00000000" w:rsidRDefault="003A1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48B1F29" w14:textId="77777777" w:rsidR="00000000" w:rsidRDefault="003A1B5D">
            <w:pPr>
              <w:pStyle w:val="a3"/>
              <w:spacing w:before="0" w:beforeAutospacing="0" w:after="0" w:afterAutospacing="0"/>
              <w:jc w:val="center"/>
              <w:rPr>
                <w:sz w:val="16"/>
                <w:szCs w:val="16"/>
              </w:rPr>
            </w:pPr>
            <w:r>
              <w:rPr>
                <w:b/>
                <w:bCs/>
                <w:sz w:val="16"/>
                <w:szCs w:val="16"/>
              </w:rPr>
              <w:t>For the Nine</w:t>
            </w:r>
            <w:r>
              <w:rPr>
                <w:b/>
                <w:bCs/>
                <w:sz w:val="16"/>
                <w:szCs w:val="16"/>
              </w:rPr>
              <w:br/>
              <w:t xml:space="preserve">Months Ended </w:t>
            </w:r>
            <w:r>
              <w:rPr>
                <w:b/>
                <w:bCs/>
                <w:sz w:val="16"/>
                <w:szCs w:val="16"/>
              </w:rPr>
              <w:br/>
              <w:t>September 30, 202</w:t>
            </w:r>
            <w:r>
              <w:rPr>
                <w:b/>
                <w:bCs/>
                <w:sz w:val="16"/>
                <w:szCs w:val="16"/>
              </w:rPr>
              <w:t>2</w:t>
            </w:r>
          </w:p>
        </w:tc>
        <w:tc>
          <w:tcPr>
            <w:tcW w:w="0" w:type="auto"/>
            <w:vAlign w:val="bottom"/>
            <w:hideMark/>
          </w:tcPr>
          <w:p w14:paraId="68370F14"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234A7265"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7A135764" w14:textId="77777777" w:rsidR="00000000" w:rsidRDefault="003A1B5D">
            <w:pPr>
              <w:pStyle w:val="a3"/>
              <w:spacing w:before="0" w:beforeAutospacing="0" w:after="0" w:afterAutospacing="0"/>
              <w:jc w:val="center"/>
              <w:rPr>
                <w:sz w:val="16"/>
                <w:szCs w:val="16"/>
              </w:rPr>
            </w:pPr>
            <w:r>
              <w:rPr>
                <w:b/>
                <w:bCs/>
                <w:sz w:val="16"/>
                <w:szCs w:val="16"/>
              </w:rPr>
              <w:t xml:space="preserve">For the Twelve </w:t>
            </w:r>
            <w:r>
              <w:rPr>
                <w:b/>
                <w:bCs/>
                <w:sz w:val="16"/>
                <w:szCs w:val="16"/>
              </w:rPr>
              <w:br/>
              <w:t xml:space="preserve">Months Ended </w:t>
            </w:r>
            <w:r>
              <w:rPr>
                <w:b/>
                <w:bCs/>
                <w:sz w:val="16"/>
                <w:szCs w:val="16"/>
              </w:rPr>
              <w:br/>
              <w:t>December 31, 202</w:t>
            </w:r>
            <w:r>
              <w:rPr>
                <w:b/>
                <w:bCs/>
                <w:sz w:val="16"/>
                <w:szCs w:val="16"/>
              </w:rPr>
              <w:t>1</w:t>
            </w:r>
          </w:p>
        </w:tc>
        <w:tc>
          <w:tcPr>
            <w:tcW w:w="0" w:type="auto"/>
            <w:vAlign w:val="bottom"/>
            <w:hideMark/>
          </w:tcPr>
          <w:p w14:paraId="530C9B33"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790C228D" w14:textId="77777777">
        <w:trPr>
          <w:trHeight w:val="200"/>
          <w:tblCellSpacing w:w="15" w:type="dxa"/>
        </w:trPr>
        <w:tc>
          <w:tcPr>
            <w:tcW w:w="0" w:type="auto"/>
            <w:vAlign w:val="bottom"/>
            <w:hideMark/>
          </w:tcPr>
          <w:p w14:paraId="2889334D" w14:textId="77777777" w:rsidR="00000000" w:rsidRDefault="003A1B5D">
            <w:pPr>
              <w:pStyle w:val="a3"/>
              <w:spacing w:before="0" w:beforeAutospacing="0" w:after="0" w:afterAutospacing="0"/>
              <w:rPr>
                <w:sz w:val="20"/>
                <w:szCs w:val="20"/>
              </w:rPr>
            </w:pPr>
            <w:r>
              <w:rPr>
                <w:sz w:val="20"/>
                <w:szCs w:val="20"/>
              </w:rPr>
              <w:t>Revenu</w:t>
            </w:r>
            <w:r>
              <w:rPr>
                <w:sz w:val="20"/>
                <w:szCs w:val="20"/>
              </w:rPr>
              <w:t>e</w:t>
            </w:r>
          </w:p>
        </w:tc>
        <w:tc>
          <w:tcPr>
            <w:tcW w:w="0" w:type="auto"/>
            <w:vAlign w:val="bottom"/>
            <w:hideMark/>
          </w:tcPr>
          <w:p w14:paraId="3281CB3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85CF5D0"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14EEC53" w14:textId="77777777" w:rsidR="00000000" w:rsidRDefault="003A1B5D">
            <w:pPr>
              <w:pStyle w:val="a3"/>
              <w:spacing w:before="0" w:beforeAutospacing="0" w:after="0" w:afterAutospacing="0"/>
              <w:jc w:val="right"/>
              <w:rPr>
                <w:sz w:val="20"/>
                <w:szCs w:val="20"/>
              </w:rPr>
            </w:pPr>
            <w:r>
              <w:rPr>
                <w:b/>
                <w:bCs/>
                <w:sz w:val="20"/>
                <w:szCs w:val="20"/>
              </w:rPr>
              <w:t>1,372,95</w:t>
            </w:r>
            <w:r>
              <w:rPr>
                <w:b/>
                <w:bCs/>
                <w:sz w:val="20"/>
                <w:szCs w:val="20"/>
              </w:rPr>
              <w:t>6</w:t>
            </w:r>
          </w:p>
        </w:tc>
        <w:tc>
          <w:tcPr>
            <w:tcW w:w="0" w:type="auto"/>
            <w:noWrap/>
            <w:vAlign w:val="bottom"/>
            <w:hideMark/>
          </w:tcPr>
          <w:p w14:paraId="2BCD1C1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6BBACC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8E0CD0D"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03273562" w14:textId="77777777" w:rsidR="00000000" w:rsidRDefault="003A1B5D">
            <w:pPr>
              <w:pStyle w:val="a3"/>
              <w:spacing w:before="0" w:beforeAutospacing="0" w:after="0" w:afterAutospacing="0"/>
              <w:jc w:val="right"/>
              <w:rPr>
                <w:sz w:val="20"/>
                <w:szCs w:val="20"/>
              </w:rPr>
            </w:pPr>
            <w:r>
              <w:rPr>
                <w:sz w:val="20"/>
                <w:szCs w:val="20"/>
              </w:rPr>
              <w:t>1,848,31</w:t>
            </w:r>
            <w:r>
              <w:rPr>
                <w:sz w:val="20"/>
                <w:szCs w:val="20"/>
              </w:rPr>
              <w:t>5</w:t>
            </w:r>
          </w:p>
        </w:tc>
        <w:tc>
          <w:tcPr>
            <w:tcW w:w="0" w:type="auto"/>
            <w:noWrap/>
            <w:vAlign w:val="bottom"/>
            <w:hideMark/>
          </w:tcPr>
          <w:p w14:paraId="123792EC" w14:textId="77777777" w:rsidR="00000000" w:rsidRDefault="003A1B5D">
            <w:pPr>
              <w:pStyle w:val="a3"/>
              <w:spacing w:before="0" w:beforeAutospacing="0" w:after="0" w:afterAutospacing="0"/>
              <w:rPr>
                <w:sz w:val="20"/>
                <w:szCs w:val="20"/>
              </w:rPr>
            </w:pPr>
            <w:r>
              <w:rPr>
                <w:sz w:val="20"/>
                <w:szCs w:val="20"/>
              </w:rPr>
              <w:t> </w:t>
            </w:r>
          </w:p>
        </w:tc>
      </w:tr>
      <w:tr w:rsidR="00000000" w14:paraId="39A6B81E" w14:textId="77777777">
        <w:trPr>
          <w:trHeight w:val="200"/>
          <w:tblCellSpacing w:w="15" w:type="dxa"/>
        </w:trPr>
        <w:tc>
          <w:tcPr>
            <w:tcW w:w="0" w:type="auto"/>
            <w:vAlign w:val="bottom"/>
            <w:hideMark/>
          </w:tcPr>
          <w:p w14:paraId="6196829E" w14:textId="77777777" w:rsidR="00000000" w:rsidRDefault="003A1B5D">
            <w:pPr>
              <w:pStyle w:val="a3"/>
              <w:spacing w:before="0" w:beforeAutospacing="0" w:after="0" w:afterAutospacing="0"/>
              <w:rPr>
                <w:sz w:val="20"/>
                <w:szCs w:val="20"/>
              </w:rPr>
            </w:pPr>
            <w:r>
              <w:rPr>
                <w:sz w:val="20"/>
                <w:szCs w:val="20"/>
              </w:rPr>
              <w:t>   </w:t>
            </w:r>
            <w:r>
              <w:rPr>
                <w:sz w:val="20"/>
                <w:szCs w:val="20"/>
              </w:rPr>
              <w:t>Operating expense</w:t>
            </w:r>
            <w:r>
              <w:rPr>
                <w:sz w:val="20"/>
                <w:szCs w:val="20"/>
              </w:rPr>
              <w:t>s</w:t>
            </w:r>
          </w:p>
        </w:tc>
        <w:tc>
          <w:tcPr>
            <w:tcW w:w="0" w:type="auto"/>
            <w:vAlign w:val="bottom"/>
            <w:hideMark/>
          </w:tcPr>
          <w:p w14:paraId="661DC9E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FD883D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0464A16" w14:textId="77777777" w:rsidR="00000000" w:rsidRDefault="003A1B5D">
            <w:pPr>
              <w:pStyle w:val="a3"/>
              <w:spacing w:before="0" w:beforeAutospacing="0" w:after="0" w:afterAutospacing="0"/>
              <w:jc w:val="right"/>
              <w:rPr>
                <w:sz w:val="20"/>
                <w:szCs w:val="20"/>
              </w:rPr>
            </w:pPr>
            <w:r>
              <w:rPr>
                <w:b/>
                <w:bCs/>
                <w:sz w:val="20"/>
                <w:szCs w:val="20"/>
              </w:rPr>
              <w:t>1,061,81</w:t>
            </w:r>
            <w:r>
              <w:rPr>
                <w:b/>
                <w:bCs/>
                <w:sz w:val="20"/>
                <w:szCs w:val="20"/>
              </w:rPr>
              <w:t>3</w:t>
            </w:r>
          </w:p>
        </w:tc>
        <w:tc>
          <w:tcPr>
            <w:tcW w:w="0" w:type="auto"/>
            <w:noWrap/>
            <w:vAlign w:val="bottom"/>
            <w:hideMark/>
          </w:tcPr>
          <w:p w14:paraId="3395015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660334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39CF79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7D48946" w14:textId="77777777" w:rsidR="00000000" w:rsidRDefault="003A1B5D">
            <w:pPr>
              <w:pStyle w:val="a3"/>
              <w:spacing w:before="0" w:beforeAutospacing="0" w:after="0" w:afterAutospacing="0"/>
              <w:jc w:val="right"/>
              <w:rPr>
                <w:sz w:val="20"/>
                <w:szCs w:val="20"/>
              </w:rPr>
            </w:pPr>
            <w:r>
              <w:rPr>
                <w:sz w:val="20"/>
                <w:szCs w:val="20"/>
              </w:rPr>
              <w:t>1,332,24</w:t>
            </w:r>
            <w:r>
              <w:rPr>
                <w:sz w:val="20"/>
                <w:szCs w:val="20"/>
              </w:rPr>
              <w:t>8</w:t>
            </w:r>
          </w:p>
        </w:tc>
        <w:tc>
          <w:tcPr>
            <w:tcW w:w="0" w:type="auto"/>
            <w:noWrap/>
            <w:vAlign w:val="bottom"/>
            <w:hideMark/>
          </w:tcPr>
          <w:p w14:paraId="4FA2F53B" w14:textId="77777777" w:rsidR="00000000" w:rsidRDefault="003A1B5D">
            <w:pPr>
              <w:pStyle w:val="a3"/>
              <w:spacing w:before="0" w:beforeAutospacing="0" w:after="0" w:afterAutospacing="0"/>
              <w:rPr>
                <w:sz w:val="20"/>
                <w:szCs w:val="20"/>
              </w:rPr>
            </w:pPr>
            <w:r>
              <w:rPr>
                <w:sz w:val="20"/>
                <w:szCs w:val="20"/>
              </w:rPr>
              <w:t> </w:t>
            </w:r>
          </w:p>
        </w:tc>
      </w:tr>
      <w:tr w:rsidR="00000000" w14:paraId="126FFA08" w14:textId="77777777">
        <w:trPr>
          <w:trHeight w:val="200"/>
          <w:tblCellSpacing w:w="15" w:type="dxa"/>
        </w:trPr>
        <w:tc>
          <w:tcPr>
            <w:tcW w:w="0" w:type="auto"/>
            <w:vAlign w:val="bottom"/>
            <w:hideMark/>
          </w:tcPr>
          <w:p w14:paraId="4BF22F04" w14:textId="77777777" w:rsidR="00000000" w:rsidRDefault="003A1B5D">
            <w:pPr>
              <w:pStyle w:val="a3"/>
              <w:spacing w:before="0" w:beforeAutospacing="0" w:after="0" w:afterAutospacing="0"/>
              <w:rPr>
                <w:sz w:val="20"/>
                <w:szCs w:val="20"/>
              </w:rPr>
            </w:pPr>
            <w:r>
              <w:rPr>
                <w:sz w:val="20"/>
                <w:szCs w:val="20"/>
              </w:rPr>
              <w:t>   Other expense</w:t>
            </w:r>
            <w:r>
              <w:rPr>
                <w:sz w:val="20"/>
                <w:szCs w:val="20"/>
              </w:rPr>
              <w:t>s</w:t>
            </w:r>
          </w:p>
        </w:tc>
        <w:tc>
          <w:tcPr>
            <w:tcW w:w="0" w:type="auto"/>
            <w:vAlign w:val="bottom"/>
            <w:hideMark/>
          </w:tcPr>
          <w:p w14:paraId="2502774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AA7D6C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3E7A2A1" w14:textId="77777777" w:rsidR="00000000" w:rsidRDefault="003A1B5D">
            <w:pPr>
              <w:pStyle w:val="a3"/>
              <w:spacing w:before="0" w:beforeAutospacing="0" w:after="0" w:afterAutospacing="0"/>
              <w:jc w:val="right"/>
              <w:rPr>
                <w:sz w:val="20"/>
                <w:szCs w:val="20"/>
              </w:rPr>
            </w:pPr>
            <w:r>
              <w:rPr>
                <w:b/>
                <w:bCs/>
                <w:sz w:val="20"/>
                <w:szCs w:val="20"/>
              </w:rPr>
              <w:t>194,43</w:t>
            </w:r>
            <w:r>
              <w:rPr>
                <w:b/>
                <w:bCs/>
                <w:sz w:val="20"/>
                <w:szCs w:val="20"/>
              </w:rPr>
              <w:t>9</w:t>
            </w:r>
          </w:p>
        </w:tc>
        <w:tc>
          <w:tcPr>
            <w:tcW w:w="0" w:type="auto"/>
            <w:noWrap/>
            <w:vAlign w:val="bottom"/>
            <w:hideMark/>
          </w:tcPr>
          <w:p w14:paraId="2856CA8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4A3DD2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D67172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6EFF6AE" w14:textId="77777777" w:rsidR="00000000" w:rsidRDefault="003A1B5D">
            <w:pPr>
              <w:pStyle w:val="a3"/>
              <w:spacing w:before="0" w:beforeAutospacing="0" w:after="0" w:afterAutospacing="0"/>
              <w:jc w:val="right"/>
              <w:rPr>
                <w:sz w:val="20"/>
                <w:szCs w:val="20"/>
              </w:rPr>
            </w:pPr>
            <w:r>
              <w:rPr>
                <w:sz w:val="20"/>
                <w:szCs w:val="20"/>
              </w:rPr>
              <w:t>336,08</w:t>
            </w:r>
            <w:r>
              <w:rPr>
                <w:sz w:val="20"/>
                <w:szCs w:val="20"/>
              </w:rPr>
              <w:t>4</w:t>
            </w:r>
          </w:p>
        </w:tc>
        <w:tc>
          <w:tcPr>
            <w:tcW w:w="0" w:type="auto"/>
            <w:noWrap/>
            <w:vAlign w:val="bottom"/>
            <w:hideMark/>
          </w:tcPr>
          <w:p w14:paraId="2ED73DF0" w14:textId="77777777" w:rsidR="00000000" w:rsidRDefault="003A1B5D">
            <w:pPr>
              <w:pStyle w:val="a3"/>
              <w:spacing w:before="0" w:beforeAutospacing="0" w:after="0" w:afterAutospacing="0"/>
              <w:rPr>
                <w:sz w:val="20"/>
                <w:szCs w:val="20"/>
              </w:rPr>
            </w:pPr>
            <w:r>
              <w:rPr>
                <w:sz w:val="20"/>
                <w:szCs w:val="20"/>
              </w:rPr>
              <w:t> </w:t>
            </w:r>
          </w:p>
        </w:tc>
      </w:tr>
      <w:tr w:rsidR="00000000" w14:paraId="65639385" w14:textId="77777777">
        <w:trPr>
          <w:trHeight w:val="200"/>
          <w:tblCellSpacing w:w="15" w:type="dxa"/>
        </w:trPr>
        <w:tc>
          <w:tcPr>
            <w:tcW w:w="0" w:type="auto"/>
            <w:vAlign w:val="bottom"/>
            <w:hideMark/>
          </w:tcPr>
          <w:p w14:paraId="6CD7B036" w14:textId="77777777" w:rsidR="00000000" w:rsidRDefault="003A1B5D">
            <w:pPr>
              <w:pStyle w:val="a3"/>
              <w:spacing w:before="0" w:beforeAutospacing="0" w:after="0" w:afterAutospacing="0"/>
              <w:rPr>
                <w:sz w:val="20"/>
                <w:szCs w:val="20"/>
              </w:rPr>
            </w:pPr>
            <w:r>
              <w:rPr>
                <w:sz w:val="20"/>
                <w:szCs w:val="20"/>
              </w:rPr>
              <w:t>Total expense</w:t>
            </w:r>
            <w:r>
              <w:rPr>
                <w:sz w:val="20"/>
                <w:szCs w:val="20"/>
              </w:rPr>
              <w:t>s</w:t>
            </w:r>
          </w:p>
        </w:tc>
        <w:tc>
          <w:tcPr>
            <w:tcW w:w="0" w:type="auto"/>
            <w:vAlign w:val="bottom"/>
            <w:hideMark/>
          </w:tcPr>
          <w:p w14:paraId="2990075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57795D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7BB1F49" w14:textId="77777777" w:rsidR="00000000" w:rsidRDefault="003A1B5D">
            <w:pPr>
              <w:pStyle w:val="a3"/>
              <w:spacing w:before="0" w:beforeAutospacing="0" w:after="0" w:afterAutospacing="0"/>
              <w:jc w:val="right"/>
              <w:rPr>
                <w:sz w:val="20"/>
                <w:szCs w:val="20"/>
              </w:rPr>
            </w:pPr>
            <w:r>
              <w:rPr>
                <w:b/>
                <w:bCs/>
                <w:sz w:val="20"/>
                <w:szCs w:val="20"/>
              </w:rPr>
              <w:t>1,256,25</w:t>
            </w:r>
            <w:r>
              <w:rPr>
                <w:b/>
                <w:bCs/>
                <w:sz w:val="20"/>
                <w:szCs w:val="20"/>
              </w:rPr>
              <w:t>2</w:t>
            </w:r>
          </w:p>
        </w:tc>
        <w:tc>
          <w:tcPr>
            <w:tcW w:w="0" w:type="auto"/>
            <w:noWrap/>
            <w:vAlign w:val="bottom"/>
            <w:hideMark/>
          </w:tcPr>
          <w:p w14:paraId="50ABFB6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0D7732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468B05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F422DD0" w14:textId="77777777" w:rsidR="00000000" w:rsidRDefault="003A1B5D">
            <w:pPr>
              <w:pStyle w:val="a3"/>
              <w:spacing w:before="0" w:beforeAutospacing="0" w:after="0" w:afterAutospacing="0"/>
              <w:jc w:val="right"/>
              <w:rPr>
                <w:sz w:val="20"/>
                <w:szCs w:val="20"/>
              </w:rPr>
            </w:pPr>
            <w:r>
              <w:rPr>
                <w:sz w:val="20"/>
                <w:szCs w:val="20"/>
              </w:rPr>
              <w:t>1,668,33</w:t>
            </w:r>
            <w:r>
              <w:rPr>
                <w:sz w:val="20"/>
                <w:szCs w:val="20"/>
              </w:rPr>
              <w:t>2</w:t>
            </w:r>
          </w:p>
        </w:tc>
        <w:tc>
          <w:tcPr>
            <w:tcW w:w="0" w:type="auto"/>
            <w:noWrap/>
            <w:vAlign w:val="bottom"/>
            <w:hideMark/>
          </w:tcPr>
          <w:p w14:paraId="78E4321E" w14:textId="77777777" w:rsidR="00000000" w:rsidRDefault="003A1B5D">
            <w:pPr>
              <w:pStyle w:val="a3"/>
              <w:spacing w:before="0" w:beforeAutospacing="0" w:after="0" w:afterAutospacing="0"/>
              <w:rPr>
                <w:sz w:val="20"/>
                <w:szCs w:val="20"/>
              </w:rPr>
            </w:pPr>
            <w:r>
              <w:rPr>
                <w:sz w:val="20"/>
                <w:szCs w:val="20"/>
              </w:rPr>
              <w:t> </w:t>
            </w:r>
          </w:p>
        </w:tc>
      </w:tr>
      <w:tr w:rsidR="00000000" w14:paraId="01D5691A" w14:textId="77777777">
        <w:trPr>
          <w:trHeight w:val="200"/>
          <w:tblCellSpacing w:w="15" w:type="dxa"/>
        </w:trPr>
        <w:tc>
          <w:tcPr>
            <w:tcW w:w="0" w:type="auto"/>
            <w:vAlign w:val="bottom"/>
            <w:hideMark/>
          </w:tcPr>
          <w:p w14:paraId="381F4170" w14:textId="77777777" w:rsidR="00000000" w:rsidRDefault="003A1B5D">
            <w:pPr>
              <w:pStyle w:val="a3"/>
              <w:spacing w:before="0" w:beforeAutospacing="0" w:after="0" w:afterAutospacing="0"/>
              <w:rPr>
                <w:sz w:val="20"/>
                <w:szCs w:val="20"/>
              </w:rPr>
            </w:pPr>
            <w:r>
              <w:rPr>
                <w:sz w:val="20"/>
                <w:szCs w:val="20"/>
              </w:rPr>
              <w:t>Income before income taxe</w:t>
            </w:r>
            <w:r>
              <w:rPr>
                <w:sz w:val="20"/>
                <w:szCs w:val="20"/>
              </w:rPr>
              <w:t>s</w:t>
            </w:r>
          </w:p>
        </w:tc>
        <w:tc>
          <w:tcPr>
            <w:tcW w:w="0" w:type="auto"/>
            <w:vAlign w:val="bottom"/>
            <w:hideMark/>
          </w:tcPr>
          <w:p w14:paraId="221E43A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E16089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E54D8DC" w14:textId="77777777" w:rsidR="00000000" w:rsidRDefault="003A1B5D">
            <w:pPr>
              <w:pStyle w:val="a3"/>
              <w:spacing w:before="0" w:beforeAutospacing="0" w:after="0" w:afterAutospacing="0"/>
              <w:jc w:val="right"/>
              <w:rPr>
                <w:sz w:val="20"/>
                <w:szCs w:val="20"/>
              </w:rPr>
            </w:pPr>
            <w:r>
              <w:rPr>
                <w:b/>
                <w:bCs/>
                <w:sz w:val="20"/>
                <w:szCs w:val="20"/>
              </w:rPr>
              <w:t>130,61</w:t>
            </w:r>
            <w:r>
              <w:rPr>
                <w:b/>
                <w:bCs/>
                <w:sz w:val="20"/>
                <w:szCs w:val="20"/>
              </w:rPr>
              <w:t>1</w:t>
            </w:r>
          </w:p>
        </w:tc>
        <w:tc>
          <w:tcPr>
            <w:tcW w:w="0" w:type="auto"/>
            <w:noWrap/>
            <w:vAlign w:val="bottom"/>
            <w:hideMark/>
          </w:tcPr>
          <w:p w14:paraId="08102C6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F83C23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CBE48D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AFD3500" w14:textId="77777777" w:rsidR="00000000" w:rsidRDefault="003A1B5D">
            <w:pPr>
              <w:pStyle w:val="a3"/>
              <w:spacing w:before="0" w:beforeAutospacing="0" w:after="0" w:afterAutospacing="0"/>
              <w:jc w:val="right"/>
              <w:rPr>
                <w:sz w:val="20"/>
                <w:szCs w:val="20"/>
              </w:rPr>
            </w:pPr>
            <w:r>
              <w:rPr>
                <w:sz w:val="20"/>
                <w:szCs w:val="20"/>
              </w:rPr>
              <w:t>60,54</w:t>
            </w:r>
            <w:r>
              <w:rPr>
                <w:sz w:val="20"/>
                <w:szCs w:val="20"/>
              </w:rPr>
              <w:t>3</w:t>
            </w:r>
          </w:p>
        </w:tc>
        <w:tc>
          <w:tcPr>
            <w:tcW w:w="0" w:type="auto"/>
            <w:noWrap/>
            <w:vAlign w:val="bottom"/>
            <w:hideMark/>
          </w:tcPr>
          <w:p w14:paraId="7EE7131E" w14:textId="77777777" w:rsidR="00000000" w:rsidRDefault="003A1B5D">
            <w:pPr>
              <w:pStyle w:val="a3"/>
              <w:spacing w:before="0" w:beforeAutospacing="0" w:after="0" w:afterAutospacing="0"/>
              <w:rPr>
                <w:sz w:val="20"/>
                <w:szCs w:val="20"/>
              </w:rPr>
            </w:pPr>
            <w:r>
              <w:rPr>
                <w:sz w:val="20"/>
                <w:szCs w:val="20"/>
              </w:rPr>
              <w:t> </w:t>
            </w:r>
          </w:p>
        </w:tc>
      </w:tr>
      <w:tr w:rsidR="00000000" w14:paraId="6389046D" w14:textId="77777777">
        <w:trPr>
          <w:trHeight w:val="200"/>
          <w:tblCellSpacing w:w="15" w:type="dxa"/>
        </w:trPr>
        <w:tc>
          <w:tcPr>
            <w:tcW w:w="0" w:type="auto"/>
            <w:hideMark/>
          </w:tcPr>
          <w:p w14:paraId="732DC004" w14:textId="77777777" w:rsidR="00000000" w:rsidRDefault="003A1B5D">
            <w:pPr>
              <w:pStyle w:val="a3"/>
              <w:spacing w:before="0" w:beforeAutospacing="0" w:after="0" w:afterAutospacing="0"/>
              <w:rPr>
                <w:sz w:val="20"/>
                <w:szCs w:val="20"/>
              </w:rPr>
            </w:pPr>
            <w:r>
              <w:rPr>
                <w:sz w:val="20"/>
                <w:szCs w:val="20"/>
              </w:rPr>
              <w:t>Net income (loss</w:t>
            </w:r>
            <w:r>
              <w:rPr>
                <w:sz w:val="20"/>
                <w:szCs w:val="20"/>
              </w:rPr>
              <w:t>)</w:t>
            </w:r>
          </w:p>
        </w:tc>
        <w:tc>
          <w:tcPr>
            <w:tcW w:w="0" w:type="auto"/>
            <w:vAlign w:val="bottom"/>
            <w:hideMark/>
          </w:tcPr>
          <w:p w14:paraId="3D2C54C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8BD932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BC46F0E" w14:textId="77777777" w:rsidR="00000000" w:rsidRDefault="003A1B5D">
            <w:pPr>
              <w:pStyle w:val="a3"/>
              <w:spacing w:before="0" w:beforeAutospacing="0" w:after="0" w:afterAutospacing="0"/>
              <w:jc w:val="right"/>
              <w:rPr>
                <w:sz w:val="20"/>
                <w:szCs w:val="20"/>
              </w:rPr>
            </w:pPr>
            <w:r>
              <w:rPr>
                <w:b/>
                <w:bCs/>
                <w:sz w:val="20"/>
                <w:szCs w:val="20"/>
              </w:rPr>
              <w:t>95,74</w:t>
            </w:r>
            <w:r>
              <w:rPr>
                <w:b/>
                <w:bCs/>
                <w:sz w:val="20"/>
                <w:szCs w:val="20"/>
              </w:rPr>
              <w:t>6</w:t>
            </w:r>
          </w:p>
        </w:tc>
        <w:tc>
          <w:tcPr>
            <w:tcW w:w="0" w:type="auto"/>
            <w:noWrap/>
            <w:vAlign w:val="bottom"/>
            <w:hideMark/>
          </w:tcPr>
          <w:p w14:paraId="49E5450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B95E85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0FE764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D0BFEDE" w14:textId="77777777" w:rsidR="00000000" w:rsidRDefault="003A1B5D">
            <w:pPr>
              <w:pStyle w:val="a3"/>
              <w:spacing w:before="0" w:beforeAutospacing="0" w:after="0" w:afterAutospacing="0"/>
              <w:jc w:val="right"/>
              <w:rPr>
                <w:sz w:val="20"/>
                <w:szCs w:val="20"/>
              </w:rPr>
            </w:pPr>
            <w:r>
              <w:rPr>
                <w:sz w:val="20"/>
                <w:szCs w:val="20"/>
              </w:rPr>
              <w:t>(77,45</w:t>
            </w:r>
            <w:r>
              <w:rPr>
                <w:sz w:val="20"/>
                <w:szCs w:val="20"/>
              </w:rPr>
              <w:t>6</w:t>
            </w:r>
          </w:p>
        </w:tc>
        <w:tc>
          <w:tcPr>
            <w:tcW w:w="0" w:type="auto"/>
            <w:noWrap/>
            <w:vAlign w:val="bottom"/>
            <w:hideMark/>
          </w:tcPr>
          <w:p w14:paraId="503D87A1" w14:textId="77777777" w:rsidR="00000000" w:rsidRDefault="003A1B5D">
            <w:pPr>
              <w:pStyle w:val="a3"/>
              <w:spacing w:before="0" w:beforeAutospacing="0" w:after="0" w:afterAutospacing="0"/>
              <w:rPr>
                <w:sz w:val="20"/>
                <w:szCs w:val="20"/>
              </w:rPr>
            </w:pPr>
            <w:r>
              <w:rPr>
                <w:sz w:val="20"/>
                <w:szCs w:val="20"/>
              </w:rPr>
              <w:t>)</w:t>
            </w:r>
          </w:p>
        </w:tc>
      </w:tr>
    </w:tbl>
    <w:p w14:paraId="1A7BBABE" w14:textId="77777777" w:rsidR="00000000" w:rsidRDefault="003A1B5D">
      <w:pPr>
        <w:pStyle w:val="a3"/>
        <w:spacing w:before="0" w:beforeAutospacing="0" w:after="0" w:afterAutospacing="0"/>
        <w:jc w:val="both"/>
        <w:rPr>
          <w:sz w:val="20"/>
          <w:szCs w:val="20"/>
        </w:rPr>
      </w:pPr>
      <w:r>
        <w:rPr>
          <w:sz w:val="20"/>
          <w:szCs w:val="20"/>
        </w:rPr>
        <w:t> </w:t>
      </w:r>
    </w:p>
    <w:p w14:paraId="17B7C924" w14:textId="77777777" w:rsidR="00000000" w:rsidRDefault="003A1B5D">
      <w:pPr>
        <w:pStyle w:val="a3"/>
        <w:spacing w:before="160" w:beforeAutospacing="0" w:after="0" w:afterAutospacing="0"/>
        <w:jc w:val="both"/>
        <w:rPr>
          <w:sz w:val="20"/>
          <w:szCs w:val="20"/>
        </w:rPr>
      </w:pPr>
      <w:r>
        <w:rPr>
          <w:b/>
          <w:bCs/>
          <w:sz w:val="20"/>
          <w:szCs w:val="20"/>
        </w:rPr>
        <w:t>Funds from Operation</w:t>
      </w:r>
      <w:r>
        <w:rPr>
          <w:b/>
          <w:bCs/>
          <w:sz w:val="20"/>
          <w:szCs w:val="20"/>
        </w:rPr>
        <w:t>s</w:t>
      </w:r>
    </w:p>
    <w:p w14:paraId="00AC33D0" w14:textId="77777777" w:rsidR="00000000" w:rsidRDefault="003A1B5D">
      <w:pPr>
        <w:pStyle w:val="a3"/>
        <w:spacing w:before="120" w:beforeAutospacing="0" w:after="0" w:afterAutospacing="0"/>
        <w:jc w:val="both"/>
        <w:rPr>
          <w:sz w:val="20"/>
          <w:szCs w:val="20"/>
        </w:rPr>
      </w:pPr>
      <w:r>
        <w:rPr>
          <w:sz w:val="20"/>
          <w:szCs w:val="20"/>
        </w:rPr>
        <w:t>Funds From Operations, or FFO, is a widely accepted supplemental non-GAAP measure utilized to evaluate the operating performance of real estate companies. The National Association of Real Estate Investment Trusts, or NAREIT, defines FFO as net income compu</w:t>
      </w:r>
      <w:r>
        <w:rPr>
          <w:sz w:val="20"/>
          <w:szCs w:val="20"/>
        </w:rPr>
        <w:t>ted in accordance with GAAP, excluding gains or losses from sales of property and extraordinary items, plus depreciation and amortization of real estate and impairment of depreciable real estate and after adjustments for unconsolidated partnerships and joi</w:t>
      </w:r>
      <w:r>
        <w:rPr>
          <w:sz w:val="20"/>
          <w:szCs w:val="20"/>
        </w:rPr>
        <w:t xml:space="preserve">nt ventures calculated to reflect funds from operations on the same basis. We believe FFO is an important supplemental measure of our operating performance and believe it is frequently used by securities analysts, investors and other interested parties in </w:t>
      </w:r>
      <w:r>
        <w:rPr>
          <w:sz w:val="20"/>
          <w:szCs w:val="20"/>
        </w:rPr>
        <w:t>the evaluation of REITs and other real estate operating companies, many of which present FFO when reporting results</w:t>
      </w:r>
      <w:r>
        <w:rPr>
          <w:sz w:val="20"/>
          <w:szCs w:val="20"/>
        </w:rPr>
        <w:t>.</w:t>
      </w:r>
      <w:r>
        <w:rPr>
          <w:sz w:val="20"/>
          <w:szCs w:val="20"/>
        </w:rPr>
        <w:t xml:space="preserve"> </w:t>
      </w:r>
    </w:p>
    <w:p w14:paraId="694C5BD9" w14:textId="77777777" w:rsidR="00000000" w:rsidRDefault="003A1B5D">
      <w:pPr>
        <w:pStyle w:val="a3"/>
        <w:spacing w:before="240" w:beforeAutospacing="0" w:after="0" w:afterAutospacing="0"/>
        <w:jc w:val="center"/>
        <w:rPr>
          <w:sz w:val="20"/>
          <w:szCs w:val="20"/>
        </w:rPr>
      </w:pPr>
      <w:r>
        <w:rPr>
          <w:sz w:val="20"/>
          <w:szCs w:val="20"/>
        </w:rPr>
        <w:t>4</w:t>
      </w:r>
      <w:r>
        <w:rPr>
          <w:sz w:val="20"/>
          <w:szCs w:val="20"/>
        </w:rPr>
        <w:t>1</w:t>
      </w:r>
    </w:p>
    <w:p w14:paraId="316C70E5" w14:textId="77777777" w:rsidR="00000000" w:rsidRDefault="003A1B5D">
      <w:pPr>
        <w:rPr>
          <w:rFonts w:eastAsia="Times New Roman"/>
        </w:rPr>
      </w:pPr>
      <w:r>
        <w:rPr>
          <w:rFonts w:eastAsia="Times New Roman"/>
        </w:rPr>
        <w:pict w14:anchorId="6AC594DA">
          <v:rect id="_x0000_i1067" style="width:0;height:1.5pt" o:hralign="center" o:hrstd="t" o:hr="t" fillcolor="#a0a0a0" stroked="f"/>
        </w:pict>
      </w:r>
    </w:p>
    <w:p w14:paraId="2833D710" w14:textId="77777777" w:rsidR="00000000" w:rsidRDefault="003A1B5D">
      <w:pPr>
        <w:pStyle w:val="a3"/>
        <w:spacing w:before="0" w:beforeAutospacing="0" w:after="0" w:afterAutospacing="0"/>
        <w:rPr>
          <w:sz w:val="20"/>
          <w:szCs w:val="20"/>
        </w:rPr>
      </w:pPr>
      <w:r>
        <w:rPr>
          <w:sz w:val="20"/>
          <w:szCs w:val="20"/>
        </w:rPr>
        <w:t> </w:t>
      </w:r>
    </w:p>
    <w:p w14:paraId="67CE3A6E" w14:textId="77777777" w:rsidR="00000000" w:rsidRDefault="003A1B5D">
      <w:pPr>
        <w:pStyle w:val="a3"/>
        <w:spacing w:before="240" w:beforeAutospacing="0" w:after="0" w:afterAutospacing="0"/>
        <w:jc w:val="both"/>
        <w:rPr>
          <w:sz w:val="20"/>
          <w:szCs w:val="20"/>
        </w:rPr>
      </w:pPr>
      <w:r>
        <w:rPr>
          <w:sz w:val="20"/>
          <w:szCs w:val="20"/>
        </w:rPr>
        <w:t>We also present Normalized FFO as an additional supplemental measure as we believe it is more re</w:t>
      </w:r>
      <w:r>
        <w:rPr>
          <w:sz w:val="20"/>
          <w:szCs w:val="20"/>
        </w:rPr>
        <w:t>flective of our core operating performance. We may make adjustments to FFO from time to time for certain other income and expenses that we consider non-recurring, infrequent or unusual, even though such items may require cash settlement, because such items</w:t>
      </w:r>
      <w:r>
        <w:rPr>
          <w:sz w:val="20"/>
          <w:szCs w:val="20"/>
        </w:rPr>
        <w:t xml:space="preserve"> do not reflect a necessary or ordinary component of our ongoing operations. Normalized FFO excludes the effects of such items</w:t>
      </w:r>
      <w:r>
        <w:rPr>
          <w:sz w:val="20"/>
          <w:szCs w:val="20"/>
        </w:rPr>
        <w:t>.</w:t>
      </w:r>
    </w:p>
    <w:p w14:paraId="6DA481F3" w14:textId="77777777" w:rsidR="00000000" w:rsidRDefault="003A1B5D">
      <w:pPr>
        <w:pStyle w:val="a3"/>
        <w:spacing w:before="240" w:beforeAutospacing="0" w:after="0" w:afterAutospacing="0"/>
        <w:jc w:val="both"/>
        <w:rPr>
          <w:sz w:val="20"/>
          <w:szCs w:val="20"/>
        </w:rPr>
      </w:pPr>
      <w:r>
        <w:rPr>
          <w:sz w:val="20"/>
          <w:szCs w:val="20"/>
        </w:rPr>
        <w:t>FFO and Normalized FFO are supplemental non-GAAP financial measures of real estate companies' operating performance, which do no</w:t>
      </w:r>
      <w:r>
        <w:rPr>
          <w:sz w:val="20"/>
          <w:szCs w:val="20"/>
        </w:rPr>
        <w:t>t represent cash generated from operating activities in accordance with GAAP and therefore should not be considered an alternative for net income or as a measure of liquidity. Our method of calculating FFO and Normalized FFO may be different from methods u</w:t>
      </w:r>
      <w:r>
        <w:rPr>
          <w:sz w:val="20"/>
          <w:szCs w:val="20"/>
        </w:rPr>
        <w:t>sed by other REITs and real estate operating companies and, accordingly, may not be comparable to such REITs and other real estate operating companies</w:t>
      </w:r>
      <w:r>
        <w:rPr>
          <w:sz w:val="20"/>
          <w:szCs w:val="20"/>
        </w:rPr>
        <w:t>.</w:t>
      </w:r>
    </w:p>
    <w:p w14:paraId="5B1A2802" w14:textId="77777777" w:rsidR="00000000" w:rsidRDefault="003A1B5D">
      <w:pPr>
        <w:pStyle w:val="a3"/>
        <w:spacing w:before="240" w:beforeAutospacing="0" w:after="0" w:afterAutospacing="0"/>
        <w:jc w:val="both"/>
        <w:rPr>
          <w:sz w:val="20"/>
          <w:szCs w:val="20"/>
        </w:rPr>
      </w:pPr>
      <w:r>
        <w:rPr>
          <w:sz w:val="20"/>
          <w:szCs w:val="20"/>
        </w:rPr>
        <w:t>Our reconciliation of net income to FFO and Normalized FFO for the three and nine months ended September</w:t>
      </w:r>
      <w:r>
        <w:rPr>
          <w:sz w:val="20"/>
          <w:szCs w:val="20"/>
        </w:rPr>
        <w:t xml:space="preserve"> 30, 2022 and 2021 is as follows (in thousands)</w:t>
      </w:r>
      <w:r>
        <w:rPr>
          <w:sz w:val="20"/>
          <w:szCs w:val="20"/>
        </w:rPr>
        <w:t>:</w:t>
      </w:r>
    </w:p>
    <w:p w14:paraId="157DC1C0" w14:textId="77777777" w:rsidR="00000000" w:rsidRDefault="003A1B5D">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21"/>
        <w:gridCol w:w="112"/>
        <w:gridCol w:w="160"/>
        <w:gridCol w:w="913"/>
        <w:gridCol w:w="127"/>
        <w:gridCol w:w="112"/>
        <w:gridCol w:w="160"/>
        <w:gridCol w:w="928"/>
        <w:gridCol w:w="142"/>
      </w:tblGrid>
      <w:tr w:rsidR="00000000" w14:paraId="49536C31" w14:textId="77777777">
        <w:trPr>
          <w:tblCellSpacing w:w="15" w:type="dxa"/>
        </w:trPr>
        <w:tc>
          <w:tcPr>
            <w:tcW w:w="3350" w:type="pct"/>
            <w:vAlign w:val="center"/>
            <w:hideMark/>
          </w:tcPr>
          <w:p w14:paraId="147EA13E" w14:textId="77777777" w:rsidR="00000000" w:rsidRDefault="003A1B5D">
            <w:pPr>
              <w:rPr>
                <w:sz w:val="20"/>
                <w:szCs w:val="20"/>
              </w:rPr>
            </w:pPr>
          </w:p>
        </w:tc>
        <w:tc>
          <w:tcPr>
            <w:tcW w:w="80" w:type="pct"/>
            <w:vAlign w:val="center"/>
            <w:hideMark/>
          </w:tcPr>
          <w:p w14:paraId="58FC8DBB" w14:textId="77777777" w:rsidR="00000000" w:rsidRDefault="003A1B5D">
            <w:pPr>
              <w:rPr>
                <w:rFonts w:eastAsia="Times New Roman"/>
                <w:sz w:val="20"/>
                <w:szCs w:val="20"/>
              </w:rPr>
            </w:pPr>
          </w:p>
        </w:tc>
        <w:tc>
          <w:tcPr>
            <w:tcW w:w="50" w:type="pct"/>
            <w:vAlign w:val="center"/>
            <w:hideMark/>
          </w:tcPr>
          <w:p w14:paraId="6BD62057" w14:textId="77777777" w:rsidR="00000000" w:rsidRDefault="003A1B5D">
            <w:pPr>
              <w:rPr>
                <w:rFonts w:eastAsia="Times New Roman"/>
                <w:sz w:val="20"/>
                <w:szCs w:val="20"/>
              </w:rPr>
            </w:pPr>
          </w:p>
        </w:tc>
        <w:tc>
          <w:tcPr>
            <w:tcW w:w="638" w:type="pct"/>
            <w:vAlign w:val="center"/>
            <w:hideMark/>
          </w:tcPr>
          <w:p w14:paraId="10A3888B" w14:textId="77777777" w:rsidR="00000000" w:rsidRDefault="003A1B5D">
            <w:pPr>
              <w:rPr>
                <w:rFonts w:eastAsia="Times New Roman"/>
                <w:sz w:val="20"/>
                <w:szCs w:val="20"/>
              </w:rPr>
            </w:pPr>
          </w:p>
        </w:tc>
        <w:tc>
          <w:tcPr>
            <w:tcW w:w="50" w:type="pct"/>
            <w:vAlign w:val="center"/>
            <w:hideMark/>
          </w:tcPr>
          <w:p w14:paraId="6CB9F55D" w14:textId="77777777" w:rsidR="00000000" w:rsidRDefault="003A1B5D">
            <w:pPr>
              <w:rPr>
                <w:rFonts w:eastAsia="Times New Roman"/>
                <w:sz w:val="20"/>
                <w:szCs w:val="20"/>
              </w:rPr>
            </w:pPr>
          </w:p>
        </w:tc>
        <w:tc>
          <w:tcPr>
            <w:tcW w:w="80" w:type="pct"/>
            <w:vAlign w:val="center"/>
            <w:hideMark/>
          </w:tcPr>
          <w:p w14:paraId="3506EBD2" w14:textId="77777777" w:rsidR="00000000" w:rsidRDefault="003A1B5D">
            <w:pPr>
              <w:rPr>
                <w:rFonts w:eastAsia="Times New Roman"/>
                <w:sz w:val="20"/>
                <w:szCs w:val="20"/>
              </w:rPr>
            </w:pPr>
          </w:p>
        </w:tc>
        <w:tc>
          <w:tcPr>
            <w:tcW w:w="50" w:type="pct"/>
            <w:vAlign w:val="center"/>
            <w:hideMark/>
          </w:tcPr>
          <w:p w14:paraId="659194A7" w14:textId="77777777" w:rsidR="00000000" w:rsidRDefault="003A1B5D">
            <w:pPr>
              <w:rPr>
                <w:rFonts w:eastAsia="Times New Roman"/>
                <w:sz w:val="20"/>
                <w:szCs w:val="20"/>
              </w:rPr>
            </w:pPr>
          </w:p>
        </w:tc>
        <w:tc>
          <w:tcPr>
            <w:tcW w:w="649" w:type="pct"/>
            <w:vAlign w:val="center"/>
            <w:hideMark/>
          </w:tcPr>
          <w:p w14:paraId="1D00C1CE" w14:textId="77777777" w:rsidR="00000000" w:rsidRDefault="003A1B5D">
            <w:pPr>
              <w:rPr>
                <w:rFonts w:eastAsia="Times New Roman"/>
                <w:sz w:val="20"/>
                <w:szCs w:val="20"/>
              </w:rPr>
            </w:pPr>
          </w:p>
        </w:tc>
        <w:tc>
          <w:tcPr>
            <w:tcW w:w="50" w:type="pct"/>
            <w:vAlign w:val="center"/>
            <w:hideMark/>
          </w:tcPr>
          <w:p w14:paraId="4117CE55" w14:textId="77777777" w:rsidR="00000000" w:rsidRDefault="003A1B5D">
            <w:pPr>
              <w:rPr>
                <w:rFonts w:eastAsia="Times New Roman"/>
                <w:sz w:val="20"/>
                <w:szCs w:val="20"/>
              </w:rPr>
            </w:pPr>
          </w:p>
        </w:tc>
      </w:tr>
      <w:tr w:rsidR="00000000" w14:paraId="25B2E701" w14:textId="77777777">
        <w:trPr>
          <w:trHeight w:val="160"/>
          <w:tblCellSpacing w:w="15" w:type="dxa"/>
        </w:trPr>
        <w:tc>
          <w:tcPr>
            <w:tcW w:w="0" w:type="auto"/>
            <w:vAlign w:val="bottom"/>
            <w:hideMark/>
          </w:tcPr>
          <w:p w14:paraId="206A816C"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30F3DC1C" w14:textId="77777777" w:rsidR="00000000" w:rsidRDefault="003A1B5D">
            <w:pPr>
              <w:pStyle w:val="a3"/>
              <w:spacing w:before="0" w:beforeAutospacing="0" w:after="0" w:afterAutospacing="0"/>
              <w:rPr>
                <w:sz w:val="16"/>
                <w:szCs w:val="16"/>
              </w:rPr>
            </w:pPr>
            <w:r>
              <w:rPr>
                <w:sz w:val="16"/>
                <w:szCs w:val="16"/>
              </w:rPr>
              <w:t> </w:t>
            </w:r>
          </w:p>
        </w:tc>
        <w:tc>
          <w:tcPr>
            <w:tcW w:w="0" w:type="auto"/>
            <w:gridSpan w:val="6"/>
            <w:vAlign w:val="bottom"/>
            <w:hideMark/>
          </w:tcPr>
          <w:p w14:paraId="164FE9C7" w14:textId="77777777" w:rsidR="00000000" w:rsidRDefault="003A1B5D">
            <w:pPr>
              <w:pStyle w:val="a3"/>
              <w:spacing w:before="0" w:beforeAutospacing="0" w:after="0" w:afterAutospacing="0"/>
              <w:jc w:val="center"/>
              <w:rPr>
                <w:sz w:val="16"/>
                <w:szCs w:val="16"/>
              </w:rPr>
            </w:pPr>
            <w:r>
              <w:rPr>
                <w:b/>
                <w:bCs/>
                <w:sz w:val="16"/>
                <w:szCs w:val="16"/>
              </w:rPr>
              <w:t xml:space="preserve">For the Three Months Ended </w:t>
            </w:r>
            <w:r>
              <w:rPr>
                <w:b/>
                <w:bCs/>
                <w:sz w:val="16"/>
                <w:szCs w:val="16"/>
              </w:rPr>
              <w:br/>
              <w:t>September 30</w:t>
            </w:r>
            <w:r>
              <w:rPr>
                <w:b/>
                <w:bCs/>
                <w:sz w:val="16"/>
                <w:szCs w:val="16"/>
              </w:rPr>
              <w:t>,</w:t>
            </w:r>
          </w:p>
        </w:tc>
        <w:tc>
          <w:tcPr>
            <w:tcW w:w="0" w:type="auto"/>
            <w:vAlign w:val="bottom"/>
            <w:hideMark/>
          </w:tcPr>
          <w:p w14:paraId="12C83556"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3A86CDE7" w14:textId="77777777">
        <w:trPr>
          <w:trHeight w:val="160"/>
          <w:tblCellSpacing w:w="15" w:type="dxa"/>
        </w:trPr>
        <w:tc>
          <w:tcPr>
            <w:tcW w:w="0" w:type="auto"/>
            <w:vAlign w:val="bottom"/>
            <w:hideMark/>
          </w:tcPr>
          <w:p w14:paraId="5B54E522" w14:textId="77777777" w:rsidR="00000000" w:rsidRDefault="003A1B5D">
            <w:pPr>
              <w:pStyle w:val="a3"/>
              <w:spacing w:before="0" w:beforeAutospacing="0" w:after="0" w:afterAutospacing="0"/>
              <w:rPr>
                <w:sz w:val="16"/>
                <w:szCs w:val="16"/>
              </w:rPr>
            </w:pPr>
            <w:r>
              <w:rPr>
                <w:b/>
                <w:bCs/>
                <w:sz w:val="16"/>
                <w:szCs w:val="16"/>
              </w:rPr>
              <w:t>FUNDS FROM OPERATIONS</w:t>
            </w:r>
            <w:r>
              <w:rPr>
                <w:b/>
                <w:bCs/>
                <w:sz w:val="16"/>
                <w:szCs w:val="16"/>
              </w:rPr>
              <w:t>:</w:t>
            </w:r>
          </w:p>
        </w:tc>
        <w:tc>
          <w:tcPr>
            <w:tcW w:w="0" w:type="auto"/>
            <w:vAlign w:val="bottom"/>
            <w:hideMark/>
          </w:tcPr>
          <w:p w14:paraId="62E72609"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58AB1B8F"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74D1331"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22E61B44"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70B0B8B9"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46AB73D0"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601DDA34" w14:textId="77777777">
        <w:trPr>
          <w:trHeight w:val="200"/>
          <w:tblCellSpacing w:w="15" w:type="dxa"/>
        </w:trPr>
        <w:tc>
          <w:tcPr>
            <w:tcW w:w="0" w:type="auto"/>
            <w:hideMark/>
          </w:tcPr>
          <w:p w14:paraId="6095DA80" w14:textId="77777777" w:rsidR="00000000" w:rsidRDefault="003A1B5D">
            <w:pPr>
              <w:pStyle w:val="a3"/>
              <w:spacing w:before="0" w:beforeAutospacing="0" w:after="0" w:afterAutospacing="0"/>
              <w:rPr>
                <w:sz w:val="20"/>
                <w:szCs w:val="20"/>
              </w:rPr>
            </w:pPr>
            <w:r>
              <w:rPr>
                <w:sz w:val="20"/>
                <w:szCs w:val="20"/>
              </w:rPr>
              <w:t>Net incom</w:t>
            </w:r>
            <w:r>
              <w:rPr>
                <w:sz w:val="20"/>
                <w:szCs w:val="20"/>
              </w:rPr>
              <w:t>e</w:t>
            </w:r>
          </w:p>
        </w:tc>
        <w:tc>
          <w:tcPr>
            <w:tcW w:w="0" w:type="auto"/>
            <w:vAlign w:val="bottom"/>
            <w:hideMark/>
          </w:tcPr>
          <w:p w14:paraId="6FEC5A8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95AF5AA"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118F732C" w14:textId="77777777" w:rsidR="00000000" w:rsidRDefault="003A1B5D">
            <w:pPr>
              <w:pStyle w:val="a3"/>
              <w:spacing w:before="0" w:beforeAutospacing="0" w:after="0" w:afterAutospacing="0"/>
              <w:jc w:val="right"/>
              <w:rPr>
                <w:sz w:val="20"/>
                <w:szCs w:val="20"/>
              </w:rPr>
            </w:pPr>
            <w:r>
              <w:rPr>
                <w:b/>
                <w:bCs/>
                <w:sz w:val="20"/>
                <w:szCs w:val="20"/>
              </w:rPr>
              <w:t>68,31</w:t>
            </w:r>
            <w:r>
              <w:rPr>
                <w:b/>
                <w:bCs/>
                <w:sz w:val="20"/>
                <w:szCs w:val="20"/>
              </w:rPr>
              <w:t>8</w:t>
            </w:r>
          </w:p>
        </w:tc>
        <w:tc>
          <w:tcPr>
            <w:tcW w:w="0" w:type="auto"/>
            <w:noWrap/>
            <w:vAlign w:val="bottom"/>
            <w:hideMark/>
          </w:tcPr>
          <w:p w14:paraId="47420E7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C32B16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FCC3D51"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69592D28" w14:textId="77777777" w:rsidR="00000000" w:rsidRDefault="003A1B5D">
            <w:pPr>
              <w:pStyle w:val="a3"/>
              <w:spacing w:before="0" w:beforeAutospacing="0" w:after="0" w:afterAutospacing="0"/>
              <w:jc w:val="right"/>
              <w:rPr>
                <w:sz w:val="20"/>
                <w:szCs w:val="20"/>
              </w:rPr>
            </w:pPr>
            <w:r>
              <w:rPr>
                <w:sz w:val="20"/>
                <w:szCs w:val="20"/>
              </w:rPr>
              <w:t>30,01</w:t>
            </w:r>
            <w:r>
              <w:rPr>
                <w:sz w:val="20"/>
                <w:szCs w:val="20"/>
              </w:rPr>
              <w:t>2</w:t>
            </w:r>
          </w:p>
        </w:tc>
        <w:tc>
          <w:tcPr>
            <w:tcW w:w="0" w:type="auto"/>
            <w:noWrap/>
            <w:vAlign w:val="bottom"/>
            <w:hideMark/>
          </w:tcPr>
          <w:p w14:paraId="1D26447B" w14:textId="77777777" w:rsidR="00000000" w:rsidRDefault="003A1B5D">
            <w:pPr>
              <w:pStyle w:val="a3"/>
              <w:spacing w:before="0" w:beforeAutospacing="0" w:after="0" w:afterAutospacing="0"/>
              <w:rPr>
                <w:sz w:val="20"/>
                <w:szCs w:val="20"/>
              </w:rPr>
            </w:pPr>
            <w:r>
              <w:rPr>
                <w:sz w:val="20"/>
                <w:szCs w:val="20"/>
              </w:rPr>
              <w:t> </w:t>
            </w:r>
          </w:p>
        </w:tc>
      </w:tr>
      <w:tr w:rsidR="00000000" w14:paraId="226B3FA7" w14:textId="77777777">
        <w:trPr>
          <w:trHeight w:val="200"/>
          <w:tblCellSpacing w:w="15" w:type="dxa"/>
        </w:trPr>
        <w:tc>
          <w:tcPr>
            <w:tcW w:w="0" w:type="auto"/>
            <w:hideMark/>
          </w:tcPr>
          <w:p w14:paraId="7448ED94" w14:textId="77777777" w:rsidR="00000000" w:rsidRDefault="003A1B5D">
            <w:pPr>
              <w:pStyle w:val="a3"/>
              <w:spacing w:before="0" w:beforeAutospacing="0" w:after="0" w:afterAutospacing="0"/>
              <w:rPr>
                <w:sz w:val="20"/>
                <w:szCs w:val="20"/>
              </w:rPr>
            </w:pPr>
            <w:r>
              <w:rPr>
                <w:sz w:val="20"/>
                <w:szCs w:val="20"/>
              </w:rPr>
              <w:t>Depreciation and amortization of real estate asset</w:t>
            </w:r>
            <w:r>
              <w:rPr>
                <w:sz w:val="20"/>
                <w:szCs w:val="20"/>
              </w:rPr>
              <w:t>s</w:t>
            </w:r>
          </w:p>
        </w:tc>
        <w:tc>
          <w:tcPr>
            <w:tcW w:w="0" w:type="auto"/>
            <w:vAlign w:val="bottom"/>
            <w:hideMark/>
          </w:tcPr>
          <w:p w14:paraId="2CCF4E2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7F65D6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16AF2F8" w14:textId="77777777" w:rsidR="00000000" w:rsidRDefault="003A1B5D">
            <w:pPr>
              <w:pStyle w:val="a3"/>
              <w:spacing w:before="0" w:beforeAutospacing="0" w:after="0" w:afterAutospacing="0"/>
              <w:jc w:val="right"/>
              <w:rPr>
                <w:sz w:val="20"/>
                <w:szCs w:val="20"/>
              </w:rPr>
            </w:pPr>
            <w:r>
              <w:rPr>
                <w:b/>
                <w:bCs/>
                <w:sz w:val="20"/>
                <w:szCs w:val="20"/>
              </w:rPr>
              <w:t>24,15</w:t>
            </w:r>
            <w:r>
              <w:rPr>
                <w:b/>
                <w:bCs/>
                <w:sz w:val="20"/>
                <w:szCs w:val="20"/>
              </w:rPr>
              <w:t>8</w:t>
            </w:r>
          </w:p>
        </w:tc>
        <w:tc>
          <w:tcPr>
            <w:tcW w:w="0" w:type="auto"/>
            <w:noWrap/>
            <w:vAlign w:val="bottom"/>
            <w:hideMark/>
          </w:tcPr>
          <w:p w14:paraId="6EF7DBC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5B81AC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2E8B6F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4C0C832" w14:textId="77777777" w:rsidR="00000000" w:rsidRDefault="003A1B5D">
            <w:pPr>
              <w:pStyle w:val="a3"/>
              <w:spacing w:before="0" w:beforeAutospacing="0" w:after="0" w:afterAutospacing="0"/>
              <w:jc w:val="right"/>
              <w:rPr>
                <w:sz w:val="20"/>
                <w:szCs w:val="20"/>
              </w:rPr>
            </w:pPr>
            <w:r>
              <w:rPr>
                <w:sz w:val="20"/>
                <w:szCs w:val="20"/>
              </w:rPr>
              <w:t>24,87</w:t>
            </w:r>
            <w:r>
              <w:rPr>
                <w:sz w:val="20"/>
                <w:szCs w:val="20"/>
              </w:rPr>
              <w:t>7</w:t>
            </w:r>
          </w:p>
        </w:tc>
        <w:tc>
          <w:tcPr>
            <w:tcW w:w="0" w:type="auto"/>
            <w:noWrap/>
            <w:vAlign w:val="bottom"/>
            <w:hideMark/>
          </w:tcPr>
          <w:p w14:paraId="52CD20AC" w14:textId="77777777" w:rsidR="00000000" w:rsidRDefault="003A1B5D">
            <w:pPr>
              <w:pStyle w:val="a3"/>
              <w:spacing w:before="0" w:beforeAutospacing="0" w:after="0" w:afterAutospacing="0"/>
              <w:rPr>
                <w:sz w:val="20"/>
                <w:szCs w:val="20"/>
              </w:rPr>
            </w:pPr>
            <w:r>
              <w:rPr>
                <w:sz w:val="20"/>
                <w:szCs w:val="20"/>
              </w:rPr>
              <w:t> </w:t>
            </w:r>
          </w:p>
        </w:tc>
      </w:tr>
      <w:tr w:rsidR="00000000" w14:paraId="6E2954D2" w14:textId="77777777">
        <w:trPr>
          <w:trHeight w:val="200"/>
          <w:tblCellSpacing w:w="15" w:type="dxa"/>
        </w:trPr>
        <w:tc>
          <w:tcPr>
            <w:tcW w:w="0" w:type="auto"/>
            <w:hideMark/>
          </w:tcPr>
          <w:p w14:paraId="0775A2FE" w14:textId="77777777" w:rsidR="00000000" w:rsidRDefault="003A1B5D">
            <w:pPr>
              <w:pStyle w:val="a3"/>
              <w:spacing w:before="0" w:beforeAutospacing="0" w:after="0" w:afterAutospacing="0"/>
              <w:rPr>
                <w:sz w:val="20"/>
                <w:szCs w:val="20"/>
              </w:rPr>
            </w:pPr>
            <w:r>
              <w:rPr>
                <w:sz w:val="20"/>
                <w:szCs w:val="20"/>
              </w:rPr>
              <w:t>Impairment of real estate asset</w:t>
            </w:r>
            <w:r>
              <w:rPr>
                <w:sz w:val="20"/>
                <w:szCs w:val="20"/>
              </w:rPr>
              <w:t>s</w:t>
            </w:r>
          </w:p>
        </w:tc>
        <w:tc>
          <w:tcPr>
            <w:tcW w:w="0" w:type="auto"/>
            <w:vAlign w:val="bottom"/>
            <w:hideMark/>
          </w:tcPr>
          <w:p w14:paraId="46FA9C0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740836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0FDA524" w14:textId="77777777" w:rsidR="00000000" w:rsidRDefault="003A1B5D">
            <w:pPr>
              <w:pStyle w:val="a3"/>
              <w:spacing w:before="0" w:beforeAutospacing="0" w:after="0" w:afterAutospacing="0"/>
              <w:jc w:val="right"/>
              <w:rPr>
                <w:sz w:val="20"/>
                <w:szCs w:val="20"/>
              </w:rPr>
            </w:pPr>
            <w:r>
              <w:rPr>
                <w:b/>
                <w:bCs/>
                <w:sz w:val="20"/>
                <w:szCs w:val="20"/>
              </w:rPr>
              <w:t>3,51</w:t>
            </w:r>
            <w:r>
              <w:rPr>
                <w:b/>
                <w:bCs/>
                <w:sz w:val="20"/>
                <w:szCs w:val="20"/>
              </w:rPr>
              <w:t>3</w:t>
            </w:r>
          </w:p>
        </w:tc>
        <w:tc>
          <w:tcPr>
            <w:tcW w:w="0" w:type="auto"/>
            <w:noWrap/>
            <w:vAlign w:val="bottom"/>
            <w:hideMark/>
          </w:tcPr>
          <w:p w14:paraId="3DB51BB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7F3FEF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688FCE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05B2C72"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64C4D4EC" w14:textId="77777777" w:rsidR="00000000" w:rsidRDefault="003A1B5D">
            <w:pPr>
              <w:pStyle w:val="a3"/>
              <w:spacing w:before="0" w:beforeAutospacing="0" w:after="0" w:afterAutospacing="0"/>
              <w:rPr>
                <w:sz w:val="20"/>
                <w:szCs w:val="20"/>
              </w:rPr>
            </w:pPr>
            <w:r>
              <w:rPr>
                <w:sz w:val="20"/>
                <w:szCs w:val="20"/>
              </w:rPr>
              <w:t> </w:t>
            </w:r>
          </w:p>
        </w:tc>
      </w:tr>
      <w:tr w:rsidR="00000000" w14:paraId="565653FF" w14:textId="77777777">
        <w:trPr>
          <w:trHeight w:val="200"/>
          <w:tblCellSpacing w:w="15" w:type="dxa"/>
        </w:trPr>
        <w:tc>
          <w:tcPr>
            <w:tcW w:w="0" w:type="auto"/>
            <w:hideMark/>
          </w:tcPr>
          <w:p w14:paraId="42A7FC7E" w14:textId="77777777" w:rsidR="00000000" w:rsidRDefault="003A1B5D">
            <w:pPr>
              <w:pStyle w:val="a3"/>
              <w:spacing w:before="0" w:beforeAutospacing="0" w:after="0" w:afterAutospacing="0"/>
              <w:rPr>
                <w:sz w:val="20"/>
                <w:szCs w:val="20"/>
              </w:rPr>
            </w:pPr>
            <w:r>
              <w:rPr>
                <w:sz w:val="20"/>
                <w:szCs w:val="20"/>
              </w:rPr>
              <w:t>Gain on sale of real estate assets, ne</w:t>
            </w:r>
            <w:r>
              <w:rPr>
                <w:sz w:val="20"/>
                <w:szCs w:val="20"/>
              </w:rPr>
              <w:t>t</w:t>
            </w:r>
          </w:p>
        </w:tc>
        <w:tc>
          <w:tcPr>
            <w:tcW w:w="0" w:type="auto"/>
            <w:vAlign w:val="bottom"/>
            <w:hideMark/>
          </w:tcPr>
          <w:p w14:paraId="418E3F8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927B1A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2D803F3" w14:textId="77777777" w:rsidR="00000000" w:rsidRDefault="003A1B5D">
            <w:pPr>
              <w:pStyle w:val="a3"/>
              <w:spacing w:before="0" w:beforeAutospacing="0" w:after="0" w:afterAutospacing="0"/>
              <w:jc w:val="right"/>
              <w:rPr>
                <w:sz w:val="20"/>
                <w:szCs w:val="20"/>
              </w:rPr>
            </w:pPr>
            <w:r>
              <w:rPr>
                <w:b/>
                <w:bCs/>
                <w:sz w:val="20"/>
                <w:szCs w:val="20"/>
              </w:rPr>
              <w:t>(83,82</w:t>
            </w:r>
            <w:r>
              <w:rPr>
                <w:b/>
                <w:bCs/>
                <w:sz w:val="20"/>
                <w:szCs w:val="20"/>
              </w:rPr>
              <w:t>8</w:t>
            </w:r>
          </w:p>
        </w:tc>
        <w:tc>
          <w:tcPr>
            <w:tcW w:w="0" w:type="auto"/>
            <w:noWrap/>
            <w:vAlign w:val="bottom"/>
            <w:hideMark/>
          </w:tcPr>
          <w:p w14:paraId="441C73C5"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1292150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93D537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0B785E6"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6B988C96" w14:textId="77777777" w:rsidR="00000000" w:rsidRDefault="003A1B5D">
            <w:pPr>
              <w:pStyle w:val="a3"/>
              <w:spacing w:before="0" w:beforeAutospacing="0" w:after="0" w:afterAutospacing="0"/>
              <w:rPr>
                <w:sz w:val="20"/>
                <w:szCs w:val="20"/>
              </w:rPr>
            </w:pPr>
            <w:r>
              <w:rPr>
                <w:sz w:val="20"/>
                <w:szCs w:val="20"/>
              </w:rPr>
              <w:t> </w:t>
            </w:r>
          </w:p>
        </w:tc>
      </w:tr>
      <w:tr w:rsidR="00000000" w14:paraId="12AB181A" w14:textId="77777777">
        <w:trPr>
          <w:trHeight w:val="200"/>
          <w:tblCellSpacing w:w="15" w:type="dxa"/>
        </w:trPr>
        <w:tc>
          <w:tcPr>
            <w:tcW w:w="0" w:type="auto"/>
            <w:hideMark/>
          </w:tcPr>
          <w:p w14:paraId="48E14111" w14:textId="77777777" w:rsidR="00000000" w:rsidRDefault="003A1B5D">
            <w:pPr>
              <w:pStyle w:val="a3"/>
              <w:spacing w:before="0" w:beforeAutospacing="0" w:after="0" w:afterAutospacing="0"/>
              <w:rPr>
                <w:sz w:val="20"/>
                <w:szCs w:val="20"/>
              </w:rPr>
            </w:pPr>
            <w:r>
              <w:rPr>
                <w:sz w:val="20"/>
                <w:szCs w:val="20"/>
              </w:rPr>
              <w:t>Income tax expense for special item</w:t>
            </w:r>
            <w:r>
              <w:rPr>
                <w:sz w:val="20"/>
                <w:szCs w:val="20"/>
              </w:rPr>
              <w:t>s</w:t>
            </w:r>
          </w:p>
        </w:tc>
        <w:tc>
          <w:tcPr>
            <w:tcW w:w="0" w:type="auto"/>
            <w:vAlign w:val="bottom"/>
            <w:hideMark/>
          </w:tcPr>
          <w:p w14:paraId="048A047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DD91FA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DA0BAF0" w14:textId="77777777" w:rsidR="00000000" w:rsidRDefault="003A1B5D">
            <w:pPr>
              <w:pStyle w:val="a3"/>
              <w:spacing w:before="0" w:beforeAutospacing="0" w:after="0" w:afterAutospacing="0"/>
              <w:jc w:val="right"/>
              <w:rPr>
                <w:sz w:val="20"/>
                <w:szCs w:val="20"/>
              </w:rPr>
            </w:pPr>
            <w:r>
              <w:rPr>
                <w:b/>
                <w:bCs/>
                <w:sz w:val="20"/>
                <w:szCs w:val="20"/>
              </w:rPr>
              <w:t>21,16</w:t>
            </w:r>
            <w:r>
              <w:rPr>
                <w:b/>
                <w:bCs/>
                <w:sz w:val="20"/>
                <w:szCs w:val="20"/>
              </w:rPr>
              <w:t>5</w:t>
            </w:r>
          </w:p>
        </w:tc>
        <w:tc>
          <w:tcPr>
            <w:tcW w:w="0" w:type="auto"/>
            <w:noWrap/>
            <w:vAlign w:val="bottom"/>
            <w:hideMark/>
          </w:tcPr>
          <w:p w14:paraId="2A305E8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CA75CF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BA6A6E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35ED693"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085A7E47" w14:textId="77777777" w:rsidR="00000000" w:rsidRDefault="003A1B5D">
            <w:pPr>
              <w:pStyle w:val="a3"/>
              <w:spacing w:before="0" w:beforeAutospacing="0" w:after="0" w:afterAutospacing="0"/>
              <w:rPr>
                <w:sz w:val="20"/>
                <w:szCs w:val="20"/>
              </w:rPr>
            </w:pPr>
            <w:r>
              <w:rPr>
                <w:sz w:val="20"/>
                <w:szCs w:val="20"/>
              </w:rPr>
              <w:t> </w:t>
            </w:r>
          </w:p>
        </w:tc>
      </w:tr>
      <w:tr w:rsidR="00000000" w14:paraId="14BBCDB8" w14:textId="77777777">
        <w:trPr>
          <w:trHeight w:val="200"/>
          <w:tblCellSpacing w:w="15" w:type="dxa"/>
        </w:trPr>
        <w:tc>
          <w:tcPr>
            <w:tcW w:w="0" w:type="auto"/>
            <w:hideMark/>
          </w:tcPr>
          <w:p w14:paraId="48C85AA9" w14:textId="77777777" w:rsidR="00000000" w:rsidRDefault="003A1B5D">
            <w:pPr>
              <w:pStyle w:val="a3"/>
              <w:spacing w:before="0" w:beforeAutospacing="0" w:after="0" w:afterAutospacing="0"/>
              <w:ind w:left="200"/>
              <w:rPr>
                <w:sz w:val="20"/>
                <w:szCs w:val="20"/>
              </w:rPr>
            </w:pPr>
            <w:r>
              <w:rPr>
                <w:sz w:val="20"/>
                <w:szCs w:val="20"/>
              </w:rPr>
              <w:t>Funds From Operation</w:t>
            </w:r>
            <w:r>
              <w:rPr>
                <w:sz w:val="20"/>
                <w:szCs w:val="20"/>
              </w:rPr>
              <w:t>s</w:t>
            </w:r>
          </w:p>
        </w:tc>
        <w:tc>
          <w:tcPr>
            <w:tcW w:w="0" w:type="auto"/>
            <w:vAlign w:val="bottom"/>
            <w:hideMark/>
          </w:tcPr>
          <w:p w14:paraId="494AEE98"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AB017F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093EA92" w14:textId="77777777" w:rsidR="00000000" w:rsidRDefault="003A1B5D">
            <w:pPr>
              <w:pStyle w:val="a3"/>
              <w:spacing w:before="0" w:beforeAutospacing="0" w:after="0" w:afterAutospacing="0"/>
              <w:jc w:val="right"/>
              <w:rPr>
                <w:sz w:val="20"/>
                <w:szCs w:val="20"/>
              </w:rPr>
            </w:pPr>
            <w:r>
              <w:rPr>
                <w:b/>
                <w:bCs/>
                <w:sz w:val="20"/>
                <w:szCs w:val="20"/>
              </w:rPr>
              <w:t>33,32</w:t>
            </w:r>
            <w:r>
              <w:rPr>
                <w:b/>
                <w:bCs/>
                <w:sz w:val="20"/>
                <w:szCs w:val="20"/>
              </w:rPr>
              <w:t>6</w:t>
            </w:r>
          </w:p>
        </w:tc>
        <w:tc>
          <w:tcPr>
            <w:tcW w:w="0" w:type="auto"/>
            <w:noWrap/>
            <w:vAlign w:val="bottom"/>
            <w:hideMark/>
          </w:tcPr>
          <w:p w14:paraId="359AB15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A92295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448436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34D74C6" w14:textId="77777777" w:rsidR="00000000" w:rsidRDefault="003A1B5D">
            <w:pPr>
              <w:pStyle w:val="a3"/>
              <w:spacing w:before="0" w:beforeAutospacing="0" w:after="0" w:afterAutospacing="0"/>
              <w:jc w:val="right"/>
              <w:rPr>
                <w:sz w:val="20"/>
                <w:szCs w:val="20"/>
              </w:rPr>
            </w:pPr>
            <w:r>
              <w:rPr>
                <w:sz w:val="20"/>
                <w:szCs w:val="20"/>
              </w:rPr>
              <w:t>54,88</w:t>
            </w:r>
            <w:r>
              <w:rPr>
                <w:sz w:val="20"/>
                <w:szCs w:val="20"/>
              </w:rPr>
              <w:t>9</w:t>
            </w:r>
          </w:p>
        </w:tc>
        <w:tc>
          <w:tcPr>
            <w:tcW w:w="0" w:type="auto"/>
            <w:noWrap/>
            <w:vAlign w:val="bottom"/>
            <w:hideMark/>
          </w:tcPr>
          <w:p w14:paraId="4D857A90" w14:textId="77777777" w:rsidR="00000000" w:rsidRDefault="003A1B5D">
            <w:pPr>
              <w:pStyle w:val="a3"/>
              <w:spacing w:before="0" w:beforeAutospacing="0" w:after="0" w:afterAutospacing="0"/>
              <w:rPr>
                <w:sz w:val="20"/>
                <w:szCs w:val="20"/>
              </w:rPr>
            </w:pPr>
            <w:r>
              <w:rPr>
                <w:sz w:val="20"/>
                <w:szCs w:val="20"/>
              </w:rPr>
              <w:t> </w:t>
            </w:r>
          </w:p>
        </w:tc>
      </w:tr>
      <w:tr w:rsidR="00000000" w14:paraId="2EE7A64A" w14:textId="77777777">
        <w:trPr>
          <w:trHeight w:val="200"/>
          <w:tblCellSpacing w:w="15" w:type="dxa"/>
        </w:trPr>
        <w:tc>
          <w:tcPr>
            <w:tcW w:w="0" w:type="auto"/>
            <w:hideMark/>
          </w:tcPr>
          <w:p w14:paraId="03CFC970" w14:textId="77777777" w:rsidR="00000000" w:rsidRDefault="003A1B5D">
            <w:pPr>
              <w:pStyle w:val="a3"/>
              <w:spacing w:before="0" w:beforeAutospacing="0" w:after="0" w:afterAutospacing="0"/>
              <w:rPr>
                <w:sz w:val="20"/>
                <w:szCs w:val="20"/>
              </w:rPr>
            </w:pPr>
            <w:r>
              <w:rPr>
                <w:sz w:val="20"/>
                <w:szCs w:val="20"/>
              </w:rPr>
              <w:t xml:space="preserve">Expenses associated with debt repayments </w:t>
            </w:r>
            <w:r>
              <w:rPr>
                <w:sz w:val="20"/>
                <w:szCs w:val="20"/>
              </w:rPr>
              <w:br/>
              <w:t>     and refinancing transaction</w:t>
            </w:r>
            <w:r>
              <w:rPr>
                <w:sz w:val="20"/>
                <w:szCs w:val="20"/>
              </w:rPr>
              <w:t>s</w:t>
            </w:r>
          </w:p>
        </w:tc>
        <w:tc>
          <w:tcPr>
            <w:tcW w:w="0" w:type="auto"/>
            <w:vAlign w:val="bottom"/>
            <w:hideMark/>
          </w:tcPr>
          <w:p w14:paraId="556F8D0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381257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C885392" w14:textId="77777777" w:rsidR="00000000" w:rsidRDefault="003A1B5D">
            <w:pPr>
              <w:pStyle w:val="a3"/>
              <w:spacing w:before="0" w:beforeAutospacing="0" w:after="0" w:afterAutospacing="0"/>
              <w:jc w:val="right"/>
              <w:rPr>
                <w:sz w:val="20"/>
                <w:szCs w:val="20"/>
              </w:rPr>
            </w:pPr>
            <w:r>
              <w:rPr>
                <w:b/>
                <w:bCs/>
                <w:sz w:val="20"/>
                <w:szCs w:val="20"/>
              </w:rPr>
              <w:t>78</w:t>
            </w:r>
            <w:r>
              <w:rPr>
                <w:b/>
                <w:bCs/>
                <w:sz w:val="20"/>
                <w:szCs w:val="20"/>
              </w:rPr>
              <w:t>3</w:t>
            </w:r>
          </w:p>
        </w:tc>
        <w:tc>
          <w:tcPr>
            <w:tcW w:w="0" w:type="auto"/>
            <w:noWrap/>
            <w:vAlign w:val="bottom"/>
            <w:hideMark/>
          </w:tcPr>
          <w:p w14:paraId="14FB117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ED9946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C206BD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2D631B0"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6E3CD5EC" w14:textId="77777777" w:rsidR="00000000" w:rsidRDefault="003A1B5D">
            <w:pPr>
              <w:pStyle w:val="a3"/>
              <w:spacing w:before="0" w:beforeAutospacing="0" w:after="0" w:afterAutospacing="0"/>
              <w:rPr>
                <w:sz w:val="20"/>
                <w:szCs w:val="20"/>
              </w:rPr>
            </w:pPr>
            <w:r>
              <w:rPr>
                <w:sz w:val="20"/>
                <w:szCs w:val="20"/>
              </w:rPr>
              <w:t> </w:t>
            </w:r>
          </w:p>
        </w:tc>
      </w:tr>
      <w:tr w:rsidR="00000000" w14:paraId="4C83E20C" w14:textId="77777777">
        <w:trPr>
          <w:trHeight w:val="200"/>
          <w:tblCellSpacing w:w="15" w:type="dxa"/>
        </w:trPr>
        <w:tc>
          <w:tcPr>
            <w:tcW w:w="0" w:type="auto"/>
            <w:hideMark/>
          </w:tcPr>
          <w:p w14:paraId="07E3307D" w14:textId="77777777" w:rsidR="00000000" w:rsidRDefault="003A1B5D">
            <w:pPr>
              <w:pStyle w:val="a3"/>
              <w:spacing w:before="0" w:beforeAutospacing="0" w:after="0" w:afterAutospacing="0"/>
              <w:rPr>
                <w:sz w:val="20"/>
                <w:szCs w:val="20"/>
              </w:rPr>
            </w:pPr>
            <w:r>
              <w:rPr>
                <w:sz w:val="20"/>
                <w:szCs w:val="20"/>
              </w:rPr>
              <w:t>Goodwill and other impairment</w:t>
            </w:r>
            <w:r>
              <w:rPr>
                <w:sz w:val="20"/>
                <w:szCs w:val="20"/>
              </w:rPr>
              <w:t>s</w:t>
            </w:r>
          </w:p>
        </w:tc>
        <w:tc>
          <w:tcPr>
            <w:tcW w:w="0" w:type="auto"/>
            <w:vAlign w:val="bottom"/>
            <w:hideMark/>
          </w:tcPr>
          <w:p w14:paraId="31C7E97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D53C9E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27576AF" w14:textId="77777777" w:rsidR="00000000" w:rsidRDefault="003A1B5D">
            <w:pPr>
              <w:pStyle w:val="a3"/>
              <w:spacing w:before="0" w:beforeAutospacing="0" w:after="0" w:afterAutospacing="0"/>
              <w:jc w:val="right"/>
              <w:rPr>
                <w:sz w:val="20"/>
                <w:szCs w:val="20"/>
              </w:rPr>
            </w:pPr>
            <w:r>
              <w:rPr>
                <w:b/>
                <w:bCs/>
                <w:sz w:val="20"/>
                <w:szCs w:val="20"/>
              </w:rPr>
              <w:t>—</w:t>
            </w:r>
          </w:p>
        </w:tc>
        <w:tc>
          <w:tcPr>
            <w:tcW w:w="0" w:type="auto"/>
            <w:noWrap/>
            <w:vAlign w:val="bottom"/>
            <w:hideMark/>
          </w:tcPr>
          <w:p w14:paraId="1F571AA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BA53A1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CB3BAD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6137C15" w14:textId="77777777" w:rsidR="00000000" w:rsidRDefault="003A1B5D">
            <w:pPr>
              <w:pStyle w:val="a3"/>
              <w:spacing w:before="0" w:beforeAutospacing="0" w:after="0" w:afterAutospacing="0"/>
              <w:jc w:val="right"/>
              <w:rPr>
                <w:sz w:val="20"/>
                <w:szCs w:val="20"/>
              </w:rPr>
            </w:pPr>
            <w:r>
              <w:rPr>
                <w:sz w:val="20"/>
                <w:szCs w:val="20"/>
              </w:rPr>
              <w:t>5,17</w:t>
            </w:r>
            <w:r>
              <w:rPr>
                <w:sz w:val="20"/>
                <w:szCs w:val="20"/>
              </w:rPr>
              <w:t>7</w:t>
            </w:r>
          </w:p>
        </w:tc>
        <w:tc>
          <w:tcPr>
            <w:tcW w:w="0" w:type="auto"/>
            <w:noWrap/>
            <w:vAlign w:val="bottom"/>
            <w:hideMark/>
          </w:tcPr>
          <w:p w14:paraId="448C1163" w14:textId="77777777" w:rsidR="00000000" w:rsidRDefault="003A1B5D">
            <w:pPr>
              <w:pStyle w:val="a3"/>
              <w:spacing w:before="0" w:beforeAutospacing="0" w:after="0" w:afterAutospacing="0"/>
              <w:rPr>
                <w:sz w:val="20"/>
                <w:szCs w:val="20"/>
              </w:rPr>
            </w:pPr>
            <w:r>
              <w:rPr>
                <w:sz w:val="20"/>
                <w:szCs w:val="20"/>
              </w:rPr>
              <w:t> </w:t>
            </w:r>
          </w:p>
        </w:tc>
      </w:tr>
      <w:tr w:rsidR="00000000" w14:paraId="48BA68C2" w14:textId="77777777">
        <w:trPr>
          <w:trHeight w:val="200"/>
          <w:tblCellSpacing w:w="15" w:type="dxa"/>
        </w:trPr>
        <w:tc>
          <w:tcPr>
            <w:tcW w:w="0" w:type="auto"/>
            <w:hideMark/>
          </w:tcPr>
          <w:p w14:paraId="7A83D374" w14:textId="77777777" w:rsidR="00000000" w:rsidRDefault="003A1B5D">
            <w:pPr>
              <w:pStyle w:val="a3"/>
              <w:spacing w:before="0" w:beforeAutospacing="0" w:after="0" w:afterAutospacing="0"/>
              <w:rPr>
                <w:sz w:val="20"/>
                <w:szCs w:val="20"/>
              </w:rPr>
            </w:pPr>
            <w:r>
              <w:rPr>
                <w:sz w:val="20"/>
                <w:szCs w:val="20"/>
              </w:rPr>
              <w:t>Income tax benefit for special item</w:t>
            </w:r>
            <w:r>
              <w:rPr>
                <w:sz w:val="20"/>
                <w:szCs w:val="20"/>
              </w:rPr>
              <w:t>s</w:t>
            </w:r>
          </w:p>
        </w:tc>
        <w:tc>
          <w:tcPr>
            <w:tcW w:w="0" w:type="auto"/>
            <w:vAlign w:val="bottom"/>
            <w:hideMark/>
          </w:tcPr>
          <w:p w14:paraId="2E53F4F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5E969E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6903894" w14:textId="77777777" w:rsidR="00000000" w:rsidRDefault="003A1B5D">
            <w:pPr>
              <w:pStyle w:val="a3"/>
              <w:spacing w:before="0" w:beforeAutospacing="0" w:after="0" w:afterAutospacing="0"/>
              <w:jc w:val="right"/>
              <w:rPr>
                <w:sz w:val="20"/>
                <w:szCs w:val="20"/>
              </w:rPr>
            </w:pPr>
            <w:r>
              <w:rPr>
                <w:b/>
                <w:bCs/>
                <w:sz w:val="20"/>
                <w:szCs w:val="20"/>
              </w:rPr>
              <w:t>(20</w:t>
            </w:r>
            <w:r>
              <w:rPr>
                <w:b/>
                <w:bCs/>
                <w:sz w:val="20"/>
                <w:szCs w:val="20"/>
              </w:rPr>
              <w:t>6</w:t>
            </w:r>
          </w:p>
        </w:tc>
        <w:tc>
          <w:tcPr>
            <w:tcW w:w="0" w:type="auto"/>
            <w:noWrap/>
            <w:vAlign w:val="bottom"/>
            <w:hideMark/>
          </w:tcPr>
          <w:p w14:paraId="25D75D0F"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5219D36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3CEFC4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6B18ABB" w14:textId="77777777" w:rsidR="00000000" w:rsidRDefault="003A1B5D">
            <w:pPr>
              <w:pStyle w:val="a3"/>
              <w:spacing w:before="0" w:beforeAutospacing="0" w:after="0" w:afterAutospacing="0"/>
              <w:jc w:val="right"/>
              <w:rPr>
                <w:sz w:val="20"/>
                <w:szCs w:val="20"/>
              </w:rPr>
            </w:pPr>
            <w:r>
              <w:rPr>
                <w:sz w:val="20"/>
                <w:szCs w:val="20"/>
              </w:rPr>
              <w:t>(1,44</w:t>
            </w:r>
            <w:r>
              <w:rPr>
                <w:sz w:val="20"/>
                <w:szCs w:val="20"/>
              </w:rPr>
              <w:t>9</w:t>
            </w:r>
          </w:p>
        </w:tc>
        <w:tc>
          <w:tcPr>
            <w:tcW w:w="0" w:type="auto"/>
            <w:noWrap/>
            <w:vAlign w:val="bottom"/>
            <w:hideMark/>
          </w:tcPr>
          <w:p w14:paraId="14241EB3" w14:textId="77777777" w:rsidR="00000000" w:rsidRDefault="003A1B5D">
            <w:pPr>
              <w:pStyle w:val="a3"/>
              <w:spacing w:before="0" w:beforeAutospacing="0" w:after="0" w:afterAutospacing="0"/>
              <w:rPr>
                <w:sz w:val="20"/>
                <w:szCs w:val="20"/>
              </w:rPr>
            </w:pPr>
            <w:r>
              <w:rPr>
                <w:sz w:val="20"/>
                <w:szCs w:val="20"/>
              </w:rPr>
              <w:t>)</w:t>
            </w:r>
          </w:p>
        </w:tc>
      </w:tr>
      <w:tr w:rsidR="00000000" w14:paraId="7AE3B91F" w14:textId="77777777">
        <w:trPr>
          <w:trHeight w:val="200"/>
          <w:tblCellSpacing w:w="15" w:type="dxa"/>
        </w:trPr>
        <w:tc>
          <w:tcPr>
            <w:tcW w:w="0" w:type="auto"/>
            <w:hideMark/>
          </w:tcPr>
          <w:p w14:paraId="3251A901" w14:textId="77777777" w:rsidR="00000000" w:rsidRDefault="003A1B5D">
            <w:pPr>
              <w:pStyle w:val="a3"/>
              <w:spacing w:before="0" w:beforeAutospacing="0" w:after="0" w:afterAutospacing="0"/>
              <w:ind w:left="200"/>
              <w:rPr>
                <w:sz w:val="20"/>
                <w:szCs w:val="20"/>
              </w:rPr>
            </w:pPr>
            <w:r>
              <w:rPr>
                <w:sz w:val="20"/>
                <w:szCs w:val="20"/>
              </w:rPr>
              <w:t>Normalized Funds From Operation</w:t>
            </w:r>
            <w:r>
              <w:rPr>
                <w:sz w:val="20"/>
                <w:szCs w:val="20"/>
              </w:rPr>
              <w:t>s</w:t>
            </w:r>
          </w:p>
        </w:tc>
        <w:tc>
          <w:tcPr>
            <w:tcW w:w="0" w:type="auto"/>
            <w:vAlign w:val="bottom"/>
            <w:hideMark/>
          </w:tcPr>
          <w:p w14:paraId="01CD4CA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C0177FB"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1F64BA92" w14:textId="77777777" w:rsidR="00000000" w:rsidRDefault="003A1B5D">
            <w:pPr>
              <w:pStyle w:val="a3"/>
              <w:spacing w:before="0" w:beforeAutospacing="0" w:after="0" w:afterAutospacing="0"/>
              <w:jc w:val="right"/>
              <w:rPr>
                <w:sz w:val="20"/>
                <w:szCs w:val="20"/>
              </w:rPr>
            </w:pPr>
            <w:r>
              <w:rPr>
                <w:b/>
                <w:bCs/>
                <w:sz w:val="20"/>
                <w:szCs w:val="20"/>
              </w:rPr>
              <w:t>33,90</w:t>
            </w:r>
            <w:r>
              <w:rPr>
                <w:b/>
                <w:bCs/>
                <w:sz w:val="20"/>
                <w:szCs w:val="20"/>
              </w:rPr>
              <w:t>3</w:t>
            </w:r>
          </w:p>
        </w:tc>
        <w:tc>
          <w:tcPr>
            <w:tcW w:w="0" w:type="auto"/>
            <w:noWrap/>
            <w:vAlign w:val="bottom"/>
            <w:hideMark/>
          </w:tcPr>
          <w:p w14:paraId="76562A1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29A616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798196A"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0113E5A8" w14:textId="77777777" w:rsidR="00000000" w:rsidRDefault="003A1B5D">
            <w:pPr>
              <w:pStyle w:val="a3"/>
              <w:spacing w:before="0" w:beforeAutospacing="0" w:after="0" w:afterAutospacing="0"/>
              <w:jc w:val="right"/>
              <w:rPr>
                <w:sz w:val="20"/>
                <w:szCs w:val="20"/>
              </w:rPr>
            </w:pPr>
            <w:r>
              <w:rPr>
                <w:sz w:val="20"/>
                <w:szCs w:val="20"/>
              </w:rPr>
              <w:t>58,61</w:t>
            </w:r>
            <w:r>
              <w:rPr>
                <w:sz w:val="20"/>
                <w:szCs w:val="20"/>
              </w:rPr>
              <w:t>7</w:t>
            </w:r>
          </w:p>
        </w:tc>
        <w:tc>
          <w:tcPr>
            <w:tcW w:w="0" w:type="auto"/>
            <w:noWrap/>
            <w:vAlign w:val="bottom"/>
            <w:hideMark/>
          </w:tcPr>
          <w:p w14:paraId="735E11F4" w14:textId="77777777" w:rsidR="00000000" w:rsidRDefault="003A1B5D">
            <w:pPr>
              <w:pStyle w:val="a3"/>
              <w:spacing w:before="0" w:beforeAutospacing="0" w:after="0" w:afterAutospacing="0"/>
              <w:rPr>
                <w:sz w:val="20"/>
                <w:szCs w:val="20"/>
              </w:rPr>
            </w:pPr>
            <w:r>
              <w:rPr>
                <w:sz w:val="20"/>
                <w:szCs w:val="20"/>
              </w:rPr>
              <w:t> </w:t>
            </w:r>
          </w:p>
        </w:tc>
      </w:tr>
    </w:tbl>
    <w:p w14:paraId="0D41CCD5" w14:textId="77777777" w:rsidR="00000000" w:rsidRDefault="003A1B5D">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21"/>
        <w:gridCol w:w="112"/>
        <w:gridCol w:w="160"/>
        <w:gridCol w:w="913"/>
        <w:gridCol w:w="127"/>
        <w:gridCol w:w="112"/>
        <w:gridCol w:w="160"/>
        <w:gridCol w:w="928"/>
        <w:gridCol w:w="142"/>
      </w:tblGrid>
      <w:tr w:rsidR="00000000" w14:paraId="62A8375F" w14:textId="77777777">
        <w:trPr>
          <w:tblCellSpacing w:w="15" w:type="dxa"/>
        </w:trPr>
        <w:tc>
          <w:tcPr>
            <w:tcW w:w="3350" w:type="pct"/>
            <w:vAlign w:val="center"/>
            <w:hideMark/>
          </w:tcPr>
          <w:p w14:paraId="305BB084" w14:textId="77777777" w:rsidR="00000000" w:rsidRDefault="003A1B5D">
            <w:pPr>
              <w:rPr>
                <w:sz w:val="20"/>
                <w:szCs w:val="20"/>
              </w:rPr>
            </w:pPr>
          </w:p>
        </w:tc>
        <w:tc>
          <w:tcPr>
            <w:tcW w:w="80" w:type="pct"/>
            <w:vAlign w:val="center"/>
            <w:hideMark/>
          </w:tcPr>
          <w:p w14:paraId="488F8714" w14:textId="77777777" w:rsidR="00000000" w:rsidRDefault="003A1B5D">
            <w:pPr>
              <w:rPr>
                <w:rFonts w:eastAsia="Times New Roman"/>
                <w:sz w:val="20"/>
                <w:szCs w:val="20"/>
              </w:rPr>
            </w:pPr>
          </w:p>
        </w:tc>
        <w:tc>
          <w:tcPr>
            <w:tcW w:w="50" w:type="pct"/>
            <w:vAlign w:val="center"/>
            <w:hideMark/>
          </w:tcPr>
          <w:p w14:paraId="453DDCE9" w14:textId="77777777" w:rsidR="00000000" w:rsidRDefault="003A1B5D">
            <w:pPr>
              <w:rPr>
                <w:rFonts w:eastAsia="Times New Roman"/>
                <w:sz w:val="20"/>
                <w:szCs w:val="20"/>
              </w:rPr>
            </w:pPr>
          </w:p>
        </w:tc>
        <w:tc>
          <w:tcPr>
            <w:tcW w:w="638" w:type="pct"/>
            <w:vAlign w:val="center"/>
            <w:hideMark/>
          </w:tcPr>
          <w:p w14:paraId="7150BDE5" w14:textId="77777777" w:rsidR="00000000" w:rsidRDefault="003A1B5D">
            <w:pPr>
              <w:rPr>
                <w:rFonts w:eastAsia="Times New Roman"/>
                <w:sz w:val="20"/>
                <w:szCs w:val="20"/>
              </w:rPr>
            </w:pPr>
          </w:p>
        </w:tc>
        <w:tc>
          <w:tcPr>
            <w:tcW w:w="50" w:type="pct"/>
            <w:vAlign w:val="center"/>
            <w:hideMark/>
          </w:tcPr>
          <w:p w14:paraId="4191DF92" w14:textId="77777777" w:rsidR="00000000" w:rsidRDefault="003A1B5D">
            <w:pPr>
              <w:rPr>
                <w:rFonts w:eastAsia="Times New Roman"/>
                <w:sz w:val="20"/>
                <w:szCs w:val="20"/>
              </w:rPr>
            </w:pPr>
          </w:p>
        </w:tc>
        <w:tc>
          <w:tcPr>
            <w:tcW w:w="80" w:type="pct"/>
            <w:vAlign w:val="center"/>
            <w:hideMark/>
          </w:tcPr>
          <w:p w14:paraId="143AB4BD" w14:textId="77777777" w:rsidR="00000000" w:rsidRDefault="003A1B5D">
            <w:pPr>
              <w:rPr>
                <w:rFonts w:eastAsia="Times New Roman"/>
                <w:sz w:val="20"/>
                <w:szCs w:val="20"/>
              </w:rPr>
            </w:pPr>
          </w:p>
        </w:tc>
        <w:tc>
          <w:tcPr>
            <w:tcW w:w="50" w:type="pct"/>
            <w:vAlign w:val="center"/>
            <w:hideMark/>
          </w:tcPr>
          <w:p w14:paraId="2B348231" w14:textId="77777777" w:rsidR="00000000" w:rsidRDefault="003A1B5D">
            <w:pPr>
              <w:rPr>
                <w:rFonts w:eastAsia="Times New Roman"/>
                <w:sz w:val="20"/>
                <w:szCs w:val="20"/>
              </w:rPr>
            </w:pPr>
          </w:p>
        </w:tc>
        <w:tc>
          <w:tcPr>
            <w:tcW w:w="649" w:type="pct"/>
            <w:vAlign w:val="center"/>
            <w:hideMark/>
          </w:tcPr>
          <w:p w14:paraId="187348E0" w14:textId="77777777" w:rsidR="00000000" w:rsidRDefault="003A1B5D">
            <w:pPr>
              <w:rPr>
                <w:rFonts w:eastAsia="Times New Roman"/>
                <w:sz w:val="20"/>
                <w:szCs w:val="20"/>
              </w:rPr>
            </w:pPr>
          </w:p>
        </w:tc>
        <w:tc>
          <w:tcPr>
            <w:tcW w:w="50" w:type="pct"/>
            <w:vAlign w:val="center"/>
            <w:hideMark/>
          </w:tcPr>
          <w:p w14:paraId="19BF8043" w14:textId="77777777" w:rsidR="00000000" w:rsidRDefault="003A1B5D">
            <w:pPr>
              <w:rPr>
                <w:rFonts w:eastAsia="Times New Roman"/>
                <w:sz w:val="20"/>
                <w:szCs w:val="20"/>
              </w:rPr>
            </w:pPr>
          </w:p>
        </w:tc>
      </w:tr>
      <w:tr w:rsidR="00000000" w14:paraId="0336318B" w14:textId="77777777">
        <w:trPr>
          <w:trHeight w:val="160"/>
          <w:tblCellSpacing w:w="15" w:type="dxa"/>
        </w:trPr>
        <w:tc>
          <w:tcPr>
            <w:tcW w:w="0" w:type="auto"/>
            <w:vAlign w:val="bottom"/>
            <w:hideMark/>
          </w:tcPr>
          <w:p w14:paraId="6A6117B8"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29D7D060" w14:textId="77777777" w:rsidR="00000000" w:rsidRDefault="003A1B5D">
            <w:pPr>
              <w:pStyle w:val="a3"/>
              <w:spacing w:before="0" w:beforeAutospacing="0" w:after="0" w:afterAutospacing="0"/>
              <w:rPr>
                <w:sz w:val="16"/>
                <w:szCs w:val="16"/>
              </w:rPr>
            </w:pPr>
            <w:r>
              <w:rPr>
                <w:sz w:val="16"/>
                <w:szCs w:val="16"/>
              </w:rPr>
              <w:t> </w:t>
            </w:r>
          </w:p>
        </w:tc>
        <w:tc>
          <w:tcPr>
            <w:tcW w:w="0" w:type="auto"/>
            <w:gridSpan w:val="6"/>
            <w:vAlign w:val="bottom"/>
            <w:hideMark/>
          </w:tcPr>
          <w:p w14:paraId="5761C73E" w14:textId="77777777" w:rsidR="00000000" w:rsidRDefault="003A1B5D">
            <w:pPr>
              <w:pStyle w:val="a3"/>
              <w:spacing w:before="0" w:beforeAutospacing="0" w:after="0" w:afterAutospacing="0"/>
              <w:jc w:val="center"/>
              <w:rPr>
                <w:sz w:val="16"/>
                <w:szCs w:val="16"/>
              </w:rPr>
            </w:pPr>
            <w:r>
              <w:rPr>
                <w:b/>
                <w:bCs/>
                <w:sz w:val="16"/>
                <w:szCs w:val="16"/>
              </w:rPr>
              <w:t xml:space="preserve">For the Nine Months Ended </w:t>
            </w:r>
            <w:r>
              <w:rPr>
                <w:b/>
                <w:bCs/>
                <w:sz w:val="16"/>
                <w:szCs w:val="16"/>
              </w:rPr>
              <w:br/>
              <w:t>September 30</w:t>
            </w:r>
            <w:r>
              <w:rPr>
                <w:b/>
                <w:bCs/>
                <w:sz w:val="16"/>
                <w:szCs w:val="16"/>
              </w:rPr>
              <w:t>,</w:t>
            </w:r>
          </w:p>
        </w:tc>
        <w:tc>
          <w:tcPr>
            <w:tcW w:w="0" w:type="auto"/>
            <w:vAlign w:val="bottom"/>
            <w:hideMark/>
          </w:tcPr>
          <w:p w14:paraId="5D258397"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0BB7D1BA" w14:textId="77777777">
        <w:trPr>
          <w:trHeight w:val="160"/>
          <w:tblCellSpacing w:w="15" w:type="dxa"/>
        </w:trPr>
        <w:tc>
          <w:tcPr>
            <w:tcW w:w="0" w:type="auto"/>
            <w:vAlign w:val="bottom"/>
            <w:hideMark/>
          </w:tcPr>
          <w:p w14:paraId="5117545F" w14:textId="77777777" w:rsidR="00000000" w:rsidRDefault="003A1B5D">
            <w:pPr>
              <w:pStyle w:val="a3"/>
              <w:spacing w:before="0" w:beforeAutospacing="0" w:after="0" w:afterAutospacing="0"/>
              <w:rPr>
                <w:sz w:val="16"/>
                <w:szCs w:val="16"/>
              </w:rPr>
            </w:pPr>
            <w:r>
              <w:rPr>
                <w:b/>
                <w:bCs/>
                <w:sz w:val="16"/>
                <w:szCs w:val="16"/>
              </w:rPr>
              <w:t>FUNDS FROM OPERATIONS</w:t>
            </w:r>
            <w:r>
              <w:rPr>
                <w:b/>
                <w:bCs/>
                <w:sz w:val="16"/>
                <w:szCs w:val="16"/>
              </w:rPr>
              <w:t>:</w:t>
            </w:r>
          </w:p>
        </w:tc>
        <w:tc>
          <w:tcPr>
            <w:tcW w:w="0" w:type="auto"/>
            <w:vAlign w:val="bottom"/>
            <w:hideMark/>
          </w:tcPr>
          <w:p w14:paraId="070CA72B"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0B75E142"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444F6323"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349B1E77"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3DEC9286"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37BDE99C"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62175770" w14:textId="77777777">
        <w:trPr>
          <w:trHeight w:val="200"/>
          <w:tblCellSpacing w:w="15" w:type="dxa"/>
        </w:trPr>
        <w:tc>
          <w:tcPr>
            <w:tcW w:w="0" w:type="auto"/>
            <w:hideMark/>
          </w:tcPr>
          <w:p w14:paraId="25F58E0F" w14:textId="77777777" w:rsidR="00000000" w:rsidRDefault="003A1B5D">
            <w:pPr>
              <w:pStyle w:val="a3"/>
              <w:spacing w:before="0" w:beforeAutospacing="0" w:after="0" w:afterAutospacing="0"/>
              <w:rPr>
                <w:sz w:val="20"/>
                <w:szCs w:val="20"/>
              </w:rPr>
            </w:pPr>
            <w:r>
              <w:rPr>
                <w:sz w:val="20"/>
                <w:szCs w:val="20"/>
              </w:rPr>
              <w:t>Net income (loss</w:t>
            </w:r>
            <w:r>
              <w:rPr>
                <w:sz w:val="20"/>
                <w:szCs w:val="20"/>
              </w:rPr>
              <w:t>)</w:t>
            </w:r>
          </w:p>
        </w:tc>
        <w:tc>
          <w:tcPr>
            <w:tcW w:w="0" w:type="auto"/>
            <w:vAlign w:val="bottom"/>
            <w:hideMark/>
          </w:tcPr>
          <w:p w14:paraId="5857A5D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5824BDA"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2A4B1C0" w14:textId="77777777" w:rsidR="00000000" w:rsidRDefault="003A1B5D">
            <w:pPr>
              <w:pStyle w:val="a3"/>
              <w:spacing w:before="0" w:beforeAutospacing="0" w:after="0" w:afterAutospacing="0"/>
              <w:jc w:val="right"/>
              <w:rPr>
                <w:sz w:val="20"/>
                <w:szCs w:val="20"/>
              </w:rPr>
            </w:pPr>
            <w:r>
              <w:rPr>
                <w:b/>
                <w:bCs/>
                <w:sz w:val="20"/>
                <w:szCs w:val="20"/>
              </w:rPr>
              <w:t>97,88</w:t>
            </w:r>
            <w:r>
              <w:rPr>
                <w:b/>
                <w:bCs/>
                <w:sz w:val="20"/>
                <w:szCs w:val="20"/>
              </w:rPr>
              <w:t>3</w:t>
            </w:r>
          </w:p>
        </w:tc>
        <w:tc>
          <w:tcPr>
            <w:tcW w:w="0" w:type="auto"/>
            <w:noWrap/>
            <w:vAlign w:val="bottom"/>
            <w:hideMark/>
          </w:tcPr>
          <w:p w14:paraId="6343FE7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2872F9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73AA64D"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000AB304" w14:textId="77777777" w:rsidR="00000000" w:rsidRDefault="003A1B5D">
            <w:pPr>
              <w:pStyle w:val="a3"/>
              <w:spacing w:before="0" w:beforeAutospacing="0" w:after="0" w:afterAutospacing="0"/>
              <w:jc w:val="right"/>
              <w:rPr>
                <w:sz w:val="20"/>
                <w:szCs w:val="20"/>
              </w:rPr>
            </w:pPr>
            <w:r>
              <w:rPr>
                <w:sz w:val="20"/>
                <w:szCs w:val="20"/>
              </w:rPr>
              <w:t>(79,93</w:t>
            </w:r>
            <w:r>
              <w:rPr>
                <w:sz w:val="20"/>
                <w:szCs w:val="20"/>
              </w:rPr>
              <w:t>3</w:t>
            </w:r>
          </w:p>
        </w:tc>
        <w:tc>
          <w:tcPr>
            <w:tcW w:w="0" w:type="auto"/>
            <w:noWrap/>
            <w:vAlign w:val="bottom"/>
            <w:hideMark/>
          </w:tcPr>
          <w:p w14:paraId="3582482B" w14:textId="77777777" w:rsidR="00000000" w:rsidRDefault="003A1B5D">
            <w:pPr>
              <w:pStyle w:val="a3"/>
              <w:spacing w:before="0" w:beforeAutospacing="0" w:after="0" w:afterAutospacing="0"/>
              <w:rPr>
                <w:sz w:val="20"/>
                <w:szCs w:val="20"/>
              </w:rPr>
            </w:pPr>
            <w:r>
              <w:rPr>
                <w:sz w:val="20"/>
                <w:szCs w:val="20"/>
              </w:rPr>
              <w:t>)</w:t>
            </w:r>
          </w:p>
        </w:tc>
      </w:tr>
      <w:tr w:rsidR="00000000" w14:paraId="7C29FE76" w14:textId="77777777">
        <w:trPr>
          <w:trHeight w:val="200"/>
          <w:tblCellSpacing w:w="15" w:type="dxa"/>
        </w:trPr>
        <w:tc>
          <w:tcPr>
            <w:tcW w:w="0" w:type="auto"/>
            <w:hideMark/>
          </w:tcPr>
          <w:p w14:paraId="3482458B" w14:textId="77777777" w:rsidR="00000000" w:rsidRDefault="003A1B5D">
            <w:pPr>
              <w:pStyle w:val="a3"/>
              <w:spacing w:before="0" w:beforeAutospacing="0" w:after="0" w:afterAutospacing="0"/>
              <w:rPr>
                <w:sz w:val="20"/>
                <w:szCs w:val="20"/>
              </w:rPr>
            </w:pPr>
            <w:r>
              <w:rPr>
                <w:sz w:val="20"/>
                <w:szCs w:val="20"/>
              </w:rPr>
              <w:t>Depreciation and amortization of real estate asset</w:t>
            </w:r>
            <w:r>
              <w:rPr>
                <w:sz w:val="20"/>
                <w:szCs w:val="20"/>
              </w:rPr>
              <w:t>s</w:t>
            </w:r>
          </w:p>
        </w:tc>
        <w:tc>
          <w:tcPr>
            <w:tcW w:w="0" w:type="auto"/>
            <w:vAlign w:val="bottom"/>
            <w:hideMark/>
          </w:tcPr>
          <w:p w14:paraId="04B2C7E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9AAC92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7F46CF0" w14:textId="77777777" w:rsidR="00000000" w:rsidRDefault="003A1B5D">
            <w:pPr>
              <w:pStyle w:val="a3"/>
              <w:spacing w:before="0" w:beforeAutospacing="0" w:after="0" w:afterAutospacing="0"/>
              <w:jc w:val="right"/>
              <w:rPr>
                <w:sz w:val="20"/>
                <w:szCs w:val="20"/>
              </w:rPr>
            </w:pPr>
            <w:r>
              <w:rPr>
                <w:b/>
                <w:bCs/>
                <w:sz w:val="20"/>
                <w:szCs w:val="20"/>
              </w:rPr>
              <w:t>72,82</w:t>
            </w:r>
            <w:r>
              <w:rPr>
                <w:b/>
                <w:bCs/>
                <w:sz w:val="20"/>
                <w:szCs w:val="20"/>
              </w:rPr>
              <w:t>5</w:t>
            </w:r>
          </w:p>
        </w:tc>
        <w:tc>
          <w:tcPr>
            <w:tcW w:w="0" w:type="auto"/>
            <w:noWrap/>
            <w:vAlign w:val="bottom"/>
            <w:hideMark/>
          </w:tcPr>
          <w:p w14:paraId="4703DF6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A9E05F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B580AF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BA92941" w14:textId="77777777" w:rsidR="00000000" w:rsidRDefault="003A1B5D">
            <w:pPr>
              <w:pStyle w:val="a3"/>
              <w:spacing w:before="0" w:beforeAutospacing="0" w:after="0" w:afterAutospacing="0"/>
              <w:jc w:val="right"/>
              <w:rPr>
                <w:sz w:val="20"/>
                <w:szCs w:val="20"/>
              </w:rPr>
            </w:pPr>
            <w:r>
              <w:rPr>
                <w:sz w:val="20"/>
                <w:szCs w:val="20"/>
              </w:rPr>
              <w:t>73,56</w:t>
            </w:r>
            <w:r>
              <w:rPr>
                <w:sz w:val="20"/>
                <w:szCs w:val="20"/>
              </w:rPr>
              <w:t>2</w:t>
            </w:r>
          </w:p>
        </w:tc>
        <w:tc>
          <w:tcPr>
            <w:tcW w:w="0" w:type="auto"/>
            <w:noWrap/>
            <w:vAlign w:val="bottom"/>
            <w:hideMark/>
          </w:tcPr>
          <w:p w14:paraId="43A06AB2" w14:textId="77777777" w:rsidR="00000000" w:rsidRDefault="003A1B5D">
            <w:pPr>
              <w:pStyle w:val="a3"/>
              <w:spacing w:before="0" w:beforeAutospacing="0" w:after="0" w:afterAutospacing="0"/>
              <w:rPr>
                <w:sz w:val="20"/>
                <w:szCs w:val="20"/>
              </w:rPr>
            </w:pPr>
            <w:r>
              <w:rPr>
                <w:sz w:val="20"/>
                <w:szCs w:val="20"/>
              </w:rPr>
              <w:t> </w:t>
            </w:r>
          </w:p>
        </w:tc>
      </w:tr>
      <w:tr w:rsidR="00000000" w14:paraId="7D3553E8" w14:textId="77777777">
        <w:trPr>
          <w:trHeight w:val="200"/>
          <w:tblCellSpacing w:w="15" w:type="dxa"/>
        </w:trPr>
        <w:tc>
          <w:tcPr>
            <w:tcW w:w="0" w:type="auto"/>
            <w:hideMark/>
          </w:tcPr>
          <w:p w14:paraId="7213DFDD" w14:textId="77777777" w:rsidR="00000000" w:rsidRDefault="003A1B5D">
            <w:pPr>
              <w:pStyle w:val="a3"/>
              <w:spacing w:before="0" w:beforeAutospacing="0" w:after="0" w:afterAutospacing="0"/>
              <w:rPr>
                <w:sz w:val="20"/>
                <w:szCs w:val="20"/>
              </w:rPr>
            </w:pPr>
            <w:r>
              <w:rPr>
                <w:sz w:val="20"/>
                <w:szCs w:val="20"/>
              </w:rPr>
              <w:t>Impairment of real estate asset</w:t>
            </w:r>
            <w:r>
              <w:rPr>
                <w:sz w:val="20"/>
                <w:szCs w:val="20"/>
              </w:rPr>
              <w:t>s</w:t>
            </w:r>
          </w:p>
        </w:tc>
        <w:tc>
          <w:tcPr>
            <w:tcW w:w="0" w:type="auto"/>
            <w:vAlign w:val="bottom"/>
            <w:hideMark/>
          </w:tcPr>
          <w:p w14:paraId="7F8009C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E05330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8834B83" w14:textId="77777777" w:rsidR="00000000" w:rsidRDefault="003A1B5D">
            <w:pPr>
              <w:pStyle w:val="a3"/>
              <w:spacing w:before="0" w:beforeAutospacing="0" w:after="0" w:afterAutospacing="0"/>
              <w:jc w:val="right"/>
              <w:rPr>
                <w:sz w:val="20"/>
                <w:szCs w:val="20"/>
              </w:rPr>
            </w:pPr>
            <w:r>
              <w:rPr>
                <w:b/>
                <w:bCs/>
                <w:sz w:val="20"/>
                <w:szCs w:val="20"/>
              </w:rPr>
              <w:t>3,51</w:t>
            </w:r>
            <w:r>
              <w:rPr>
                <w:b/>
                <w:bCs/>
                <w:sz w:val="20"/>
                <w:szCs w:val="20"/>
              </w:rPr>
              <w:t>3</w:t>
            </w:r>
          </w:p>
        </w:tc>
        <w:tc>
          <w:tcPr>
            <w:tcW w:w="0" w:type="auto"/>
            <w:noWrap/>
            <w:vAlign w:val="bottom"/>
            <w:hideMark/>
          </w:tcPr>
          <w:p w14:paraId="3FF4D4C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E94B21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981BCC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1331720" w14:textId="77777777" w:rsidR="00000000" w:rsidRDefault="003A1B5D">
            <w:pPr>
              <w:pStyle w:val="a3"/>
              <w:spacing w:before="0" w:beforeAutospacing="0" w:after="0" w:afterAutospacing="0"/>
              <w:jc w:val="right"/>
              <w:rPr>
                <w:sz w:val="20"/>
                <w:szCs w:val="20"/>
              </w:rPr>
            </w:pPr>
            <w:r>
              <w:rPr>
                <w:sz w:val="20"/>
                <w:szCs w:val="20"/>
              </w:rPr>
              <w:t>1,30</w:t>
            </w:r>
            <w:r>
              <w:rPr>
                <w:sz w:val="20"/>
                <w:szCs w:val="20"/>
              </w:rPr>
              <w:t>8</w:t>
            </w:r>
          </w:p>
        </w:tc>
        <w:tc>
          <w:tcPr>
            <w:tcW w:w="0" w:type="auto"/>
            <w:noWrap/>
            <w:vAlign w:val="bottom"/>
            <w:hideMark/>
          </w:tcPr>
          <w:p w14:paraId="400AE664" w14:textId="77777777" w:rsidR="00000000" w:rsidRDefault="003A1B5D">
            <w:pPr>
              <w:pStyle w:val="a3"/>
              <w:spacing w:before="0" w:beforeAutospacing="0" w:after="0" w:afterAutospacing="0"/>
              <w:rPr>
                <w:sz w:val="20"/>
                <w:szCs w:val="20"/>
              </w:rPr>
            </w:pPr>
            <w:r>
              <w:rPr>
                <w:sz w:val="20"/>
                <w:szCs w:val="20"/>
              </w:rPr>
              <w:t> </w:t>
            </w:r>
          </w:p>
        </w:tc>
      </w:tr>
      <w:tr w:rsidR="00000000" w14:paraId="13DF145C" w14:textId="77777777">
        <w:trPr>
          <w:trHeight w:val="200"/>
          <w:tblCellSpacing w:w="15" w:type="dxa"/>
        </w:trPr>
        <w:tc>
          <w:tcPr>
            <w:tcW w:w="0" w:type="auto"/>
            <w:hideMark/>
          </w:tcPr>
          <w:p w14:paraId="01E0D35C" w14:textId="77777777" w:rsidR="00000000" w:rsidRDefault="003A1B5D">
            <w:pPr>
              <w:pStyle w:val="a3"/>
              <w:spacing w:before="0" w:beforeAutospacing="0" w:after="0" w:afterAutospacing="0"/>
              <w:rPr>
                <w:sz w:val="20"/>
                <w:szCs w:val="20"/>
              </w:rPr>
            </w:pPr>
            <w:r>
              <w:rPr>
                <w:sz w:val="20"/>
                <w:szCs w:val="20"/>
              </w:rPr>
              <w:t>Gain on sale of real estate assets, ne</w:t>
            </w:r>
            <w:r>
              <w:rPr>
                <w:sz w:val="20"/>
                <w:szCs w:val="20"/>
              </w:rPr>
              <w:t>t</w:t>
            </w:r>
          </w:p>
        </w:tc>
        <w:tc>
          <w:tcPr>
            <w:tcW w:w="0" w:type="auto"/>
            <w:vAlign w:val="bottom"/>
            <w:hideMark/>
          </w:tcPr>
          <w:p w14:paraId="29192F7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63DAC5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70854A0" w14:textId="77777777" w:rsidR="00000000" w:rsidRDefault="003A1B5D">
            <w:pPr>
              <w:pStyle w:val="a3"/>
              <w:spacing w:before="0" w:beforeAutospacing="0" w:after="0" w:afterAutospacing="0"/>
              <w:jc w:val="right"/>
              <w:rPr>
                <w:sz w:val="20"/>
                <w:szCs w:val="20"/>
              </w:rPr>
            </w:pPr>
            <w:r>
              <w:rPr>
                <w:b/>
                <w:bCs/>
                <w:sz w:val="20"/>
                <w:szCs w:val="20"/>
              </w:rPr>
              <w:t>(87,14</w:t>
            </w:r>
            <w:r>
              <w:rPr>
                <w:b/>
                <w:bCs/>
                <w:sz w:val="20"/>
                <w:szCs w:val="20"/>
              </w:rPr>
              <w:t>9</w:t>
            </w:r>
          </w:p>
        </w:tc>
        <w:tc>
          <w:tcPr>
            <w:tcW w:w="0" w:type="auto"/>
            <w:noWrap/>
            <w:vAlign w:val="bottom"/>
            <w:hideMark/>
          </w:tcPr>
          <w:p w14:paraId="25A3569E"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063EB2B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E5B86C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84E47C7" w14:textId="77777777" w:rsidR="00000000" w:rsidRDefault="003A1B5D">
            <w:pPr>
              <w:pStyle w:val="a3"/>
              <w:spacing w:before="0" w:beforeAutospacing="0" w:after="0" w:afterAutospacing="0"/>
              <w:jc w:val="right"/>
              <w:rPr>
                <w:sz w:val="20"/>
                <w:szCs w:val="20"/>
              </w:rPr>
            </w:pPr>
            <w:r>
              <w:rPr>
                <w:sz w:val="20"/>
                <w:szCs w:val="20"/>
              </w:rPr>
              <w:t>(38,76</w:t>
            </w:r>
            <w:r>
              <w:rPr>
                <w:sz w:val="20"/>
                <w:szCs w:val="20"/>
              </w:rPr>
              <w:t>6</w:t>
            </w:r>
          </w:p>
        </w:tc>
        <w:tc>
          <w:tcPr>
            <w:tcW w:w="0" w:type="auto"/>
            <w:noWrap/>
            <w:vAlign w:val="bottom"/>
            <w:hideMark/>
          </w:tcPr>
          <w:p w14:paraId="3E245BB5" w14:textId="77777777" w:rsidR="00000000" w:rsidRDefault="003A1B5D">
            <w:pPr>
              <w:pStyle w:val="a3"/>
              <w:spacing w:before="0" w:beforeAutospacing="0" w:after="0" w:afterAutospacing="0"/>
              <w:rPr>
                <w:sz w:val="20"/>
                <w:szCs w:val="20"/>
              </w:rPr>
            </w:pPr>
            <w:r>
              <w:rPr>
                <w:sz w:val="20"/>
                <w:szCs w:val="20"/>
              </w:rPr>
              <w:t>)</w:t>
            </w:r>
          </w:p>
        </w:tc>
      </w:tr>
      <w:tr w:rsidR="00000000" w14:paraId="096972E3" w14:textId="77777777">
        <w:trPr>
          <w:trHeight w:val="200"/>
          <w:tblCellSpacing w:w="15" w:type="dxa"/>
        </w:trPr>
        <w:tc>
          <w:tcPr>
            <w:tcW w:w="0" w:type="auto"/>
            <w:hideMark/>
          </w:tcPr>
          <w:p w14:paraId="701CCC95" w14:textId="77777777" w:rsidR="00000000" w:rsidRDefault="003A1B5D">
            <w:pPr>
              <w:pStyle w:val="a3"/>
              <w:spacing w:before="0" w:beforeAutospacing="0" w:after="0" w:afterAutospacing="0"/>
              <w:rPr>
                <w:sz w:val="20"/>
                <w:szCs w:val="20"/>
              </w:rPr>
            </w:pPr>
            <w:r>
              <w:rPr>
                <w:sz w:val="20"/>
                <w:szCs w:val="20"/>
              </w:rPr>
              <w:t>Income tax expense for special item</w:t>
            </w:r>
            <w:r>
              <w:rPr>
                <w:sz w:val="20"/>
                <w:szCs w:val="20"/>
              </w:rPr>
              <w:t>s</w:t>
            </w:r>
          </w:p>
        </w:tc>
        <w:tc>
          <w:tcPr>
            <w:tcW w:w="0" w:type="auto"/>
            <w:vAlign w:val="bottom"/>
            <w:hideMark/>
          </w:tcPr>
          <w:p w14:paraId="1BE1750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354568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5894F77" w14:textId="77777777" w:rsidR="00000000" w:rsidRDefault="003A1B5D">
            <w:pPr>
              <w:pStyle w:val="a3"/>
              <w:spacing w:before="0" w:beforeAutospacing="0" w:after="0" w:afterAutospacing="0"/>
              <w:jc w:val="right"/>
              <w:rPr>
                <w:sz w:val="20"/>
                <w:szCs w:val="20"/>
              </w:rPr>
            </w:pPr>
            <w:r>
              <w:rPr>
                <w:b/>
                <w:bCs/>
                <w:sz w:val="20"/>
                <w:szCs w:val="20"/>
              </w:rPr>
              <w:t>22,07</w:t>
            </w:r>
            <w:r>
              <w:rPr>
                <w:b/>
                <w:bCs/>
                <w:sz w:val="20"/>
                <w:szCs w:val="20"/>
              </w:rPr>
              <w:t>3</w:t>
            </w:r>
          </w:p>
        </w:tc>
        <w:tc>
          <w:tcPr>
            <w:tcW w:w="0" w:type="auto"/>
            <w:noWrap/>
            <w:vAlign w:val="bottom"/>
            <w:hideMark/>
          </w:tcPr>
          <w:p w14:paraId="3FBA65D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CE0D7B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8C1858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32CE02B" w14:textId="77777777" w:rsidR="00000000" w:rsidRDefault="003A1B5D">
            <w:pPr>
              <w:pStyle w:val="a3"/>
              <w:spacing w:before="0" w:beforeAutospacing="0" w:after="0" w:afterAutospacing="0"/>
              <w:jc w:val="right"/>
              <w:rPr>
                <w:sz w:val="20"/>
                <w:szCs w:val="20"/>
              </w:rPr>
            </w:pPr>
            <w:r>
              <w:rPr>
                <w:sz w:val="20"/>
                <w:szCs w:val="20"/>
              </w:rPr>
              <w:t>9,29</w:t>
            </w:r>
            <w:r>
              <w:rPr>
                <w:sz w:val="20"/>
                <w:szCs w:val="20"/>
              </w:rPr>
              <w:t>1</w:t>
            </w:r>
          </w:p>
        </w:tc>
        <w:tc>
          <w:tcPr>
            <w:tcW w:w="0" w:type="auto"/>
            <w:noWrap/>
            <w:vAlign w:val="bottom"/>
            <w:hideMark/>
          </w:tcPr>
          <w:p w14:paraId="6BA08DB6" w14:textId="77777777" w:rsidR="00000000" w:rsidRDefault="003A1B5D">
            <w:pPr>
              <w:pStyle w:val="a3"/>
              <w:spacing w:before="0" w:beforeAutospacing="0" w:after="0" w:afterAutospacing="0"/>
              <w:rPr>
                <w:sz w:val="20"/>
                <w:szCs w:val="20"/>
              </w:rPr>
            </w:pPr>
            <w:r>
              <w:rPr>
                <w:sz w:val="20"/>
                <w:szCs w:val="20"/>
              </w:rPr>
              <w:t> </w:t>
            </w:r>
          </w:p>
        </w:tc>
      </w:tr>
      <w:tr w:rsidR="00000000" w14:paraId="28BDD867" w14:textId="77777777">
        <w:trPr>
          <w:trHeight w:val="200"/>
          <w:tblCellSpacing w:w="15" w:type="dxa"/>
        </w:trPr>
        <w:tc>
          <w:tcPr>
            <w:tcW w:w="0" w:type="auto"/>
            <w:hideMark/>
          </w:tcPr>
          <w:p w14:paraId="2D692AEF" w14:textId="77777777" w:rsidR="00000000" w:rsidRDefault="003A1B5D">
            <w:pPr>
              <w:pStyle w:val="a3"/>
              <w:spacing w:before="0" w:beforeAutospacing="0" w:after="0" w:afterAutospacing="0"/>
              <w:ind w:left="200"/>
              <w:rPr>
                <w:sz w:val="20"/>
                <w:szCs w:val="20"/>
              </w:rPr>
            </w:pPr>
            <w:r>
              <w:rPr>
                <w:sz w:val="20"/>
                <w:szCs w:val="20"/>
              </w:rPr>
              <w:t>Funds From Operation</w:t>
            </w:r>
            <w:r>
              <w:rPr>
                <w:sz w:val="20"/>
                <w:szCs w:val="20"/>
              </w:rPr>
              <w:t>s</w:t>
            </w:r>
          </w:p>
        </w:tc>
        <w:tc>
          <w:tcPr>
            <w:tcW w:w="0" w:type="auto"/>
            <w:vAlign w:val="bottom"/>
            <w:hideMark/>
          </w:tcPr>
          <w:p w14:paraId="36A0DCB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43FC2F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D27C5A4" w14:textId="77777777" w:rsidR="00000000" w:rsidRDefault="003A1B5D">
            <w:pPr>
              <w:pStyle w:val="a3"/>
              <w:spacing w:before="0" w:beforeAutospacing="0" w:after="0" w:afterAutospacing="0"/>
              <w:jc w:val="right"/>
              <w:rPr>
                <w:sz w:val="20"/>
                <w:szCs w:val="20"/>
              </w:rPr>
            </w:pPr>
            <w:r>
              <w:rPr>
                <w:b/>
                <w:bCs/>
                <w:sz w:val="20"/>
                <w:szCs w:val="20"/>
              </w:rPr>
              <w:t>109,14</w:t>
            </w:r>
            <w:r>
              <w:rPr>
                <w:b/>
                <w:bCs/>
                <w:sz w:val="20"/>
                <w:szCs w:val="20"/>
              </w:rPr>
              <w:t>5</w:t>
            </w:r>
          </w:p>
        </w:tc>
        <w:tc>
          <w:tcPr>
            <w:tcW w:w="0" w:type="auto"/>
            <w:noWrap/>
            <w:vAlign w:val="bottom"/>
            <w:hideMark/>
          </w:tcPr>
          <w:p w14:paraId="69D5EFB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F5AB9E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69A3B5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5E263F3" w14:textId="77777777" w:rsidR="00000000" w:rsidRDefault="003A1B5D">
            <w:pPr>
              <w:pStyle w:val="a3"/>
              <w:spacing w:before="0" w:beforeAutospacing="0" w:after="0" w:afterAutospacing="0"/>
              <w:jc w:val="right"/>
              <w:rPr>
                <w:sz w:val="20"/>
                <w:szCs w:val="20"/>
              </w:rPr>
            </w:pPr>
            <w:r>
              <w:rPr>
                <w:sz w:val="20"/>
                <w:szCs w:val="20"/>
              </w:rPr>
              <w:t>(34,53</w:t>
            </w:r>
            <w:r>
              <w:rPr>
                <w:sz w:val="20"/>
                <w:szCs w:val="20"/>
              </w:rPr>
              <w:t>8</w:t>
            </w:r>
          </w:p>
        </w:tc>
        <w:tc>
          <w:tcPr>
            <w:tcW w:w="0" w:type="auto"/>
            <w:noWrap/>
            <w:vAlign w:val="bottom"/>
            <w:hideMark/>
          </w:tcPr>
          <w:p w14:paraId="19212CBC" w14:textId="77777777" w:rsidR="00000000" w:rsidRDefault="003A1B5D">
            <w:pPr>
              <w:pStyle w:val="a3"/>
              <w:spacing w:before="0" w:beforeAutospacing="0" w:after="0" w:afterAutospacing="0"/>
              <w:rPr>
                <w:sz w:val="20"/>
                <w:szCs w:val="20"/>
              </w:rPr>
            </w:pPr>
            <w:r>
              <w:rPr>
                <w:sz w:val="20"/>
                <w:szCs w:val="20"/>
              </w:rPr>
              <w:t>)</w:t>
            </w:r>
          </w:p>
        </w:tc>
      </w:tr>
      <w:tr w:rsidR="00000000" w14:paraId="6C09CC20" w14:textId="77777777">
        <w:trPr>
          <w:trHeight w:val="200"/>
          <w:tblCellSpacing w:w="15" w:type="dxa"/>
        </w:trPr>
        <w:tc>
          <w:tcPr>
            <w:tcW w:w="0" w:type="auto"/>
            <w:hideMark/>
          </w:tcPr>
          <w:p w14:paraId="1623B26D" w14:textId="77777777" w:rsidR="00000000" w:rsidRDefault="003A1B5D">
            <w:pPr>
              <w:pStyle w:val="a3"/>
              <w:spacing w:before="0" w:beforeAutospacing="0" w:after="0" w:afterAutospacing="0"/>
              <w:rPr>
                <w:sz w:val="20"/>
                <w:szCs w:val="20"/>
              </w:rPr>
            </w:pPr>
            <w:r>
              <w:rPr>
                <w:sz w:val="20"/>
                <w:szCs w:val="20"/>
              </w:rPr>
              <w:t>Expenses associated with debt repayments</w:t>
            </w:r>
            <w:r>
              <w:rPr>
                <w:sz w:val="20"/>
                <w:szCs w:val="20"/>
              </w:rPr>
              <w:br/>
              <w:t>    and refinancing transaction</w:t>
            </w:r>
            <w:r>
              <w:rPr>
                <w:sz w:val="20"/>
                <w:szCs w:val="20"/>
              </w:rPr>
              <w:t>s</w:t>
            </w:r>
          </w:p>
        </w:tc>
        <w:tc>
          <w:tcPr>
            <w:tcW w:w="0" w:type="auto"/>
            <w:vAlign w:val="bottom"/>
            <w:hideMark/>
          </w:tcPr>
          <w:p w14:paraId="7280AC4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D5D1D5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83B89D2" w14:textId="77777777" w:rsidR="00000000" w:rsidRDefault="003A1B5D">
            <w:pPr>
              <w:pStyle w:val="a3"/>
              <w:spacing w:before="0" w:beforeAutospacing="0" w:after="0" w:afterAutospacing="0"/>
              <w:jc w:val="right"/>
              <w:rPr>
                <w:sz w:val="20"/>
                <w:szCs w:val="20"/>
              </w:rPr>
            </w:pPr>
            <w:r>
              <w:rPr>
                <w:b/>
                <w:bCs/>
                <w:sz w:val="20"/>
                <w:szCs w:val="20"/>
              </w:rPr>
              <w:t>7,58</w:t>
            </w:r>
            <w:r>
              <w:rPr>
                <w:b/>
                <w:bCs/>
                <w:sz w:val="20"/>
                <w:szCs w:val="20"/>
              </w:rPr>
              <w:t>8</w:t>
            </w:r>
          </w:p>
        </w:tc>
        <w:tc>
          <w:tcPr>
            <w:tcW w:w="0" w:type="auto"/>
            <w:noWrap/>
            <w:vAlign w:val="bottom"/>
            <w:hideMark/>
          </w:tcPr>
          <w:p w14:paraId="6F22F06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A6D018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2E0396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F065E49" w14:textId="77777777" w:rsidR="00000000" w:rsidRDefault="003A1B5D">
            <w:pPr>
              <w:pStyle w:val="a3"/>
              <w:spacing w:before="0" w:beforeAutospacing="0" w:after="0" w:afterAutospacing="0"/>
              <w:jc w:val="right"/>
              <w:rPr>
                <w:sz w:val="20"/>
                <w:szCs w:val="20"/>
              </w:rPr>
            </w:pPr>
            <w:r>
              <w:rPr>
                <w:sz w:val="20"/>
                <w:szCs w:val="20"/>
              </w:rPr>
              <w:t>52,16</w:t>
            </w:r>
            <w:r>
              <w:rPr>
                <w:sz w:val="20"/>
                <w:szCs w:val="20"/>
              </w:rPr>
              <w:t>7</w:t>
            </w:r>
          </w:p>
        </w:tc>
        <w:tc>
          <w:tcPr>
            <w:tcW w:w="0" w:type="auto"/>
            <w:noWrap/>
            <w:vAlign w:val="bottom"/>
            <w:hideMark/>
          </w:tcPr>
          <w:p w14:paraId="125BEFC3" w14:textId="77777777" w:rsidR="00000000" w:rsidRDefault="003A1B5D">
            <w:pPr>
              <w:pStyle w:val="a3"/>
              <w:spacing w:before="0" w:beforeAutospacing="0" w:after="0" w:afterAutospacing="0"/>
              <w:rPr>
                <w:sz w:val="20"/>
                <w:szCs w:val="20"/>
              </w:rPr>
            </w:pPr>
            <w:r>
              <w:rPr>
                <w:sz w:val="20"/>
                <w:szCs w:val="20"/>
              </w:rPr>
              <w:t> </w:t>
            </w:r>
          </w:p>
        </w:tc>
      </w:tr>
      <w:tr w:rsidR="00000000" w14:paraId="33FDFFE9" w14:textId="77777777">
        <w:trPr>
          <w:trHeight w:val="200"/>
          <w:tblCellSpacing w:w="15" w:type="dxa"/>
        </w:trPr>
        <w:tc>
          <w:tcPr>
            <w:tcW w:w="0" w:type="auto"/>
            <w:hideMark/>
          </w:tcPr>
          <w:p w14:paraId="4EE8E1FB" w14:textId="77777777" w:rsidR="00000000" w:rsidRDefault="003A1B5D">
            <w:pPr>
              <w:pStyle w:val="a3"/>
              <w:spacing w:before="0" w:beforeAutospacing="0" w:after="0" w:afterAutospacing="0"/>
              <w:rPr>
                <w:sz w:val="20"/>
                <w:szCs w:val="20"/>
              </w:rPr>
            </w:pPr>
            <w:r>
              <w:rPr>
                <w:sz w:val="20"/>
                <w:szCs w:val="20"/>
              </w:rPr>
              <w:t>Expenses associated with COVID-1</w:t>
            </w:r>
            <w:r>
              <w:rPr>
                <w:sz w:val="20"/>
                <w:szCs w:val="20"/>
              </w:rPr>
              <w:t>9</w:t>
            </w:r>
          </w:p>
        </w:tc>
        <w:tc>
          <w:tcPr>
            <w:tcW w:w="0" w:type="auto"/>
            <w:vAlign w:val="bottom"/>
            <w:hideMark/>
          </w:tcPr>
          <w:p w14:paraId="57324BD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F94B2B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6995CD1" w14:textId="77777777" w:rsidR="00000000" w:rsidRDefault="003A1B5D">
            <w:pPr>
              <w:pStyle w:val="a3"/>
              <w:spacing w:before="0" w:beforeAutospacing="0" w:after="0" w:afterAutospacing="0"/>
              <w:jc w:val="right"/>
              <w:rPr>
                <w:sz w:val="20"/>
                <w:szCs w:val="20"/>
              </w:rPr>
            </w:pPr>
            <w:r>
              <w:rPr>
                <w:b/>
                <w:bCs/>
                <w:sz w:val="20"/>
                <w:szCs w:val="20"/>
              </w:rPr>
              <w:t>—</w:t>
            </w:r>
          </w:p>
        </w:tc>
        <w:tc>
          <w:tcPr>
            <w:tcW w:w="0" w:type="auto"/>
            <w:noWrap/>
            <w:vAlign w:val="bottom"/>
            <w:hideMark/>
          </w:tcPr>
          <w:p w14:paraId="048A903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2CAB8F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625A2C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CE3ADF3" w14:textId="77777777" w:rsidR="00000000" w:rsidRDefault="003A1B5D">
            <w:pPr>
              <w:pStyle w:val="a3"/>
              <w:spacing w:before="0" w:beforeAutospacing="0" w:after="0" w:afterAutospacing="0"/>
              <w:jc w:val="right"/>
              <w:rPr>
                <w:sz w:val="20"/>
                <w:szCs w:val="20"/>
              </w:rPr>
            </w:pPr>
            <w:r>
              <w:rPr>
                <w:sz w:val="20"/>
                <w:szCs w:val="20"/>
              </w:rPr>
              <w:t>2,43</w:t>
            </w:r>
            <w:r>
              <w:rPr>
                <w:sz w:val="20"/>
                <w:szCs w:val="20"/>
              </w:rPr>
              <w:t>4</w:t>
            </w:r>
          </w:p>
        </w:tc>
        <w:tc>
          <w:tcPr>
            <w:tcW w:w="0" w:type="auto"/>
            <w:noWrap/>
            <w:vAlign w:val="bottom"/>
            <w:hideMark/>
          </w:tcPr>
          <w:p w14:paraId="35951972" w14:textId="77777777" w:rsidR="00000000" w:rsidRDefault="003A1B5D">
            <w:pPr>
              <w:pStyle w:val="a3"/>
              <w:spacing w:before="0" w:beforeAutospacing="0" w:after="0" w:afterAutospacing="0"/>
              <w:rPr>
                <w:sz w:val="20"/>
                <w:szCs w:val="20"/>
              </w:rPr>
            </w:pPr>
            <w:r>
              <w:rPr>
                <w:sz w:val="20"/>
                <w:szCs w:val="20"/>
              </w:rPr>
              <w:t> </w:t>
            </w:r>
          </w:p>
        </w:tc>
      </w:tr>
      <w:tr w:rsidR="00000000" w14:paraId="69D29223" w14:textId="77777777">
        <w:trPr>
          <w:trHeight w:val="200"/>
          <w:tblCellSpacing w:w="15" w:type="dxa"/>
        </w:trPr>
        <w:tc>
          <w:tcPr>
            <w:tcW w:w="0" w:type="auto"/>
            <w:hideMark/>
          </w:tcPr>
          <w:p w14:paraId="324F4ACA" w14:textId="77777777" w:rsidR="00000000" w:rsidRDefault="003A1B5D">
            <w:pPr>
              <w:pStyle w:val="a3"/>
              <w:spacing w:before="0" w:beforeAutospacing="0" w:after="0" w:afterAutospacing="0"/>
              <w:rPr>
                <w:sz w:val="20"/>
                <w:szCs w:val="20"/>
              </w:rPr>
            </w:pPr>
            <w:r>
              <w:rPr>
                <w:sz w:val="20"/>
                <w:szCs w:val="20"/>
              </w:rPr>
              <w:t>Income taxes associated with change in corporate</w:t>
            </w:r>
            <w:r>
              <w:rPr>
                <w:sz w:val="20"/>
                <w:szCs w:val="20"/>
              </w:rPr>
              <w:br/>
              <w:t>   </w:t>
            </w:r>
            <w:r>
              <w:rPr>
                <w:sz w:val="20"/>
                <w:szCs w:val="20"/>
              </w:rPr>
              <w:t>tax structure and other special tax item</w:t>
            </w:r>
            <w:r>
              <w:rPr>
                <w:sz w:val="20"/>
                <w:szCs w:val="20"/>
              </w:rPr>
              <w:t>s</w:t>
            </w:r>
          </w:p>
        </w:tc>
        <w:tc>
          <w:tcPr>
            <w:tcW w:w="0" w:type="auto"/>
            <w:vAlign w:val="bottom"/>
            <w:hideMark/>
          </w:tcPr>
          <w:p w14:paraId="26F4E34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BBEED1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69B235E" w14:textId="77777777" w:rsidR="00000000" w:rsidRDefault="003A1B5D">
            <w:pPr>
              <w:pStyle w:val="a3"/>
              <w:spacing w:before="0" w:beforeAutospacing="0" w:after="0" w:afterAutospacing="0"/>
              <w:jc w:val="right"/>
              <w:rPr>
                <w:sz w:val="20"/>
                <w:szCs w:val="20"/>
              </w:rPr>
            </w:pPr>
            <w:r>
              <w:rPr>
                <w:b/>
                <w:bCs/>
                <w:sz w:val="20"/>
                <w:szCs w:val="20"/>
              </w:rPr>
              <w:t>—</w:t>
            </w:r>
          </w:p>
        </w:tc>
        <w:tc>
          <w:tcPr>
            <w:tcW w:w="0" w:type="auto"/>
            <w:noWrap/>
            <w:vAlign w:val="bottom"/>
            <w:hideMark/>
          </w:tcPr>
          <w:p w14:paraId="08A8789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227B9A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909683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8EF3907" w14:textId="77777777" w:rsidR="00000000" w:rsidRDefault="003A1B5D">
            <w:pPr>
              <w:pStyle w:val="a3"/>
              <w:spacing w:before="0" w:beforeAutospacing="0" w:after="0" w:afterAutospacing="0"/>
              <w:jc w:val="right"/>
              <w:rPr>
                <w:sz w:val="20"/>
                <w:szCs w:val="20"/>
              </w:rPr>
            </w:pPr>
            <w:r>
              <w:rPr>
                <w:sz w:val="20"/>
                <w:szCs w:val="20"/>
              </w:rPr>
              <w:t>114,24</w:t>
            </w:r>
            <w:r>
              <w:rPr>
                <w:sz w:val="20"/>
                <w:szCs w:val="20"/>
              </w:rPr>
              <w:t>9</w:t>
            </w:r>
          </w:p>
        </w:tc>
        <w:tc>
          <w:tcPr>
            <w:tcW w:w="0" w:type="auto"/>
            <w:noWrap/>
            <w:vAlign w:val="bottom"/>
            <w:hideMark/>
          </w:tcPr>
          <w:p w14:paraId="1C6BACD8" w14:textId="77777777" w:rsidR="00000000" w:rsidRDefault="003A1B5D">
            <w:pPr>
              <w:pStyle w:val="a3"/>
              <w:spacing w:before="0" w:beforeAutospacing="0" w:after="0" w:afterAutospacing="0"/>
              <w:rPr>
                <w:sz w:val="20"/>
                <w:szCs w:val="20"/>
              </w:rPr>
            </w:pPr>
            <w:r>
              <w:rPr>
                <w:sz w:val="20"/>
                <w:szCs w:val="20"/>
              </w:rPr>
              <w:t> </w:t>
            </w:r>
          </w:p>
        </w:tc>
      </w:tr>
      <w:tr w:rsidR="00000000" w14:paraId="420DF458" w14:textId="77777777">
        <w:trPr>
          <w:trHeight w:val="200"/>
          <w:tblCellSpacing w:w="15" w:type="dxa"/>
        </w:trPr>
        <w:tc>
          <w:tcPr>
            <w:tcW w:w="0" w:type="auto"/>
            <w:hideMark/>
          </w:tcPr>
          <w:p w14:paraId="4E3D4758" w14:textId="77777777" w:rsidR="00000000" w:rsidRDefault="003A1B5D">
            <w:pPr>
              <w:pStyle w:val="a3"/>
              <w:spacing w:before="0" w:beforeAutospacing="0" w:after="0" w:afterAutospacing="0"/>
              <w:rPr>
                <w:sz w:val="20"/>
                <w:szCs w:val="20"/>
              </w:rPr>
            </w:pPr>
            <w:r>
              <w:rPr>
                <w:sz w:val="20"/>
                <w:szCs w:val="20"/>
              </w:rPr>
              <w:t>Shareholder litigation expens</w:t>
            </w:r>
            <w:r>
              <w:rPr>
                <w:sz w:val="20"/>
                <w:szCs w:val="20"/>
              </w:rPr>
              <w:t>e</w:t>
            </w:r>
          </w:p>
        </w:tc>
        <w:tc>
          <w:tcPr>
            <w:tcW w:w="0" w:type="auto"/>
            <w:vAlign w:val="bottom"/>
            <w:hideMark/>
          </w:tcPr>
          <w:p w14:paraId="1FE6D3C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5569CA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6C5ABEF" w14:textId="77777777" w:rsidR="00000000" w:rsidRDefault="003A1B5D">
            <w:pPr>
              <w:pStyle w:val="a3"/>
              <w:spacing w:before="0" w:beforeAutospacing="0" w:after="0" w:afterAutospacing="0"/>
              <w:jc w:val="right"/>
              <w:rPr>
                <w:sz w:val="20"/>
                <w:szCs w:val="20"/>
              </w:rPr>
            </w:pPr>
            <w:r>
              <w:rPr>
                <w:b/>
                <w:bCs/>
                <w:sz w:val="20"/>
                <w:szCs w:val="20"/>
              </w:rPr>
              <w:t>1,90</w:t>
            </w:r>
            <w:r>
              <w:rPr>
                <w:b/>
                <w:bCs/>
                <w:sz w:val="20"/>
                <w:szCs w:val="20"/>
              </w:rPr>
              <w:t>0</w:t>
            </w:r>
          </w:p>
        </w:tc>
        <w:tc>
          <w:tcPr>
            <w:tcW w:w="0" w:type="auto"/>
            <w:noWrap/>
            <w:vAlign w:val="bottom"/>
            <w:hideMark/>
          </w:tcPr>
          <w:p w14:paraId="3861B8E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7FE6D6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6B7BDD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1FACE81" w14:textId="77777777" w:rsidR="00000000" w:rsidRDefault="003A1B5D">
            <w:pPr>
              <w:pStyle w:val="a3"/>
              <w:spacing w:before="0" w:beforeAutospacing="0" w:after="0" w:afterAutospacing="0"/>
              <w:jc w:val="right"/>
              <w:rPr>
                <w:sz w:val="20"/>
                <w:szCs w:val="20"/>
              </w:rPr>
            </w:pPr>
            <w:r>
              <w:rPr>
                <w:sz w:val="20"/>
                <w:szCs w:val="20"/>
              </w:rPr>
              <w:t>54,29</w:t>
            </w:r>
            <w:r>
              <w:rPr>
                <w:sz w:val="20"/>
                <w:szCs w:val="20"/>
              </w:rPr>
              <w:t>5</w:t>
            </w:r>
          </w:p>
        </w:tc>
        <w:tc>
          <w:tcPr>
            <w:tcW w:w="0" w:type="auto"/>
            <w:noWrap/>
            <w:vAlign w:val="bottom"/>
            <w:hideMark/>
          </w:tcPr>
          <w:p w14:paraId="2DD0E5D5" w14:textId="77777777" w:rsidR="00000000" w:rsidRDefault="003A1B5D">
            <w:pPr>
              <w:pStyle w:val="a3"/>
              <w:spacing w:before="0" w:beforeAutospacing="0" w:after="0" w:afterAutospacing="0"/>
              <w:rPr>
                <w:sz w:val="20"/>
                <w:szCs w:val="20"/>
              </w:rPr>
            </w:pPr>
            <w:r>
              <w:rPr>
                <w:sz w:val="20"/>
                <w:szCs w:val="20"/>
              </w:rPr>
              <w:t> </w:t>
            </w:r>
          </w:p>
        </w:tc>
      </w:tr>
      <w:tr w:rsidR="00000000" w14:paraId="0897288C" w14:textId="77777777">
        <w:trPr>
          <w:trHeight w:val="200"/>
          <w:tblCellSpacing w:w="15" w:type="dxa"/>
        </w:trPr>
        <w:tc>
          <w:tcPr>
            <w:tcW w:w="0" w:type="auto"/>
            <w:hideMark/>
          </w:tcPr>
          <w:p w14:paraId="2C63B740" w14:textId="77777777" w:rsidR="00000000" w:rsidRDefault="003A1B5D">
            <w:pPr>
              <w:pStyle w:val="a3"/>
              <w:spacing w:before="0" w:beforeAutospacing="0" w:after="0" w:afterAutospacing="0"/>
              <w:rPr>
                <w:sz w:val="20"/>
                <w:szCs w:val="20"/>
              </w:rPr>
            </w:pPr>
            <w:r>
              <w:rPr>
                <w:sz w:val="20"/>
                <w:szCs w:val="20"/>
              </w:rPr>
              <w:t>Goodwill and other impairment</w:t>
            </w:r>
            <w:r>
              <w:rPr>
                <w:sz w:val="20"/>
                <w:szCs w:val="20"/>
              </w:rPr>
              <w:t>s</w:t>
            </w:r>
          </w:p>
        </w:tc>
        <w:tc>
          <w:tcPr>
            <w:tcW w:w="0" w:type="auto"/>
            <w:vAlign w:val="bottom"/>
            <w:hideMark/>
          </w:tcPr>
          <w:p w14:paraId="0879DF9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682F5A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915D232" w14:textId="77777777" w:rsidR="00000000" w:rsidRDefault="003A1B5D">
            <w:pPr>
              <w:pStyle w:val="a3"/>
              <w:spacing w:before="0" w:beforeAutospacing="0" w:after="0" w:afterAutospacing="0"/>
              <w:jc w:val="right"/>
              <w:rPr>
                <w:sz w:val="20"/>
                <w:szCs w:val="20"/>
              </w:rPr>
            </w:pPr>
            <w:r>
              <w:rPr>
                <w:b/>
                <w:bCs/>
                <w:sz w:val="20"/>
                <w:szCs w:val="20"/>
              </w:rPr>
              <w:t>—</w:t>
            </w:r>
          </w:p>
        </w:tc>
        <w:tc>
          <w:tcPr>
            <w:tcW w:w="0" w:type="auto"/>
            <w:noWrap/>
            <w:vAlign w:val="bottom"/>
            <w:hideMark/>
          </w:tcPr>
          <w:p w14:paraId="452D7E3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D4ECFD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388C4E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0F76CC6" w14:textId="77777777" w:rsidR="00000000" w:rsidRDefault="003A1B5D">
            <w:pPr>
              <w:pStyle w:val="a3"/>
              <w:spacing w:before="0" w:beforeAutospacing="0" w:after="0" w:afterAutospacing="0"/>
              <w:jc w:val="right"/>
              <w:rPr>
                <w:sz w:val="20"/>
                <w:szCs w:val="20"/>
              </w:rPr>
            </w:pPr>
            <w:r>
              <w:rPr>
                <w:sz w:val="20"/>
                <w:szCs w:val="20"/>
              </w:rPr>
              <w:t>8,04</w:t>
            </w:r>
            <w:r>
              <w:rPr>
                <w:sz w:val="20"/>
                <w:szCs w:val="20"/>
              </w:rPr>
              <w:t>3</w:t>
            </w:r>
          </w:p>
        </w:tc>
        <w:tc>
          <w:tcPr>
            <w:tcW w:w="0" w:type="auto"/>
            <w:noWrap/>
            <w:vAlign w:val="bottom"/>
            <w:hideMark/>
          </w:tcPr>
          <w:p w14:paraId="6F14B601" w14:textId="77777777" w:rsidR="00000000" w:rsidRDefault="003A1B5D">
            <w:pPr>
              <w:pStyle w:val="a3"/>
              <w:spacing w:before="0" w:beforeAutospacing="0" w:after="0" w:afterAutospacing="0"/>
              <w:rPr>
                <w:sz w:val="20"/>
                <w:szCs w:val="20"/>
              </w:rPr>
            </w:pPr>
            <w:r>
              <w:rPr>
                <w:sz w:val="20"/>
                <w:szCs w:val="20"/>
              </w:rPr>
              <w:t> </w:t>
            </w:r>
          </w:p>
        </w:tc>
      </w:tr>
      <w:tr w:rsidR="00000000" w14:paraId="34B3D17D" w14:textId="77777777">
        <w:trPr>
          <w:trHeight w:val="200"/>
          <w:tblCellSpacing w:w="15" w:type="dxa"/>
        </w:trPr>
        <w:tc>
          <w:tcPr>
            <w:tcW w:w="0" w:type="auto"/>
            <w:hideMark/>
          </w:tcPr>
          <w:p w14:paraId="29FB30CB" w14:textId="77777777" w:rsidR="00000000" w:rsidRDefault="003A1B5D">
            <w:pPr>
              <w:pStyle w:val="a3"/>
              <w:spacing w:before="0" w:beforeAutospacing="0" w:after="0" w:afterAutospacing="0"/>
              <w:rPr>
                <w:sz w:val="20"/>
                <w:szCs w:val="20"/>
              </w:rPr>
            </w:pPr>
            <w:r>
              <w:rPr>
                <w:sz w:val="20"/>
                <w:szCs w:val="20"/>
              </w:rPr>
              <w:t>Income tax benefit for special item</w:t>
            </w:r>
            <w:r>
              <w:rPr>
                <w:sz w:val="20"/>
                <w:szCs w:val="20"/>
              </w:rPr>
              <w:t>s</w:t>
            </w:r>
          </w:p>
        </w:tc>
        <w:tc>
          <w:tcPr>
            <w:tcW w:w="0" w:type="auto"/>
            <w:vAlign w:val="bottom"/>
            <w:hideMark/>
          </w:tcPr>
          <w:p w14:paraId="248B9C7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AFF187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75B4C46" w14:textId="77777777" w:rsidR="00000000" w:rsidRDefault="003A1B5D">
            <w:pPr>
              <w:pStyle w:val="a3"/>
              <w:spacing w:before="0" w:beforeAutospacing="0" w:after="0" w:afterAutospacing="0"/>
              <w:jc w:val="right"/>
              <w:rPr>
                <w:sz w:val="20"/>
                <w:szCs w:val="20"/>
              </w:rPr>
            </w:pPr>
            <w:r>
              <w:rPr>
                <w:b/>
                <w:bCs/>
                <w:sz w:val="20"/>
                <w:szCs w:val="20"/>
              </w:rPr>
              <w:t>(2,53</w:t>
            </w:r>
            <w:r>
              <w:rPr>
                <w:b/>
                <w:bCs/>
                <w:sz w:val="20"/>
                <w:szCs w:val="20"/>
              </w:rPr>
              <w:t>0</w:t>
            </w:r>
          </w:p>
        </w:tc>
        <w:tc>
          <w:tcPr>
            <w:tcW w:w="0" w:type="auto"/>
            <w:noWrap/>
            <w:vAlign w:val="bottom"/>
            <w:hideMark/>
          </w:tcPr>
          <w:p w14:paraId="148A039B"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0DB9138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02FAB3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FC83027" w14:textId="77777777" w:rsidR="00000000" w:rsidRDefault="003A1B5D">
            <w:pPr>
              <w:pStyle w:val="a3"/>
              <w:spacing w:before="0" w:beforeAutospacing="0" w:after="0" w:afterAutospacing="0"/>
              <w:jc w:val="right"/>
              <w:rPr>
                <w:sz w:val="20"/>
                <w:szCs w:val="20"/>
              </w:rPr>
            </w:pPr>
            <w:r>
              <w:rPr>
                <w:sz w:val="20"/>
                <w:szCs w:val="20"/>
              </w:rPr>
              <w:t>(28,98</w:t>
            </w:r>
            <w:r>
              <w:rPr>
                <w:sz w:val="20"/>
                <w:szCs w:val="20"/>
              </w:rPr>
              <w:t>5</w:t>
            </w:r>
          </w:p>
        </w:tc>
        <w:tc>
          <w:tcPr>
            <w:tcW w:w="0" w:type="auto"/>
            <w:noWrap/>
            <w:vAlign w:val="bottom"/>
            <w:hideMark/>
          </w:tcPr>
          <w:p w14:paraId="0DEC1379" w14:textId="77777777" w:rsidR="00000000" w:rsidRDefault="003A1B5D">
            <w:pPr>
              <w:pStyle w:val="a3"/>
              <w:spacing w:before="0" w:beforeAutospacing="0" w:after="0" w:afterAutospacing="0"/>
              <w:rPr>
                <w:sz w:val="20"/>
                <w:szCs w:val="20"/>
              </w:rPr>
            </w:pPr>
            <w:r>
              <w:rPr>
                <w:sz w:val="20"/>
                <w:szCs w:val="20"/>
              </w:rPr>
              <w:t>)</w:t>
            </w:r>
          </w:p>
        </w:tc>
      </w:tr>
      <w:tr w:rsidR="00000000" w14:paraId="060D3B11" w14:textId="77777777">
        <w:trPr>
          <w:trHeight w:val="200"/>
          <w:tblCellSpacing w:w="15" w:type="dxa"/>
        </w:trPr>
        <w:tc>
          <w:tcPr>
            <w:tcW w:w="0" w:type="auto"/>
            <w:hideMark/>
          </w:tcPr>
          <w:p w14:paraId="71787BA7" w14:textId="77777777" w:rsidR="00000000" w:rsidRDefault="003A1B5D">
            <w:pPr>
              <w:pStyle w:val="a3"/>
              <w:spacing w:before="0" w:beforeAutospacing="0" w:after="0" w:afterAutospacing="0"/>
              <w:ind w:left="200"/>
              <w:rPr>
                <w:sz w:val="20"/>
                <w:szCs w:val="20"/>
              </w:rPr>
            </w:pPr>
            <w:r>
              <w:rPr>
                <w:sz w:val="20"/>
                <w:szCs w:val="20"/>
              </w:rPr>
              <w:t>Normalized Funds From Operation</w:t>
            </w:r>
            <w:r>
              <w:rPr>
                <w:sz w:val="20"/>
                <w:szCs w:val="20"/>
              </w:rPr>
              <w:t>s</w:t>
            </w:r>
          </w:p>
        </w:tc>
        <w:tc>
          <w:tcPr>
            <w:tcW w:w="0" w:type="auto"/>
            <w:vAlign w:val="bottom"/>
            <w:hideMark/>
          </w:tcPr>
          <w:p w14:paraId="362CAE4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B27AAE5"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6BD3F4BF" w14:textId="77777777" w:rsidR="00000000" w:rsidRDefault="003A1B5D">
            <w:pPr>
              <w:pStyle w:val="a3"/>
              <w:spacing w:before="0" w:beforeAutospacing="0" w:after="0" w:afterAutospacing="0"/>
              <w:jc w:val="right"/>
              <w:rPr>
                <w:sz w:val="20"/>
                <w:szCs w:val="20"/>
              </w:rPr>
            </w:pPr>
            <w:r>
              <w:rPr>
                <w:b/>
                <w:bCs/>
                <w:sz w:val="20"/>
                <w:szCs w:val="20"/>
              </w:rPr>
              <w:t>116,10</w:t>
            </w:r>
            <w:r>
              <w:rPr>
                <w:b/>
                <w:bCs/>
                <w:sz w:val="20"/>
                <w:szCs w:val="20"/>
              </w:rPr>
              <w:t>3</w:t>
            </w:r>
          </w:p>
        </w:tc>
        <w:tc>
          <w:tcPr>
            <w:tcW w:w="0" w:type="auto"/>
            <w:noWrap/>
            <w:vAlign w:val="bottom"/>
            <w:hideMark/>
          </w:tcPr>
          <w:p w14:paraId="3D61306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48AEAB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05B154A"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714CBB87" w14:textId="77777777" w:rsidR="00000000" w:rsidRDefault="003A1B5D">
            <w:pPr>
              <w:pStyle w:val="a3"/>
              <w:spacing w:before="0" w:beforeAutospacing="0" w:after="0" w:afterAutospacing="0"/>
              <w:jc w:val="right"/>
              <w:rPr>
                <w:sz w:val="20"/>
                <w:szCs w:val="20"/>
              </w:rPr>
            </w:pPr>
            <w:r>
              <w:rPr>
                <w:sz w:val="20"/>
                <w:szCs w:val="20"/>
              </w:rPr>
              <w:t>167,66</w:t>
            </w:r>
            <w:r>
              <w:rPr>
                <w:sz w:val="20"/>
                <w:szCs w:val="20"/>
              </w:rPr>
              <w:t>5</w:t>
            </w:r>
          </w:p>
        </w:tc>
        <w:tc>
          <w:tcPr>
            <w:tcW w:w="0" w:type="auto"/>
            <w:noWrap/>
            <w:vAlign w:val="bottom"/>
            <w:hideMark/>
          </w:tcPr>
          <w:p w14:paraId="27C32FCB" w14:textId="77777777" w:rsidR="00000000" w:rsidRDefault="003A1B5D">
            <w:pPr>
              <w:pStyle w:val="a3"/>
              <w:spacing w:before="0" w:beforeAutospacing="0" w:after="0" w:afterAutospacing="0"/>
              <w:rPr>
                <w:sz w:val="20"/>
                <w:szCs w:val="20"/>
              </w:rPr>
            </w:pPr>
            <w:r>
              <w:rPr>
                <w:sz w:val="20"/>
                <w:szCs w:val="20"/>
              </w:rPr>
              <w:t> </w:t>
            </w:r>
          </w:p>
        </w:tc>
      </w:tr>
    </w:tbl>
    <w:p w14:paraId="449FB71E" w14:textId="77777777" w:rsidR="00000000" w:rsidRDefault="003A1B5D">
      <w:pPr>
        <w:pStyle w:val="a3"/>
        <w:spacing w:before="0" w:beforeAutospacing="0" w:after="0" w:afterAutospacing="0"/>
        <w:rPr>
          <w:sz w:val="20"/>
          <w:szCs w:val="20"/>
        </w:rPr>
      </w:pPr>
      <w:r>
        <w:rPr>
          <w:sz w:val="20"/>
          <w:szCs w:val="20"/>
        </w:rPr>
        <w:t> </w:t>
      </w:r>
    </w:p>
    <w:p w14:paraId="3E40DFBA" w14:textId="77777777" w:rsidR="00000000" w:rsidRDefault="003A1B5D">
      <w:pPr>
        <w:pStyle w:val="a3"/>
        <w:spacing w:before="240" w:beforeAutospacing="0" w:after="0" w:afterAutospacing="0"/>
        <w:jc w:val="center"/>
        <w:rPr>
          <w:sz w:val="20"/>
          <w:szCs w:val="20"/>
        </w:rPr>
      </w:pPr>
      <w:r>
        <w:rPr>
          <w:sz w:val="20"/>
          <w:szCs w:val="20"/>
        </w:rPr>
        <w:t>4</w:t>
      </w:r>
      <w:r>
        <w:rPr>
          <w:sz w:val="20"/>
          <w:szCs w:val="20"/>
        </w:rPr>
        <w:t>2</w:t>
      </w:r>
    </w:p>
    <w:p w14:paraId="59D3B6A3" w14:textId="77777777" w:rsidR="00000000" w:rsidRDefault="003A1B5D">
      <w:pPr>
        <w:rPr>
          <w:rFonts w:eastAsia="Times New Roman"/>
        </w:rPr>
      </w:pPr>
      <w:r>
        <w:rPr>
          <w:rFonts w:eastAsia="Times New Roman"/>
        </w:rPr>
        <w:pict w14:anchorId="38EC6150">
          <v:rect id="_x0000_i1068" style="width:0;height:1.5pt" o:hralign="center" o:hrstd="t" o:hr="t" fillcolor="#a0a0a0" stroked="f"/>
        </w:pict>
      </w:r>
    </w:p>
    <w:p w14:paraId="2A1283C7" w14:textId="77777777" w:rsidR="00000000" w:rsidRDefault="003A1B5D">
      <w:pPr>
        <w:pStyle w:val="a3"/>
        <w:spacing w:before="0" w:beforeAutospacing="0" w:after="0" w:afterAutospacing="0"/>
        <w:rPr>
          <w:sz w:val="20"/>
          <w:szCs w:val="20"/>
        </w:rPr>
      </w:pPr>
      <w:r>
        <w:rPr>
          <w:sz w:val="20"/>
          <w:szCs w:val="20"/>
        </w:rPr>
        <w:t> </w:t>
      </w:r>
    </w:p>
    <w:p w14:paraId="235626BC" w14:textId="77777777" w:rsidR="00000000" w:rsidRDefault="003A1B5D">
      <w:pPr>
        <w:pStyle w:val="a3"/>
        <w:spacing w:before="160" w:beforeAutospacing="0" w:after="0" w:afterAutospacing="0"/>
        <w:jc w:val="both"/>
        <w:rPr>
          <w:sz w:val="20"/>
          <w:szCs w:val="20"/>
        </w:rPr>
      </w:pPr>
      <w:r>
        <w:rPr>
          <w:sz w:val="20"/>
          <w:szCs w:val="20"/>
        </w:rPr>
        <w:t> </w:t>
      </w:r>
    </w:p>
    <w:p w14:paraId="3B18D20A" w14:textId="77777777" w:rsidR="00000000" w:rsidRDefault="003A1B5D">
      <w:pPr>
        <w:pStyle w:val="a3"/>
        <w:spacing w:before="160" w:beforeAutospacing="0" w:after="0" w:afterAutospacing="0"/>
        <w:jc w:val="both"/>
        <w:rPr>
          <w:sz w:val="20"/>
          <w:szCs w:val="20"/>
        </w:rPr>
      </w:pPr>
      <w:r>
        <w:rPr>
          <w:b/>
          <w:bCs/>
          <w:sz w:val="20"/>
          <w:szCs w:val="20"/>
        </w:rPr>
        <w:t>Material Cash Requirement</w:t>
      </w:r>
      <w:r>
        <w:rPr>
          <w:b/>
          <w:bCs/>
          <w:sz w:val="20"/>
          <w:szCs w:val="20"/>
        </w:rPr>
        <w:t>s</w:t>
      </w:r>
    </w:p>
    <w:p w14:paraId="423E9802" w14:textId="77777777" w:rsidR="00000000" w:rsidRDefault="003A1B5D">
      <w:pPr>
        <w:pStyle w:val="a3"/>
        <w:spacing w:before="120" w:beforeAutospacing="0" w:after="0" w:afterAutospacing="0"/>
        <w:jc w:val="both"/>
        <w:rPr>
          <w:sz w:val="20"/>
          <w:szCs w:val="20"/>
        </w:rPr>
      </w:pPr>
      <w:r>
        <w:rPr>
          <w:sz w:val="20"/>
          <w:szCs w:val="20"/>
        </w:rPr>
        <w:t>The following schedule summarizes our contractual cash obligations by the indicated period as of September 30, 2022 (in thousands)</w:t>
      </w:r>
      <w:r>
        <w:rPr>
          <w:sz w:val="20"/>
          <w:szCs w:val="20"/>
        </w:rPr>
        <w:t>:</w:t>
      </w:r>
    </w:p>
    <w:p w14:paraId="765A5E6A" w14:textId="77777777" w:rsidR="00000000" w:rsidRDefault="003A1B5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86"/>
        <w:gridCol w:w="110"/>
        <w:gridCol w:w="161"/>
        <w:gridCol w:w="741"/>
        <w:gridCol w:w="110"/>
        <w:gridCol w:w="110"/>
        <w:gridCol w:w="160"/>
        <w:gridCol w:w="710"/>
        <w:gridCol w:w="110"/>
        <w:gridCol w:w="110"/>
        <w:gridCol w:w="160"/>
        <w:gridCol w:w="710"/>
        <w:gridCol w:w="110"/>
        <w:gridCol w:w="110"/>
        <w:gridCol w:w="160"/>
        <w:gridCol w:w="710"/>
        <w:gridCol w:w="110"/>
        <w:gridCol w:w="110"/>
        <w:gridCol w:w="160"/>
        <w:gridCol w:w="710"/>
        <w:gridCol w:w="110"/>
        <w:gridCol w:w="110"/>
        <w:gridCol w:w="160"/>
        <w:gridCol w:w="710"/>
        <w:gridCol w:w="110"/>
        <w:gridCol w:w="110"/>
        <w:gridCol w:w="160"/>
        <w:gridCol w:w="860"/>
        <w:gridCol w:w="125"/>
      </w:tblGrid>
      <w:tr w:rsidR="00000000" w14:paraId="0F45F6B8" w14:textId="77777777">
        <w:trPr>
          <w:tblCellSpacing w:w="15" w:type="dxa"/>
        </w:trPr>
        <w:tc>
          <w:tcPr>
            <w:tcW w:w="1829" w:type="pct"/>
            <w:vAlign w:val="center"/>
            <w:hideMark/>
          </w:tcPr>
          <w:p w14:paraId="03E4F29C" w14:textId="77777777" w:rsidR="00000000" w:rsidRDefault="003A1B5D">
            <w:pPr>
              <w:rPr>
                <w:sz w:val="20"/>
                <w:szCs w:val="20"/>
              </w:rPr>
            </w:pPr>
          </w:p>
        </w:tc>
        <w:tc>
          <w:tcPr>
            <w:tcW w:w="50" w:type="pct"/>
            <w:vAlign w:val="center"/>
            <w:hideMark/>
          </w:tcPr>
          <w:p w14:paraId="013C05F2" w14:textId="77777777" w:rsidR="00000000" w:rsidRDefault="003A1B5D">
            <w:pPr>
              <w:rPr>
                <w:rFonts w:eastAsia="Times New Roman"/>
                <w:sz w:val="20"/>
                <w:szCs w:val="20"/>
              </w:rPr>
            </w:pPr>
          </w:p>
        </w:tc>
        <w:tc>
          <w:tcPr>
            <w:tcW w:w="50" w:type="pct"/>
            <w:vAlign w:val="center"/>
            <w:hideMark/>
          </w:tcPr>
          <w:p w14:paraId="76BCBC06" w14:textId="77777777" w:rsidR="00000000" w:rsidRDefault="003A1B5D">
            <w:pPr>
              <w:rPr>
                <w:rFonts w:eastAsia="Times New Roman"/>
                <w:sz w:val="20"/>
                <w:szCs w:val="20"/>
              </w:rPr>
            </w:pPr>
          </w:p>
        </w:tc>
        <w:tc>
          <w:tcPr>
            <w:tcW w:w="309" w:type="pct"/>
            <w:vAlign w:val="center"/>
            <w:hideMark/>
          </w:tcPr>
          <w:p w14:paraId="41862B57" w14:textId="77777777" w:rsidR="00000000" w:rsidRDefault="003A1B5D">
            <w:pPr>
              <w:rPr>
                <w:rFonts w:eastAsia="Times New Roman"/>
                <w:sz w:val="20"/>
                <w:szCs w:val="20"/>
              </w:rPr>
            </w:pPr>
          </w:p>
        </w:tc>
        <w:tc>
          <w:tcPr>
            <w:tcW w:w="50" w:type="pct"/>
            <w:vAlign w:val="center"/>
            <w:hideMark/>
          </w:tcPr>
          <w:p w14:paraId="5339830B" w14:textId="77777777" w:rsidR="00000000" w:rsidRDefault="003A1B5D">
            <w:pPr>
              <w:rPr>
                <w:rFonts w:eastAsia="Times New Roman"/>
                <w:sz w:val="20"/>
                <w:szCs w:val="20"/>
              </w:rPr>
            </w:pPr>
          </w:p>
        </w:tc>
        <w:tc>
          <w:tcPr>
            <w:tcW w:w="50" w:type="pct"/>
            <w:vAlign w:val="center"/>
            <w:hideMark/>
          </w:tcPr>
          <w:p w14:paraId="6065200D" w14:textId="77777777" w:rsidR="00000000" w:rsidRDefault="003A1B5D">
            <w:pPr>
              <w:rPr>
                <w:rFonts w:eastAsia="Times New Roman"/>
                <w:sz w:val="20"/>
                <w:szCs w:val="20"/>
              </w:rPr>
            </w:pPr>
          </w:p>
        </w:tc>
        <w:tc>
          <w:tcPr>
            <w:tcW w:w="50" w:type="pct"/>
            <w:vAlign w:val="center"/>
            <w:hideMark/>
          </w:tcPr>
          <w:p w14:paraId="228B7182" w14:textId="77777777" w:rsidR="00000000" w:rsidRDefault="003A1B5D">
            <w:pPr>
              <w:rPr>
                <w:rFonts w:eastAsia="Times New Roman"/>
                <w:sz w:val="20"/>
                <w:szCs w:val="20"/>
              </w:rPr>
            </w:pPr>
          </w:p>
        </w:tc>
        <w:tc>
          <w:tcPr>
            <w:tcW w:w="286" w:type="pct"/>
            <w:vAlign w:val="center"/>
            <w:hideMark/>
          </w:tcPr>
          <w:p w14:paraId="5A8E5973" w14:textId="77777777" w:rsidR="00000000" w:rsidRDefault="003A1B5D">
            <w:pPr>
              <w:rPr>
                <w:rFonts w:eastAsia="Times New Roman"/>
                <w:sz w:val="20"/>
                <w:szCs w:val="20"/>
              </w:rPr>
            </w:pPr>
          </w:p>
        </w:tc>
        <w:tc>
          <w:tcPr>
            <w:tcW w:w="50" w:type="pct"/>
            <w:vAlign w:val="center"/>
            <w:hideMark/>
          </w:tcPr>
          <w:p w14:paraId="220A66B9" w14:textId="77777777" w:rsidR="00000000" w:rsidRDefault="003A1B5D">
            <w:pPr>
              <w:rPr>
                <w:rFonts w:eastAsia="Times New Roman"/>
                <w:sz w:val="20"/>
                <w:szCs w:val="20"/>
              </w:rPr>
            </w:pPr>
          </w:p>
        </w:tc>
        <w:tc>
          <w:tcPr>
            <w:tcW w:w="50" w:type="pct"/>
            <w:vAlign w:val="center"/>
            <w:hideMark/>
          </w:tcPr>
          <w:p w14:paraId="041387CD" w14:textId="77777777" w:rsidR="00000000" w:rsidRDefault="003A1B5D">
            <w:pPr>
              <w:rPr>
                <w:rFonts w:eastAsia="Times New Roman"/>
                <w:sz w:val="20"/>
                <w:szCs w:val="20"/>
              </w:rPr>
            </w:pPr>
          </w:p>
        </w:tc>
        <w:tc>
          <w:tcPr>
            <w:tcW w:w="50" w:type="pct"/>
            <w:vAlign w:val="center"/>
            <w:hideMark/>
          </w:tcPr>
          <w:p w14:paraId="7C4D669C" w14:textId="77777777" w:rsidR="00000000" w:rsidRDefault="003A1B5D">
            <w:pPr>
              <w:rPr>
                <w:rFonts w:eastAsia="Times New Roman"/>
                <w:sz w:val="20"/>
                <w:szCs w:val="20"/>
              </w:rPr>
            </w:pPr>
          </w:p>
        </w:tc>
        <w:tc>
          <w:tcPr>
            <w:tcW w:w="286" w:type="pct"/>
            <w:vAlign w:val="center"/>
            <w:hideMark/>
          </w:tcPr>
          <w:p w14:paraId="40667624" w14:textId="77777777" w:rsidR="00000000" w:rsidRDefault="003A1B5D">
            <w:pPr>
              <w:rPr>
                <w:rFonts w:eastAsia="Times New Roman"/>
                <w:sz w:val="20"/>
                <w:szCs w:val="20"/>
              </w:rPr>
            </w:pPr>
          </w:p>
        </w:tc>
        <w:tc>
          <w:tcPr>
            <w:tcW w:w="50" w:type="pct"/>
            <w:vAlign w:val="center"/>
            <w:hideMark/>
          </w:tcPr>
          <w:p w14:paraId="35CF2C81" w14:textId="77777777" w:rsidR="00000000" w:rsidRDefault="003A1B5D">
            <w:pPr>
              <w:rPr>
                <w:rFonts w:eastAsia="Times New Roman"/>
                <w:sz w:val="20"/>
                <w:szCs w:val="20"/>
              </w:rPr>
            </w:pPr>
          </w:p>
        </w:tc>
        <w:tc>
          <w:tcPr>
            <w:tcW w:w="50" w:type="pct"/>
            <w:vAlign w:val="center"/>
            <w:hideMark/>
          </w:tcPr>
          <w:p w14:paraId="67EB1A24" w14:textId="77777777" w:rsidR="00000000" w:rsidRDefault="003A1B5D">
            <w:pPr>
              <w:rPr>
                <w:rFonts w:eastAsia="Times New Roman"/>
                <w:sz w:val="20"/>
                <w:szCs w:val="20"/>
              </w:rPr>
            </w:pPr>
          </w:p>
        </w:tc>
        <w:tc>
          <w:tcPr>
            <w:tcW w:w="50" w:type="pct"/>
            <w:vAlign w:val="center"/>
            <w:hideMark/>
          </w:tcPr>
          <w:p w14:paraId="4156C9A5" w14:textId="77777777" w:rsidR="00000000" w:rsidRDefault="003A1B5D">
            <w:pPr>
              <w:rPr>
                <w:rFonts w:eastAsia="Times New Roman"/>
                <w:sz w:val="20"/>
                <w:szCs w:val="20"/>
              </w:rPr>
            </w:pPr>
          </w:p>
        </w:tc>
        <w:tc>
          <w:tcPr>
            <w:tcW w:w="286" w:type="pct"/>
            <w:vAlign w:val="center"/>
            <w:hideMark/>
          </w:tcPr>
          <w:p w14:paraId="39828E5E" w14:textId="77777777" w:rsidR="00000000" w:rsidRDefault="003A1B5D">
            <w:pPr>
              <w:rPr>
                <w:rFonts w:eastAsia="Times New Roman"/>
                <w:sz w:val="20"/>
                <w:szCs w:val="20"/>
              </w:rPr>
            </w:pPr>
          </w:p>
        </w:tc>
        <w:tc>
          <w:tcPr>
            <w:tcW w:w="50" w:type="pct"/>
            <w:vAlign w:val="center"/>
            <w:hideMark/>
          </w:tcPr>
          <w:p w14:paraId="609C744D" w14:textId="77777777" w:rsidR="00000000" w:rsidRDefault="003A1B5D">
            <w:pPr>
              <w:rPr>
                <w:rFonts w:eastAsia="Times New Roman"/>
                <w:sz w:val="20"/>
                <w:szCs w:val="20"/>
              </w:rPr>
            </w:pPr>
          </w:p>
        </w:tc>
        <w:tc>
          <w:tcPr>
            <w:tcW w:w="50" w:type="pct"/>
            <w:vAlign w:val="center"/>
            <w:hideMark/>
          </w:tcPr>
          <w:p w14:paraId="6D26AB1A" w14:textId="77777777" w:rsidR="00000000" w:rsidRDefault="003A1B5D">
            <w:pPr>
              <w:rPr>
                <w:rFonts w:eastAsia="Times New Roman"/>
                <w:sz w:val="20"/>
                <w:szCs w:val="20"/>
              </w:rPr>
            </w:pPr>
          </w:p>
        </w:tc>
        <w:tc>
          <w:tcPr>
            <w:tcW w:w="50" w:type="pct"/>
            <w:vAlign w:val="center"/>
            <w:hideMark/>
          </w:tcPr>
          <w:p w14:paraId="7F7EEB51" w14:textId="77777777" w:rsidR="00000000" w:rsidRDefault="003A1B5D">
            <w:pPr>
              <w:rPr>
                <w:rFonts w:eastAsia="Times New Roman"/>
                <w:sz w:val="20"/>
                <w:szCs w:val="20"/>
              </w:rPr>
            </w:pPr>
          </w:p>
        </w:tc>
        <w:tc>
          <w:tcPr>
            <w:tcW w:w="286" w:type="pct"/>
            <w:vAlign w:val="center"/>
            <w:hideMark/>
          </w:tcPr>
          <w:p w14:paraId="431691C4" w14:textId="77777777" w:rsidR="00000000" w:rsidRDefault="003A1B5D">
            <w:pPr>
              <w:rPr>
                <w:rFonts w:eastAsia="Times New Roman"/>
                <w:sz w:val="20"/>
                <w:szCs w:val="20"/>
              </w:rPr>
            </w:pPr>
          </w:p>
        </w:tc>
        <w:tc>
          <w:tcPr>
            <w:tcW w:w="50" w:type="pct"/>
            <w:vAlign w:val="center"/>
            <w:hideMark/>
          </w:tcPr>
          <w:p w14:paraId="53E2D21C" w14:textId="77777777" w:rsidR="00000000" w:rsidRDefault="003A1B5D">
            <w:pPr>
              <w:rPr>
                <w:rFonts w:eastAsia="Times New Roman"/>
                <w:sz w:val="20"/>
                <w:szCs w:val="20"/>
              </w:rPr>
            </w:pPr>
          </w:p>
        </w:tc>
        <w:tc>
          <w:tcPr>
            <w:tcW w:w="50" w:type="pct"/>
            <w:vAlign w:val="center"/>
            <w:hideMark/>
          </w:tcPr>
          <w:p w14:paraId="3FA36812" w14:textId="77777777" w:rsidR="00000000" w:rsidRDefault="003A1B5D">
            <w:pPr>
              <w:rPr>
                <w:rFonts w:eastAsia="Times New Roman"/>
                <w:sz w:val="20"/>
                <w:szCs w:val="20"/>
              </w:rPr>
            </w:pPr>
          </w:p>
        </w:tc>
        <w:tc>
          <w:tcPr>
            <w:tcW w:w="50" w:type="pct"/>
            <w:vAlign w:val="center"/>
            <w:hideMark/>
          </w:tcPr>
          <w:p w14:paraId="7ADC4397" w14:textId="77777777" w:rsidR="00000000" w:rsidRDefault="003A1B5D">
            <w:pPr>
              <w:rPr>
                <w:rFonts w:eastAsia="Times New Roman"/>
                <w:sz w:val="20"/>
                <w:szCs w:val="20"/>
              </w:rPr>
            </w:pPr>
          </w:p>
        </w:tc>
        <w:tc>
          <w:tcPr>
            <w:tcW w:w="286" w:type="pct"/>
            <w:vAlign w:val="center"/>
            <w:hideMark/>
          </w:tcPr>
          <w:p w14:paraId="6F19FBE0" w14:textId="77777777" w:rsidR="00000000" w:rsidRDefault="003A1B5D">
            <w:pPr>
              <w:rPr>
                <w:rFonts w:eastAsia="Times New Roman"/>
                <w:sz w:val="20"/>
                <w:szCs w:val="20"/>
              </w:rPr>
            </w:pPr>
          </w:p>
        </w:tc>
        <w:tc>
          <w:tcPr>
            <w:tcW w:w="50" w:type="pct"/>
            <w:vAlign w:val="center"/>
            <w:hideMark/>
          </w:tcPr>
          <w:p w14:paraId="52E0C2AD" w14:textId="77777777" w:rsidR="00000000" w:rsidRDefault="003A1B5D">
            <w:pPr>
              <w:rPr>
                <w:rFonts w:eastAsia="Times New Roman"/>
                <w:sz w:val="20"/>
                <w:szCs w:val="20"/>
              </w:rPr>
            </w:pPr>
          </w:p>
        </w:tc>
        <w:tc>
          <w:tcPr>
            <w:tcW w:w="50" w:type="pct"/>
            <w:vAlign w:val="center"/>
            <w:hideMark/>
          </w:tcPr>
          <w:p w14:paraId="13993BE5" w14:textId="77777777" w:rsidR="00000000" w:rsidRDefault="003A1B5D">
            <w:pPr>
              <w:rPr>
                <w:rFonts w:eastAsia="Times New Roman"/>
                <w:sz w:val="20"/>
                <w:szCs w:val="20"/>
              </w:rPr>
            </w:pPr>
          </w:p>
        </w:tc>
        <w:tc>
          <w:tcPr>
            <w:tcW w:w="50" w:type="pct"/>
            <w:vAlign w:val="center"/>
            <w:hideMark/>
          </w:tcPr>
          <w:p w14:paraId="789B79E2" w14:textId="77777777" w:rsidR="00000000" w:rsidRDefault="003A1B5D">
            <w:pPr>
              <w:rPr>
                <w:rFonts w:eastAsia="Times New Roman"/>
                <w:sz w:val="20"/>
                <w:szCs w:val="20"/>
              </w:rPr>
            </w:pPr>
          </w:p>
        </w:tc>
        <w:tc>
          <w:tcPr>
            <w:tcW w:w="379" w:type="pct"/>
            <w:vAlign w:val="center"/>
            <w:hideMark/>
          </w:tcPr>
          <w:p w14:paraId="7F9FCE0E" w14:textId="77777777" w:rsidR="00000000" w:rsidRDefault="003A1B5D">
            <w:pPr>
              <w:rPr>
                <w:rFonts w:eastAsia="Times New Roman"/>
                <w:sz w:val="20"/>
                <w:szCs w:val="20"/>
              </w:rPr>
            </w:pPr>
          </w:p>
        </w:tc>
        <w:tc>
          <w:tcPr>
            <w:tcW w:w="50" w:type="pct"/>
            <w:vAlign w:val="center"/>
            <w:hideMark/>
          </w:tcPr>
          <w:p w14:paraId="30B0F223" w14:textId="77777777" w:rsidR="00000000" w:rsidRDefault="003A1B5D">
            <w:pPr>
              <w:rPr>
                <w:rFonts w:eastAsia="Times New Roman"/>
                <w:sz w:val="20"/>
                <w:szCs w:val="20"/>
              </w:rPr>
            </w:pPr>
          </w:p>
        </w:tc>
      </w:tr>
      <w:tr w:rsidR="00000000" w14:paraId="06734F40" w14:textId="77777777">
        <w:trPr>
          <w:trHeight w:val="160"/>
          <w:tblCellSpacing w:w="15" w:type="dxa"/>
        </w:trPr>
        <w:tc>
          <w:tcPr>
            <w:tcW w:w="0" w:type="auto"/>
            <w:vAlign w:val="bottom"/>
            <w:hideMark/>
          </w:tcPr>
          <w:p w14:paraId="0A16A7B2"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222C09A5" w14:textId="77777777" w:rsidR="00000000" w:rsidRDefault="003A1B5D">
            <w:pPr>
              <w:pStyle w:val="a3"/>
              <w:spacing w:before="0" w:beforeAutospacing="0" w:after="0" w:afterAutospacing="0"/>
              <w:rPr>
                <w:sz w:val="16"/>
                <w:szCs w:val="16"/>
              </w:rPr>
            </w:pPr>
            <w:r>
              <w:rPr>
                <w:sz w:val="16"/>
                <w:szCs w:val="16"/>
              </w:rPr>
              <w:t> </w:t>
            </w:r>
          </w:p>
        </w:tc>
        <w:tc>
          <w:tcPr>
            <w:tcW w:w="0" w:type="auto"/>
            <w:gridSpan w:val="26"/>
            <w:vAlign w:val="bottom"/>
            <w:hideMark/>
          </w:tcPr>
          <w:p w14:paraId="0E7AB857" w14:textId="77777777" w:rsidR="00000000" w:rsidRDefault="003A1B5D">
            <w:pPr>
              <w:pStyle w:val="a3"/>
              <w:spacing w:before="0" w:beforeAutospacing="0" w:after="0" w:afterAutospacing="0"/>
              <w:jc w:val="center"/>
              <w:rPr>
                <w:sz w:val="16"/>
                <w:szCs w:val="16"/>
              </w:rPr>
            </w:pPr>
            <w:r>
              <w:rPr>
                <w:b/>
                <w:bCs/>
                <w:sz w:val="16"/>
                <w:szCs w:val="16"/>
              </w:rPr>
              <w:t>Payments Due By Year Ended December 31</w:t>
            </w:r>
            <w:r>
              <w:rPr>
                <w:b/>
                <w:bCs/>
                <w:sz w:val="16"/>
                <w:szCs w:val="16"/>
              </w:rPr>
              <w:t>,</w:t>
            </w:r>
          </w:p>
        </w:tc>
        <w:tc>
          <w:tcPr>
            <w:tcW w:w="0" w:type="auto"/>
            <w:vAlign w:val="bottom"/>
            <w:hideMark/>
          </w:tcPr>
          <w:p w14:paraId="14FE9A54"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1779ECC2" w14:textId="77777777">
        <w:trPr>
          <w:trHeight w:val="160"/>
          <w:tblCellSpacing w:w="15" w:type="dxa"/>
        </w:trPr>
        <w:tc>
          <w:tcPr>
            <w:tcW w:w="0" w:type="auto"/>
            <w:vAlign w:val="bottom"/>
            <w:hideMark/>
          </w:tcPr>
          <w:p w14:paraId="10B40FB6"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66CB7B34"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27425BAD" w14:textId="77777777" w:rsidR="00000000" w:rsidRDefault="003A1B5D">
            <w:pPr>
              <w:pStyle w:val="a3"/>
              <w:spacing w:before="0" w:beforeAutospacing="0" w:after="0" w:afterAutospacing="0"/>
              <w:jc w:val="center"/>
              <w:rPr>
                <w:sz w:val="16"/>
                <w:szCs w:val="16"/>
              </w:rPr>
            </w:pPr>
            <w:r>
              <w:rPr>
                <w:b/>
                <w:bCs/>
                <w:sz w:val="16"/>
                <w:szCs w:val="16"/>
              </w:rPr>
              <w:t>2022</w:t>
            </w:r>
            <w:r>
              <w:rPr>
                <w:b/>
                <w:bCs/>
                <w:sz w:val="16"/>
                <w:szCs w:val="16"/>
              </w:rPr>
              <w:br/>
              <w:t>(remainder</w:t>
            </w:r>
            <w:r>
              <w:rPr>
                <w:b/>
                <w:bCs/>
                <w:sz w:val="16"/>
                <w:szCs w:val="16"/>
              </w:rPr>
              <w:t>)</w:t>
            </w:r>
          </w:p>
        </w:tc>
        <w:tc>
          <w:tcPr>
            <w:tcW w:w="0" w:type="auto"/>
            <w:vAlign w:val="bottom"/>
            <w:hideMark/>
          </w:tcPr>
          <w:p w14:paraId="37C3B0E6"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6966321B"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109D2BC0"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14:paraId="78A4147A"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49B28135"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6013B5E1"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4</w:t>
            </w:r>
          </w:p>
        </w:tc>
        <w:tc>
          <w:tcPr>
            <w:tcW w:w="0" w:type="auto"/>
            <w:vAlign w:val="bottom"/>
            <w:hideMark/>
          </w:tcPr>
          <w:p w14:paraId="6F355A98"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6CE15B99"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1C83E975"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5</w:t>
            </w:r>
          </w:p>
        </w:tc>
        <w:tc>
          <w:tcPr>
            <w:tcW w:w="0" w:type="auto"/>
            <w:vAlign w:val="bottom"/>
            <w:hideMark/>
          </w:tcPr>
          <w:p w14:paraId="0B9FDE23"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0F1993C6"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6346C91A" w14:textId="77777777" w:rsidR="00000000" w:rsidRDefault="003A1B5D">
            <w:pPr>
              <w:pStyle w:val="a3"/>
              <w:spacing w:before="0" w:beforeAutospacing="0" w:after="0" w:afterAutospacing="0"/>
              <w:jc w:val="center"/>
              <w:rPr>
                <w:sz w:val="16"/>
                <w:szCs w:val="16"/>
              </w:rPr>
            </w:pPr>
            <w:r>
              <w:rPr>
                <w:b/>
                <w:bCs/>
                <w:sz w:val="16"/>
                <w:szCs w:val="16"/>
              </w:rPr>
              <w:t>202</w:t>
            </w:r>
            <w:r>
              <w:rPr>
                <w:b/>
                <w:bCs/>
                <w:sz w:val="16"/>
                <w:szCs w:val="16"/>
              </w:rPr>
              <w:t>6</w:t>
            </w:r>
          </w:p>
        </w:tc>
        <w:tc>
          <w:tcPr>
            <w:tcW w:w="0" w:type="auto"/>
            <w:vAlign w:val="bottom"/>
            <w:hideMark/>
          </w:tcPr>
          <w:p w14:paraId="2D9DD0CC"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1A600099"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7003A2EE" w14:textId="77777777" w:rsidR="00000000" w:rsidRDefault="003A1B5D">
            <w:pPr>
              <w:pStyle w:val="a3"/>
              <w:spacing w:before="0" w:beforeAutospacing="0" w:after="0" w:afterAutospacing="0"/>
              <w:jc w:val="center"/>
              <w:rPr>
                <w:sz w:val="16"/>
                <w:szCs w:val="16"/>
              </w:rPr>
            </w:pPr>
            <w:r>
              <w:rPr>
                <w:b/>
                <w:bCs/>
                <w:sz w:val="16"/>
                <w:szCs w:val="16"/>
              </w:rPr>
              <w:t>Thereafte</w:t>
            </w:r>
            <w:r>
              <w:rPr>
                <w:b/>
                <w:bCs/>
                <w:sz w:val="16"/>
                <w:szCs w:val="16"/>
              </w:rPr>
              <w:t>r</w:t>
            </w:r>
          </w:p>
        </w:tc>
        <w:tc>
          <w:tcPr>
            <w:tcW w:w="0" w:type="auto"/>
            <w:vAlign w:val="bottom"/>
            <w:hideMark/>
          </w:tcPr>
          <w:p w14:paraId="568E6AE3" w14:textId="77777777" w:rsidR="00000000" w:rsidRDefault="003A1B5D">
            <w:pPr>
              <w:pStyle w:val="a3"/>
              <w:spacing w:before="0" w:beforeAutospacing="0" w:after="0" w:afterAutospacing="0"/>
              <w:jc w:val="center"/>
              <w:rPr>
                <w:sz w:val="16"/>
                <w:szCs w:val="16"/>
              </w:rPr>
            </w:pPr>
            <w:r>
              <w:rPr>
                <w:sz w:val="16"/>
                <w:szCs w:val="16"/>
              </w:rPr>
              <w:t> </w:t>
            </w:r>
          </w:p>
        </w:tc>
        <w:tc>
          <w:tcPr>
            <w:tcW w:w="0" w:type="auto"/>
            <w:vAlign w:val="bottom"/>
            <w:hideMark/>
          </w:tcPr>
          <w:p w14:paraId="30A76BFE" w14:textId="77777777" w:rsidR="00000000" w:rsidRDefault="003A1B5D">
            <w:pPr>
              <w:pStyle w:val="a3"/>
              <w:spacing w:before="0" w:beforeAutospacing="0" w:after="0" w:afterAutospacing="0"/>
              <w:rPr>
                <w:sz w:val="16"/>
                <w:szCs w:val="16"/>
              </w:rPr>
            </w:pPr>
            <w:r>
              <w:rPr>
                <w:sz w:val="16"/>
                <w:szCs w:val="16"/>
              </w:rPr>
              <w:t> </w:t>
            </w:r>
          </w:p>
        </w:tc>
        <w:tc>
          <w:tcPr>
            <w:tcW w:w="0" w:type="auto"/>
            <w:gridSpan w:val="2"/>
            <w:vAlign w:val="bottom"/>
            <w:hideMark/>
          </w:tcPr>
          <w:p w14:paraId="21E6CDD6" w14:textId="77777777" w:rsidR="00000000" w:rsidRDefault="003A1B5D">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14:paraId="2E734710" w14:textId="77777777" w:rsidR="00000000" w:rsidRDefault="003A1B5D">
            <w:pPr>
              <w:pStyle w:val="a3"/>
              <w:spacing w:before="0" w:beforeAutospacing="0" w:after="0" w:afterAutospacing="0"/>
              <w:jc w:val="center"/>
              <w:rPr>
                <w:sz w:val="16"/>
                <w:szCs w:val="16"/>
              </w:rPr>
            </w:pPr>
            <w:r>
              <w:rPr>
                <w:sz w:val="16"/>
                <w:szCs w:val="16"/>
              </w:rPr>
              <w:t> </w:t>
            </w:r>
          </w:p>
        </w:tc>
      </w:tr>
      <w:tr w:rsidR="00000000" w14:paraId="5646B0DF" w14:textId="77777777">
        <w:trPr>
          <w:trHeight w:val="200"/>
          <w:tblCellSpacing w:w="15" w:type="dxa"/>
        </w:trPr>
        <w:tc>
          <w:tcPr>
            <w:tcW w:w="0" w:type="auto"/>
            <w:hideMark/>
          </w:tcPr>
          <w:p w14:paraId="3B7C8DF1" w14:textId="77777777" w:rsidR="00000000" w:rsidRDefault="003A1B5D">
            <w:pPr>
              <w:pStyle w:val="a3"/>
              <w:spacing w:before="0" w:beforeAutospacing="0" w:after="0" w:afterAutospacing="0"/>
              <w:rPr>
                <w:sz w:val="20"/>
                <w:szCs w:val="20"/>
              </w:rPr>
            </w:pPr>
            <w:r>
              <w:rPr>
                <w:sz w:val="20"/>
                <w:szCs w:val="20"/>
              </w:rPr>
              <w:t>Long-term deb</w:t>
            </w:r>
            <w:r>
              <w:rPr>
                <w:sz w:val="20"/>
                <w:szCs w:val="20"/>
              </w:rPr>
              <w:t>t</w:t>
            </w:r>
          </w:p>
        </w:tc>
        <w:tc>
          <w:tcPr>
            <w:tcW w:w="0" w:type="auto"/>
            <w:vAlign w:val="bottom"/>
            <w:hideMark/>
          </w:tcPr>
          <w:p w14:paraId="345E2A9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B95E7F6"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60F085CF" w14:textId="77777777" w:rsidR="00000000" w:rsidRDefault="003A1B5D">
            <w:pPr>
              <w:pStyle w:val="a3"/>
              <w:spacing w:before="0" w:beforeAutospacing="0" w:after="0" w:afterAutospacing="0"/>
              <w:jc w:val="right"/>
              <w:rPr>
                <w:sz w:val="20"/>
                <w:szCs w:val="20"/>
              </w:rPr>
            </w:pPr>
            <w:r>
              <w:rPr>
                <w:sz w:val="20"/>
                <w:szCs w:val="20"/>
              </w:rPr>
              <w:t>2,40</w:t>
            </w:r>
            <w:r>
              <w:rPr>
                <w:sz w:val="20"/>
                <w:szCs w:val="20"/>
              </w:rPr>
              <w:t>0</w:t>
            </w:r>
          </w:p>
        </w:tc>
        <w:tc>
          <w:tcPr>
            <w:tcW w:w="0" w:type="auto"/>
            <w:noWrap/>
            <w:vAlign w:val="bottom"/>
            <w:hideMark/>
          </w:tcPr>
          <w:p w14:paraId="064A2DF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6D144E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54E11CA"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1F0D361F" w14:textId="77777777" w:rsidR="00000000" w:rsidRDefault="003A1B5D">
            <w:pPr>
              <w:pStyle w:val="a3"/>
              <w:spacing w:before="0" w:beforeAutospacing="0" w:after="0" w:afterAutospacing="0"/>
              <w:jc w:val="right"/>
              <w:rPr>
                <w:sz w:val="20"/>
                <w:szCs w:val="20"/>
              </w:rPr>
            </w:pPr>
            <w:r>
              <w:rPr>
                <w:sz w:val="20"/>
                <w:szCs w:val="20"/>
              </w:rPr>
              <w:t>178,29</w:t>
            </w:r>
            <w:r>
              <w:rPr>
                <w:sz w:val="20"/>
                <w:szCs w:val="20"/>
              </w:rPr>
              <w:t>0</w:t>
            </w:r>
          </w:p>
        </w:tc>
        <w:tc>
          <w:tcPr>
            <w:tcW w:w="0" w:type="auto"/>
            <w:noWrap/>
            <w:vAlign w:val="bottom"/>
            <w:hideMark/>
          </w:tcPr>
          <w:p w14:paraId="58E1FE8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0EE74E1"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706D4E7"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2C224A75" w14:textId="77777777" w:rsidR="00000000" w:rsidRDefault="003A1B5D">
            <w:pPr>
              <w:pStyle w:val="a3"/>
              <w:spacing w:before="0" w:beforeAutospacing="0" w:after="0" w:afterAutospacing="0"/>
              <w:jc w:val="right"/>
              <w:rPr>
                <w:sz w:val="20"/>
                <w:szCs w:val="20"/>
              </w:rPr>
            </w:pPr>
            <w:r>
              <w:rPr>
                <w:sz w:val="20"/>
                <w:szCs w:val="20"/>
              </w:rPr>
              <w:t>14,72</w:t>
            </w:r>
            <w:r>
              <w:rPr>
                <w:sz w:val="20"/>
                <w:szCs w:val="20"/>
              </w:rPr>
              <w:t>2</w:t>
            </w:r>
          </w:p>
        </w:tc>
        <w:tc>
          <w:tcPr>
            <w:tcW w:w="0" w:type="auto"/>
            <w:noWrap/>
            <w:vAlign w:val="bottom"/>
            <w:hideMark/>
          </w:tcPr>
          <w:p w14:paraId="3A8F283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107C62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24910F8"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081CD549" w14:textId="77777777" w:rsidR="00000000" w:rsidRDefault="003A1B5D">
            <w:pPr>
              <w:pStyle w:val="a3"/>
              <w:spacing w:before="0" w:beforeAutospacing="0" w:after="0" w:afterAutospacing="0"/>
              <w:jc w:val="right"/>
              <w:rPr>
                <w:sz w:val="20"/>
                <w:szCs w:val="20"/>
              </w:rPr>
            </w:pPr>
            <w:r>
              <w:rPr>
                <w:sz w:val="20"/>
                <w:szCs w:val="20"/>
              </w:rPr>
              <w:t>17,69</w:t>
            </w:r>
            <w:r>
              <w:rPr>
                <w:sz w:val="20"/>
                <w:szCs w:val="20"/>
              </w:rPr>
              <w:t>8</w:t>
            </w:r>
          </w:p>
        </w:tc>
        <w:tc>
          <w:tcPr>
            <w:tcW w:w="0" w:type="auto"/>
            <w:noWrap/>
            <w:vAlign w:val="bottom"/>
            <w:hideMark/>
          </w:tcPr>
          <w:p w14:paraId="552F072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832D89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1AABAEC"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2DD1A276" w14:textId="77777777" w:rsidR="00000000" w:rsidRDefault="003A1B5D">
            <w:pPr>
              <w:pStyle w:val="a3"/>
              <w:spacing w:before="0" w:beforeAutospacing="0" w:after="0" w:afterAutospacing="0"/>
              <w:jc w:val="right"/>
              <w:rPr>
                <w:sz w:val="20"/>
                <w:szCs w:val="20"/>
              </w:rPr>
            </w:pPr>
            <w:r>
              <w:rPr>
                <w:sz w:val="20"/>
                <w:szCs w:val="20"/>
              </w:rPr>
              <w:t>715,98</w:t>
            </w:r>
            <w:r>
              <w:rPr>
                <w:sz w:val="20"/>
                <w:szCs w:val="20"/>
              </w:rPr>
              <w:t>5</w:t>
            </w:r>
          </w:p>
        </w:tc>
        <w:tc>
          <w:tcPr>
            <w:tcW w:w="0" w:type="auto"/>
            <w:noWrap/>
            <w:vAlign w:val="bottom"/>
            <w:hideMark/>
          </w:tcPr>
          <w:p w14:paraId="5E52619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9766D5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F4E79A0"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309CDE18" w14:textId="77777777" w:rsidR="00000000" w:rsidRDefault="003A1B5D">
            <w:pPr>
              <w:pStyle w:val="a3"/>
              <w:spacing w:before="0" w:beforeAutospacing="0" w:after="0" w:afterAutospacing="0"/>
              <w:jc w:val="right"/>
              <w:rPr>
                <w:sz w:val="20"/>
                <w:szCs w:val="20"/>
              </w:rPr>
            </w:pPr>
            <w:r>
              <w:rPr>
                <w:sz w:val="20"/>
                <w:szCs w:val="20"/>
              </w:rPr>
              <w:t>378,01</w:t>
            </w:r>
            <w:r>
              <w:rPr>
                <w:sz w:val="20"/>
                <w:szCs w:val="20"/>
              </w:rPr>
              <w:t>4</w:t>
            </w:r>
          </w:p>
        </w:tc>
        <w:tc>
          <w:tcPr>
            <w:tcW w:w="0" w:type="auto"/>
            <w:noWrap/>
            <w:vAlign w:val="bottom"/>
            <w:hideMark/>
          </w:tcPr>
          <w:p w14:paraId="0D01190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E2936D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E29E380"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78094FAE" w14:textId="77777777" w:rsidR="00000000" w:rsidRDefault="003A1B5D">
            <w:pPr>
              <w:pStyle w:val="a3"/>
              <w:spacing w:before="0" w:beforeAutospacing="0" w:after="0" w:afterAutospacing="0"/>
              <w:jc w:val="right"/>
              <w:rPr>
                <w:sz w:val="20"/>
                <w:szCs w:val="20"/>
              </w:rPr>
            </w:pPr>
            <w:r>
              <w:rPr>
                <w:sz w:val="20"/>
                <w:szCs w:val="20"/>
              </w:rPr>
              <w:t>1,307,10</w:t>
            </w:r>
            <w:r>
              <w:rPr>
                <w:sz w:val="20"/>
                <w:szCs w:val="20"/>
              </w:rPr>
              <w:t>9</w:t>
            </w:r>
          </w:p>
        </w:tc>
        <w:tc>
          <w:tcPr>
            <w:tcW w:w="0" w:type="auto"/>
            <w:noWrap/>
            <w:vAlign w:val="bottom"/>
            <w:hideMark/>
          </w:tcPr>
          <w:p w14:paraId="1842D088" w14:textId="77777777" w:rsidR="00000000" w:rsidRDefault="003A1B5D">
            <w:pPr>
              <w:pStyle w:val="a3"/>
              <w:spacing w:before="0" w:beforeAutospacing="0" w:after="0" w:afterAutospacing="0"/>
              <w:rPr>
                <w:sz w:val="20"/>
                <w:szCs w:val="20"/>
              </w:rPr>
            </w:pPr>
            <w:r>
              <w:rPr>
                <w:sz w:val="20"/>
                <w:szCs w:val="20"/>
              </w:rPr>
              <w:t> </w:t>
            </w:r>
          </w:p>
        </w:tc>
      </w:tr>
      <w:tr w:rsidR="00000000" w14:paraId="3BD22030" w14:textId="77777777">
        <w:trPr>
          <w:trHeight w:val="200"/>
          <w:tblCellSpacing w:w="15" w:type="dxa"/>
        </w:trPr>
        <w:tc>
          <w:tcPr>
            <w:tcW w:w="0" w:type="auto"/>
            <w:hideMark/>
          </w:tcPr>
          <w:p w14:paraId="70FC2F14" w14:textId="77777777" w:rsidR="00000000" w:rsidRDefault="003A1B5D">
            <w:pPr>
              <w:pStyle w:val="a3"/>
              <w:spacing w:before="0" w:beforeAutospacing="0" w:after="0" w:afterAutospacing="0"/>
              <w:rPr>
                <w:sz w:val="20"/>
                <w:szCs w:val="20"/>
              </w:rPr>
            </w:pPr>
            <w:r>
              <w:rPr>
                <w:sz w:val="20"/>
                <w:szCs w:val="20"/>
              </w:rPr>
              <w:t xml:space="preserve">Interest on senior and mortgage </w:t>
            </w:r>
            <w:r>
              <w:rPr>
                <w:sz w:val="20"/>
                <w:szCs w:val="20"/>
              </w:rPr>
              <w:br/>
              <w:t>   note</w:t>
            </w:r>
            <w:r>
              <w:rPr>
                <w:sz w:val="20"/>
                <w:szCs w:val="20"/>
              </w:rPr>
              <w:t>s</w:t>
            </w:r>
          </w:p>
        </w:tc>
        <w:tc>
          <w:tcPr>
            <w:tcW w:w="0" w:type="auto"/>
            <w:vAlign w:val="bottom"/>
            <w:hideMark/>
          </w:tcPr>
          <w:p w14:paraId="15A70AD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457248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E21541D" w14:textId="77777777" w:rsidR="00000000" w:rsidRDefault="003A1B5D">
            <w:pPr>
              <w:pStyle w:val="a3"/>
              <w:spacing w:before="0" w:beforeAutospacing="0" w:after="0" w:afterAutospacing="0"/>
              <w:jc w:val="right"/>
              <w:rPr>
                <w:sz w:val="20"/>
                <w:szCs w:val="20"/>
              </w:rPr>
            </w:pPr>
            <w:r>
              <w:rPr>
                <w:sz w:val="20"/>
                <w:szCs w:val="20"/>
              </w:rPr>
              <w:t>37,93</w:t>
            </w:r>
            <w:r>
              <w:rPr>
                <w:sz w:val="20"/>
                <w:szCs w:val="20"/>
              </w:rPr>
              <w:t>0</w:t>
            </w:r>
          </w:p>
        </w:tc>
        <w:tc>
          <w:tcPr>
            <w:tcW w:w="0" w:type="auto"/>
            <w:noWrap/>
            <w:vAlign w:val="bottom"/>
            <w:hideMark/>
          </w:tcPr>
          <w:p w14:paraId="3FA4CD2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05F2B3C"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E0A5D0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E9F091D" w14:textId="77777777" w:rsidR="00000000" w:rsidRDefault="003A1B5D">
            <w:pPr>
              <w:pStyle w:val="a3"/>
              <w:spacing w:before="0" w:beforeAutospacing="0" w:after="0" w:afterAutospacing="0"/>
              <w:jc w:val="right"/>
              <w:rPr>
                <w:sz w:val="20"/>
                <w:szCs w:val="20"/>
              </w:rPr>
            </w:pPr>
            <w:r>
              <w:rPr>
                <w:sz w:val="20"/>
                <w:szCs w:val="20"/>
              </w:rPr>
              <w:t>75,23</w:t>
            </w:r>
            <w:r>
              <w:rPr>
                <w:sz w:val="20"/>
                <w:szCs w:val="20"/>
              </w:rPr>
              <w:t>6</w:t>
            </w:r>
          </w:p>
        </w:tc>
        <w:tc>
          <w:tcPr>
            <w:tcW w:w="0" w:type="auto"/>
            <w:noWrap/>
            <w:vAlign w:val="bottom"/>
            <w:hideMark/>
          </w:tcPr>
          <w:p w14:paraId="362D934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D76BF8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1F9DE67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79E85CC" w14:textId="77777777" w:rsidR="00000000" w:rsidRDefault="003A1B5D">
            <w:pPr>
              <w:pStyle w:val="a3"/>
              <w:spacing w:before="0" w:beforeAutospacing="0" w:after="0" w:afterAutospacing="0"/>
              <w:jc w:val="right"/>
              <w:rPr>
                <w:sz w:val="20"/>
                <w:szCs w:val="20"/>
              </w:rPr>
            </w:pPr>
            <w:r>
              <w:rPr>
                <w:sz w:val="20"/>
                <w:szCs w:val="20"/>
              </w:rPr>
              <w:t>71,16</w:t>
            </w:r>
            <w:r>
              <w:rPr>
                <w:sz w:val="20"/>
                <w:szCs w:val="20"/>
              </w:rPr>
              <w:t>1</w:t>
            </w:r>
          </w:p>
        </w:tc>
        <w:tc>
          <w:tcPr>
            <w:tcW w:w="0" w:type="auto"/>
            <w:noWrap/>
            <w:vAlign w:val="bottom"/>
            <w:hideMark/>
          </w:tcPr>
          <w:p w14:paraId="677FA98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798097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EAF2CF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15D9FD4" w14:textId="77777777" w:rsidR="00000000" w:rsidRDefault="003A1B5D">
            <w:pPr>
              <w:pStyle w:val="a3"/>
              <w:spacing w:before="0" w:beforeAutospacing="0" w:after="0" w:afterAutospacing="0"/>
              <w:jc w:val="right"/>
              <w:rPr>
                <w:sz w:val="20"/>
                <w:szCs w:val="20"/>
              </w:rPr>
            </w:pPr>
            <w:r>
              <w:rPr>
                <w:sz w:val="20"/>
                <w:szCs w:val="20"/>
              </w:rPr>
              <w:t>70,91</w:t>
            </w:r>
            <w:r>
              <w:rPr>
                <w:sz w:val="20"/>
                <w:szCs w:val="20"/>
              </w:rPr>
              <w:t>6</w:t>
            </w:r>
          </w:p>
        </w:tc>
        <w:tc>
          <w:tcPr>
            <w:tcW w:w="0" w:type="auto"/>
            <w:noWrap/>
            <w:vAlign w:val="bottom"/>
            <w:hideMark/>
          </w:tcPr>
          <w:p w14:paraId="2FC9718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E14A53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91283F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65DB742" w14:textId="77777777" w:rsidR="00000000" w:rsidRDefault="003A1B5D">
            <w:pPr>
              <w:pStyle w:val="a3"/>
              <w:spacing w:before="0" w:beforeAutospacing="0" w:after="0" w:afterAutospacing="0"/>
              <w:jc w:val="right"/>
              <w:rPr>
                <w:sz w:val="20"/>
                <w:szCs w:val="20"/>
              </w:rPr>
            </w:pPr>
            <w:r>
              <w:rPr>
                <w:sz w:val="20"/>
                <w:szCs w:val="20"/>
              </w:rPr>
              <w:t>44,18</w:t>
            </w:r>
            <w:r>
              <w:rPr>
                <w:sz w:val="20"/>
                <w:szCs w:val="20"/>
              </w:rPr>
              <w:t>6</w:t>
            </w:r>
          </w:p>
        </w:tc>
        <w:tc>
          <w:tcPr>
            <w:tcW w:w="0" w:type="auto"/>
            <w:noWrap/>
            <w:vAlign w:val="bottom"/>
            <w:hideMark/>
          </w:tcPr>
          <w:p w14:paraId="444C239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7FF003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CB766E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2F3F64D" w14:textId="77777777" w:rsidR="00000000" w:rsidRDefault="003A1B5D">
            <w:pPr>
              <w:pStyle w:val="a3"/>
              <w:spacing w:before="0" w:beforeAutospacing="0" w:after="0" w:afterAutospacing="0"/>
              <w:jc w:val="right"/>
              <w:rPr>
                <w:sz w:val="20"/>
                <w:szCs w:val="20"/>
              </w:rPr>
            </w:pPr>
            <w:r>
              <w:rPr>
                <w:sz w:val="20"/>
                <w:szCs w:val="20"/>
              </w:rPr>
              <w:t>54,85</w:t>
            </w:r>
            <w:r>
              <w:rPr>
                <w:sz w:val="20"/>
                <w:szCs w:val="20"/>
              </w:rPr>
              <w:t>2</w:t>
            </w:r>
          </w:p>
        </w:tc>
        <w:tc>
          <w:tcPr>
            <w:tcW w:w="0" w:type="auto"/>
            <w:noWrap/>
            <w:vAlign w:val="bottom"/>
            <w:hideMark/>
          </w:tcPr>
          <w:p w14:paraId="543CB2E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7A813F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612F8F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0E52C4F" w14:textId="77777777" w:rsidR="00000000" w:rsidRDefault="003A1B5D">
            <w:pPr>
              <w:pStyle w:val="a3"/>
              <w:spacing w:before="0" w:beforeAutospacing="0" w:after="0" w:afterAutospacing="0"/>
              <w:jc w:val="right"/>
              <w:rPr>
                <w:sz w:val="20"/>
                <w:szCs w:val="20"/>
              </w:rPr>
            </w:pPr>
            <w:r>
              <w:rPr>
                <w:sz w:val="20"/>
                <w:szCs w:val="20"/>
              </w:rPr>
              <w:t>354,28</w:t>
            </w:r>
            <w:r>
              <w:rPr>
                <w:sz w:val="20"/>
                <w:szCs w:val="20"/>
              </w:rPr>
              <w:t>1</w:t>
            </w:r>
          </w:p>
        </w:tc>
        <w:tc>
          <w:tcPr>
            <w:tcW w:w="0" w:type="auto"/>
            <w:noWrap/>
            <w:vAlign w:val="bottom"/>
            <w:hideMark/>
          </w:tcPr>
          <w:p w14:paraId="52E1CF14" w14:textId="77777777" w:rsidR="00000000" w:rsidRDefault="003A1B5D">
            <w:pPr>
              <w:pStyle w:val="a3"/>
              <w:spacing w:before="0" w:beforeAutospacing="0" w:after="0" w:afterAutospacing="0"/>
              <w:rPr>
                <w:sz w:val="20"/>
                <w:szCs w:val="20"/>
              </w:rPr>
            </w:pPr>
            <w:r>
              <w:rPr>
                <w:sz w:val="20"/>
                <w:szCs w:val="20"/>
              </w:rPr>
              <w:t> </w:t>
            </w:r>
          </w:p>
        </w:tc>
      </w:tr>
      <w:tr w:rsidR="00000000" w14:paraId="3848AE73" w14:textId="77777777">
        <w:trPr>
          <w:trHeight w:val="200"/>
          <w:tblCellSpacing w:w="15" w:type="dxa"/>
        </w:trPr>
        <w:tc>
          <w:tcPr>
            <w:tcW w:w="0" w:type="auto"/>
            <w:hideMark/>
          </w:tcPr>
          <w:p w14:paraId="072996D3" w14:textId="77777777" w:rsidR="00000000" w:rsidRDefault="003A1B5D">
            <w:pPr>
              <w:pStyle w:val="a3"/>
              <w:spacing w:before="0" w:beforeAutospacing="0" w:after="0" w:afterAutospacing="0"/>
              <w:rPr>
                <w:sz w:val="20"/>
                <w:szCs w:val="20"/>
              </w:rPr>
            </w:pPr>
            <w:r>
              <w:rPr>
                <w:sz w:val="20"/>
                <w:szCs w:val="20"/>
              </w:rPr>
              <w:t xml:space="preserve">Contractual facility developments </w:t>
            </w:r>
            <w:r>
              <w:rPr>
                <w:sz w:val="20"/>
                <w:szCs w:val="20"/>
              </w:rPr>
              <w:br/>
              <w:t>   and other commitment</w:t>
            </w:r>
            <w:r>
              <w:rPr>
                <w:sz w:val="20"/>
                <w:szCs w:val="20"/>
              </w:rPr>
              <w:t>s</w:t>
            </w:r>
          </w:p>
        </w:tc>
        <w:tc>
          <w:tcPr>
            <w:tcW w:w="0" w:type="auto"/>
            <w:vAlign w:val="bottom"/>
            <w:hideMark/>
          </w:tcPr>
          <w:p w14:paraId="618BD7C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CE1867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2F084A3" w14:textId="77777777" w:rsidR="00000000" w:rsidRDefault="003A1B5D">
            <w:pPr>
              <w:pStyle w:val="a3"/>
              <w:spacing w:before="0" w:beforeAutospacing="0" w:after="0" w:afterAutospacing="0"/>
              <w:jc w:val="right"/>
              <w:rPr>
                <w:sz w:val="20"/>
                <w:szCs w:val="20"/>
              </w:rPr>
            </w:pPr>
            <w:r>
              <w:rPr>
                <w:sz w:val="20"/>
                <w:szCs w:val="20"/>
              </w:rPr>
              <w:t>4,06</w:t>
            </w:r>
            <w:r>
              <w:rPr>
                <w:sz w:val="20"/>
                <w:szCs w:val="20"/>
              </w:rPr>
              <w:t>6</w:t>
            </w:r>
          </w:p>
        </w:tc>
        <w:tc>
          <w:tcPr>
            <w:tcW w:w="0" w:type="auto"/>
            <w:noWrap/>
            <w:vAlign w:val="bottom"/>
            <w:hideMark/>
          </w:tcPr>
          <w:p w14:paraId="601D08E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4EC5047"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8D09F0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6713385"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7FD251B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2953EC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2974B8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13AAE47"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333CA10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7FB3F9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CC39C2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74B9B7B"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6A98807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784692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DC40CC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52A62D7"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561EAF5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2388EC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EC9D4F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FFBC09A"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1818A8B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50C527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4C5442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ED35ABC" w14:textId="77777777" w:rsidR="00000000" w:rsidRDefault="003A1B5D">
            <w:pPr>
              <w:pStyle w:val="a3"/>
              <w:spacing w:before="0" w:beforeAutospacing="0" w:after="0" w:afterAutospacing="0"/>
              <w:jc w:val="right"/>
              <w:rPr>
                <w:sz w:val="20"/>
                <w:szCs w:val="20"/>
              </w:rPr>
            </w:pPr>
            <w:r>
              <w:rPr>
                <w:sz w:val="20"/>
                <w:szCs w:val="20"/>
              </w:rPr>
              <w:t>4,06</w:t>
            </w:r>
            <w:r>
              <w:rPr>
                <w:sz w:val="20"/>
                <w:szCs w:val="20"/>
              </w:rPr>
              <w:t>6</w:t>
            </w:r>
          </w:p>
        </w:tc>
        <w:tc>
          <w:tcPr>
            <w:tcW w:w="0" w:type="auto"/>
            <w:noWrap/>
            <w:vAlign w:val="bottom"/>
            <w:hideMark/>
          </w:tcPr>
          <w:p w14:paraId="6D4CD9B4" w14:textId="77777777" w:rsidR="00000000" w:rsidRDefault="003A1B5D">
            <w:pPr>
              <w:pStyle w:val="a3"/>
              <w:spacing w:before="0" w:beforeAutospacing="0" w:after="0" w:afterAutospacing="0"/>
              <w:rPr>
                <w:sz w:val="20"/>
                <w:szCs w:val="20"/>
              </w:rPr>
            </w:pPr>
            <w:r>
              <w:rPr>
                <w:sz w:val="20"/>
                <w:szCs w:val="20"/>
              </w:rPr>
              <w:t> </w:t>
            </w:r>
          </w:p>
        </w:tc>
      </w:tr>
      <w:tr w:rsidR="00000000" w14:paraId="601D750B" w14:textId="77777777">
        <w:trPr>
          <w:trHeight w:val="200"/>
          <w:tblCellSpacing w:w="15" w:type="dxa"/>
        </w:trPr>
        <w:tc>
          <w:tcPr>
            <w:tcW w:w="0" w:type="auto"/>
            <w:hideMark/>
          </w:tcPr>
          <w:p w14:paraId="57594685" w14:textId="77777777" w:rsidR="00000000" w:rsidRDefault="003A1B5D">
            <w:pPr>
              <w:pStyle w:val="a3"/>
              <w:spacing w:before="0" w:beforeAutospacing="0" w:after="0" w:afterAutospacing="0"/>
              <w:rPr>
                <w:sz w:val="20"/>
                <w:szCs w:val="20"/>
              </w:rPr>
            </w:pPr>
            <w:r>
              <w:rPr>
                <w:sz w:val="20"/>
                <w:szCs w:val="20"/>
              </w:rPr>
              <w:t xml:space="preserve">South Texas Family Residential </w:t>
            </w:r>
            <w:r>
              <w:rPr>
                <w:sz w:val="20"/>
                <w:szCs w:val="20"/>
              </w:rPr>
              <w:br/>
              <w:t>   Cente</w:t>
            </w:r>
            <w:r>
              <w:rPr>
                <w:sz w:val="20"/>
                <w:szCs w:val="20"/>
              </w:rPr>
              <w:t>r</w:t>
            </w:r>
          </w:p>
        </w:tc>
        <w:tc>
          <w:tcPr>
            <w:tcW w:w="0" w:type="auto"/>
            <w:vAlign w:val="bottom"/>
            <w:hideMark/>
          </w:tcPr>
          <w:p w14:paraId="16F346D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DF2715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8F3D7E6" w14:textId="77777777" w:rsidR="00000000" w:rsidRDefault="003A1B5D">
            <w:pPr>
              <w:pStyle w:val="a3"/>
              <w:spacing w:before="0" w:beforeAutospacing="0" w:after="0" w:afterAutospacing="0"/>
              <w:jc w:val="right"/>
              <w:rPr>
                <w:sz w:val="20"/>
                <w:szCs w:val="20"/>
              </w:rPr>
            </w:pPr>
            <w:r>
              <w:rPr>
                <w:sz w:val="20"/>
                <w:szCs w:val="20"/>
              </w:rPr>
              <w:t>12,96</w:t>
            </w:r>
            <w:r>
              <w:rPr>
                <w:sz w:val="20"/>
                <w:szCs w:val="20"/>
              </w:rPr>
              <w:t>1</w:t>
            </w:r>
          </w:p>
        </w:tc>
        <w:tc>
          <w:tcPr>
            <w:tcW w:w="0" w:type="auto"/>
            <w:noWrap/>
            <w:vAlign w:val="bottom"/>
            <w:hideMark/>
          </w:tcPr>
          <w:p w14:paraId="2DAE679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6C938A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08EC02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F6F3499" w14:textId="77777777" w:rsidR="00000000" w:rsidRDefault="003A1B5D">
            <w:pPr>
              <w:pStyle w:val="a3"/>
              <w:spacing w:before="0" w:beforeAutospacing="0" w:after="0" w:afterAutospacing="0"/>
              <w:jc w:val="right"/>
              <w:rPr>
                <w:sz w:val="20"/>
                <w:szCs w:val="20"/>
              </w:rPr>
            </w:pPr>
            <w:r>
              <w:rPr>
                <w:sz w:val="20"/>
                <w:szCs w:val="20"/>
              </w:rPr>
              <w:t>51,42</w:t>
            </w:r>
            <w:r>
              <w:rPr>
                <w:sz w:val="20"/>
                <w:szCs w:val="20"/>
              </w:rPr>
              <w:t>1</w:t>
            </w:r>
          </w:p>
        </w:tc>
        <w:tc>
          <w:tcPr>
            <w:tcW w:w="0" w:type="auto"/>
            <w:noWrap/>
            <w:vAlign w:val="bottom"/>
            <w:hideMark/>
          </w:tcPr>
          <w:p w14:paraId="2841988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785C07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136A43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84701B1" w14:textId="77777777" w:rsidR="00000000" w:rsidRDefault="003A1B5D">
            <w:pPr>
              <w:pStyle w:val="a3"/>
              <w:spacing w:before="0" w:beforeAutospacing="0" w:after="0" w:afterAutospacing="0"/>
              <w:jc w:val="right"/>
              <w:rPr>
                <w:sz w:val="20"/>
                <w:szCs w:val="20"/>
              </w:rPr>
            </w:pPr>
            <w:r>
              <w:rPr>
                <w:sz w:val="20"/>
                <w:szCs w:val="20"/>
              </w:rPr>
              <w:t>51,56</w:t>
            </w:r>
            <w:r>
              <w:rPr>
                <w:sz w:val="20"/>
                <w:szCs w:val="20"/>
              </w:rPr>
              <w:t>2</w:t>
            </w:r>
          </w:p>
        </w:tc>
        <w:tc>
          <w:tcPr>
            <w:tcW w:w="0" w:type="auto"/>
            <w:noWrap/>
            <w:vAlign w:val="bottom"/>
            <w:hideMark/>
          </w:tcPr>
          <w:p w14:paraId="271894C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50F857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F7FAF1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06C302A" w14:textId="77777777" w:rsidR="00000000" w:rsidRDefault="003A1B5D">
            <w:pPr>
              <w:pStyle w:val="a3"/>
              <w:spacing w:before="0" w:beforeAutospacing="0" w:after="0" w:afterAutospacing="0"/>
              <w:jc w:val="right"/>
              <w:rPr>
                <w:sz w:val="20"/>
                <w:szCs w:val="20"/>
              </w:rPr>
            </w:pPr>
            <w:r>
              <w:rPr>
                <w:sz w:val="20"/>
                <w:szCs w:val="20"/>
              </w:rPr>
              <w:t>51,42</w:t>
            </w:r>
            <w:r>
              <w:rPr>
                <w:sz w:val="20"/>
                <w:szCs w:val="20"/>
              </w:rPr>
              <w:t>1</w:t>
            </w:r>
          </w:p>
        </w:tc>
        <w:tc>
          <w:tcPr>
            <w:tcW w:w="0" w:type="auto"/>
            <w:noWrap/>
            <w:vAlign w:val="bottom"/>
            <w:hideMark/>
          </w:tcPr>
          <w:p w14:paraId="2180810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9E2546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ACD37C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DE2B6C0" w14:textId="77777777" w:rsidR="00000000" w:rsidRDefault="003A1B5D">
            <w:pPr>
              <w:pStyle w:val="a3"/>
              <w:spacing w:before="0" w:beforeAutospacing="0" w:after="0" w:afterAutospacing="0"/>
              <w:jc w:val="right"/>
              <w:rPr>
                <w:sz w:val="20"/>
                <w:szCs w:val="20"/>
              </w:rPr>
            </w:pPr>
            <w:r>
              <w:rPr>
                <w:sz w:val="20"/>
                <w:szCs w:val="20"/>
              </w:rPr>
              <w:t>38,46</w:t>
            </w:r>
            <w:r>
              <w:rPr>
                <w:sz w:val="20"/>
                <w:szCs w:val="20"/>
              </w:rPr>
              <w:t>0</w:t>
            </w:r>
          </w:p>
        </w:tc>
        <w:tc>
          <w:tcPr>
            <w:tcW w:w="0" w:type="auto"/>
            <w:noWrap/>
            <w:vAlign w:val="bottom"/>
            <w:hideMark/>
          </w:tcPr>
          <w:p w14:paraId="4D89A03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3D44E39"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72C9BE4A"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0961811" w14:textId="77777777" w:rsidR="00000000" w:rsidRDefault="003A1B5D">
            <w:pPr>
              <w:pStyle w:val="a3"/>
              <w:spacing w:before="0" w:beforeAutospacing="0" w:after="0" w:afterAutospacing="0"/>
              <w:jc w:val="right"/>
              <w:rPr>
                <w:sz w:val="20"/>
                <w:szCs w:val="20"/>
              </w:rPr>
            </w:pPr>
            <w:r>
              <w:rPr>
                <w:sz w:val="20"/>
                <w:szCs w:val="20"/>
              </w:rPr>
              <w:t>—</w:t>
            </w:r>
          </w:p>
        </w:tc>
        <w:tc>
          <w:tcPr>
            <w:tcW w:w="0" w:type="auto"/>
            <w:noWrap/>
            <w:vAlign w:val="bottom"/>
            <w:hideMark/>
          </w:tcPr>
          <w:p w14:paraId="59260F5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426EA7A"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3FDFF7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23D89F0" w14:textId="77777777" w:rsidR="00000000" w:rsidRDefault="003A1B5D">
            <w:pPr>
              <w:pStyle w:val="a3"/>
              <w:spacing w:before="0" w:beforeAutospacing="0" w:after="0" w:afterAutospacing="0"/>
              <w:jc w:val="right"/>
              <w:rPr>
                <w:sz w:val="20"/>
                <w:szCs w:val="20"/>
              </w:rPr>
            </w:pPr>
            <w:r>
              <w:rPr>
                <w:sz w:val="20"/>
                <w:szCs w:val="20"/>
              </w:rPr>
              <w:t>205,82</w:t>
            </w:r>
            <w:r>
              <w:rPr>
                <w:sz w:val="20"/>
                <w:szCs w:val="20"/>
              </w:rPr>
              <w:t>5</w:t>
            </w:r>
          </w:p>
        </w:tc>
        <w:tc>
          <w:tcPr>
            <w:tcW w:w="0" w:type="auto"/>
            <w:noWrap/>
            <w:vAlign w:val="bottom"/>
            <w:hideMark/>
          </w:tcPr>
          <w:p w14:paraId="4DE187A4" w14:textId="77777777" w:rsidR="00000000" w:rsidRDefault="003A1B5D">
            <w:pPr>
              <w:pStyle w:val="a3"/>
              <w:spacing w:before="0" w:beforeAutospacing="0" w:after="0" w:afterAutospacing="0"/>
              <w:rPr>
                <w:sz w:val="20"/>
                <w:szCs w:val="20"/>
              </w:rPr>
            </w:pPr>
            <w:r>
              <w:rPr>
                <w:sz w:val="20"/>
                <w:szCs w:val="20"/>
              </w:rPr>
              <w:t> </w:t>
            </w:r>
          </w:p>
        </w:tc>
      </w:tr>
      <w:tr w:rsidR="00000000" w14:paraId="00B81480" w14:textId="77777777">
        <w:trPr>
          <w:trHeight w:val="200"/>
          <w:tblCellSpacing w:w="15" w:type="dxa"/>
        </w:trPr>
        <w:tc>
          <w:tcPr>
            <w:tcW w:w="0" w:type="auto"/>
            <w:hideMark/>
          </w:tcPr>
          <w:p w14:paraId="6520185C" w14:textId="77777777" w:rsidR="00000000" w:rsidRDefault="003A1B5D">
            <w:pPr>
              <w:pStyle w:val="a3"/>
              <w:spacing w:before="0" w:beforeAutospacing="0" w:after="0" w:afterAutospacing="0"/>
              <w:rPr>
                <w:sz w:val="20"/>
                <w:szCs w:val="20"/>
              </w:rPr>
            </w:pPr>
            <w:r>
              <w:rPr>
                <w:sz w:val="20"/>
                <w:szCs w:val="20"/>
              </w:rPr>
              <w:t>Lease</w:t>
            </w:r>
            <w:r>
              <w:rPr>
                <w:sz w:val="20"/>
                <w:szCs w:val="20"/>
              </w:rPr>
              <w:t>s</w:t>
            </w:r>
          </w:p>
        </w:tc>
        <w:tc>
          <w:tcPr>
            <w:tcW w:w="0" w:type="auto"/>
            <w:vAlign w:val="bottom"/>
            <w:hideMark/>
          </w:tcPr>
          <w:p w14:paraId="1B537AC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6C9B149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470CF74" w14:textId="77777777" w:rsidR="00000000" w:rsidRDefault="003A1B5D">
            <w:pPr>
              <w:pStyle w:val="a3"/>
              <w:spacing w:before="0" w:beforeAutospacing="0" w:after="0" w:afterAutospacing="0"/>
              <w:jc w:val="right"/>
              <w:rPr>
                <w:sz w:val="20"/>
                <w:szCs w:val="20"/>
              </w:rPr>
            </w:pPr>
            <w:r>
              <w:rPr>
                <w:sz w:val="20"/>
                <w:szCs w:val="20"/>
              </w:rPr>
              <w:t>1,23</w:t>
            </w:r>
            <w:r>
              <w:rPr>
                <w:sz w:val="20"/>
                <w:szCs w:val="20"/>
              </w:rPr>
              <w:t>1</w:t>
            </w:r>
          </w:p>
        </w:tc>
        <w:tc>
          <w:tcPr>
            <w:tcW w:w="0" w:type="auto"/>
            <w:noWrap/>
            <w:vAlign w:val="bottom"/>
            <w:hideMark/>
          </w:tcPr>
          <w:p w14:paraId="46D3416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181B37D"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7CF816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EA50338" w14:textId="77777777" w:rsidR="00000000" w:rsidRDefault="003A1B5D">
            <w:pPr>
              <w:pStyle w:val="a3"/>
              <w:spacing w:before="0" w:beforeAutospacing="0" w:after="0" w:afterAutospacing="0"/>
              <w:jc w:val="right"/>
              <w:rPr>
                <w:sz w:val="20"/>
                <w:szCs w:val="20"/>
              </w:rPr>
            </w:pPr>
            <w:r>
              <w:rPr>
                <w:sz w:val="20"/>
                <w:szCs w:val="20"/>
              </w:rPr>
              <w:t>4,74</w:t>
            </w:r>
            <w:r>
              <w:rPr>
                <w:sz w:val="20"/>
                <w:szCs w:val="20"/>
              </w:rPr>
              <w:t>2</w:t>
            </w:r>
          </w:p>
        </w:tc>
        <w:tc>
          <w:tcPr>
            <w:tcW w:w="0" w:type="auto"/>
            <w:noWrap/>
            <w:vAlign w:val="bottom"/>
            <w:hideMark/>
          </w:tcPr>
          <w:p w14:paraId="2B79664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B55204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3BC370D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3CD0BD3" w14:textId="77777777" w:rsidR="00000000" w:rsidRDefault="003A1B5D">
            <w:pPr>
              <w:pStyle w:val="a3"/>
              <w:spacing w:before="0" w:beforeAutospacing="0" w:after="0" w:afterAutospacing="0"/>
              <w:jc w:val="right"/>
              <w:rPr>
                <w:sz w:val="20"/>
                <w:szCs w:val="20"/>
              </w:rPr>
            </w:pPr>
            <w:r>
              <w:rPr>
                <w:sz w:val="20"/>
                <w:szCs w:val="20"/>
              </w:rPr>
              <w:t>4,69</w:t>
            </w:r>
            <w:r>
              <w:rPr>
                <w:sz w:val="20"/>
                <w:szCs w:val="20"/>
              </w:rPr>
              <w:t>0</w:t>
            </w:r>
          </w:p>
        </w:tc>
        <w:tc>
          <w:tcPr>
            <w:tcW w:w="0" w:type="auto"/>
            <w:noWrap/>
            <w:vAlign w:val="bottom"/>
            <w:hideMark/>
          </w:tcPr>
          <w:p w14:paraId="7C4B731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58A5613"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714FD5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B47650B" w14:textId="77777777" w:rsidR="00000000" w:rsidRDefault="003A1B5D">
            <w:pPr>
              <w:pStyle w:val="a3"/>
              <w:spacing w:before="0" w:beforeAutospacing="0" w:after="0" w:afterAutospacing="0"/>
              <w:jc w:val="right"/>
              <w:rPr>
                <w:sz w:val="20"/>
                <w:szCs w:val="20"/>
              </w:rPr>
            </w:pPr>
            <w:r>
              <w:rPr>
                <w:sz w:val="20"/>
                <w:szCs w:val="20"/>
              </w:rPr>
              <w:t>4,56</w:t>
            </w:r>
            <w:r>
              <w:rPr>
                <w:sz w:val="20"/>
                <w:szCs w:val="20"/>
              </w:rPr>
              <w:t>4</w:t>
            </w:r>
          </w:p>
        </w:tc>
        <w:tc>
          <w:tcPr>
            <w:tcW w:w="0" w:type="auto"/>
            <w:noWrap/>
            <w:vAlign w:val="bottom"/>
            <w:hideMark/>
          </w:tcPr>
          <w:p w14:paraId="5CFC358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29F6B44"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8E2F20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56B1C8E" w14:textId="77777777" w:rsidR="00000000" w:rsidRDefault="003A1B5D">
            <w:pPr>
              <w:pStyle w:val="a3"/>
              <w:spacing w:before="0" w:beforeAutospacing="0" w:after="0" w:afterAutospacing="0"/>
              <w:jc w:val="right"/>
              <w:rPr>
                <w:sz w:val="20"/>
                <w:szCs w:val="20"/>
              </w:rPr>
            </w:pPr>
            <w:r>
              <w:rPr>
                <w:sz w:val="20"/>
                <w:szCs w:val="20"/>
              </w:rPr>
              <w:t>4,29</w:t>
            </w:r>
            <w:r>
              <w:rPr>
                <w:sz w:val="20"/>
                <w:szCs w:val="20"/>
              </w:rPr>
              <w:t>7</w:t>
            </w:r>
          </w:p>
        </w:tc>
        <w:tc>
          <w:tcPr>
            <w:tcW w:w="0" w:type="auto"/>
            <w:noWrap/>
            <w:vAlign w:val="bottom"/>
            <w:hideMark/>
          </w:tcPr>
          <w:p w14:paraId="393347A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F50CA39"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96AF6E0"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78DC71D" w14:textId="77777777" w:rsidR="00000000" w:rsidRDefault="003A1B5D">
            <w:pPr>
              <w:pStyle w:val="a3"/>
              <w:spacing w:before="0" w:beforeAutospacing="0" w:after="0" w:afterAutospacing="0"/>
              <w:jc w:val="right"/>
              <w:rPr>
                <w:sz w:val="20"/>
                <w:szCs w:val="20"/>
              </w:rPr>
            </w:pPr>
            <w:r>
              <w:rPr>
                <w:sz w:val="20"/>
                <w:szCs w:val="20"/>
              </w:rPr>
              <w:t>18,48</w:t>
            </w:r>
            <w:r>
              <w:rPr>
                <w:sz w:val="20"/>
                <w:szCs w:val="20"/>
              </w:rPr>
              <w:t>3</w:t>
            </w:r>
          </w:p>
        </w:tc>
        <w:tc>
          <w:tcPr>
            <w:tcW w:w="0" w:type="auto"/>
            <w:noWrap/>
            <w:vAlign w:val="bottom"/>
            <w:hideMark/>
          </w:tcPr>
          <w:p w14:paraId="151C984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50A8F4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01271BBE"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45FFB0C" w14:textId="77777777" w:rsidR="00000000" w:rsidRDefault="003A1B5D">
            <w:pPr>
              <w:pStyle w:val="a3"/>
              <w:spacing w:before="0" w:beforeAutospacing="0" w:after="0" w:afterAutospacing="0"/>
              <w:jc w:val="right"/>
              <w:rPr>
                <w:sz w:val="20"/>
                <w:szCs w:val="20"/>
              </w:rPr>
            </w:pPr>
            <w:r>
              <w:rPr>
                <w:sz w:val="20"/>
                <w:szCs w:val="20"/>
              </w:rPr>
              <w:t>38,00</w:t>
            </w:r>
            <w:r>
              <w:rPr>
                <w:sz w:val="20"/>
                <w:szCs w:val="20"/>
              </w:rPr>
              <w:t>7</w:t>
            </w:r>
          </w:p>
        </w:tc>
        <w:tc>
          <w:tcPr>
            <w:tcW w:w="0" w:type="auto"/>
            <w:noWrap/>
            <w:vAlign w:val="bottom"/>
            <w:hideMark/>
          </w:tcPr>
          <w:p w14:paraId="012EEFF4" w14:textId="77777777" w:rsidR="00000000" w:rsidRDefault="003A1B5D">
            <w:pPr>
              <w:pStyle w:val="a3"/>
              <w:spacing w:before="0" w:beforeAutospacing="0" w:after="0" w:afterAutospacing="0"/>
              <w:rPr>
                <w:sz w:val="20"/>
                <w:szCs w:val="20"/>
              </w:rPr>
            </w:pPr>
            <w:r>
              <w:rPr>
                <w:sz w:val="20"/>
                <w:szCs w:val="20"/>
              </w:rPr>
              <w:t> </w:t>
            </w:r>
          </w:p>
        </w:tc>
      </w:tr>
      <w:tr w:rsidR="00000000" w14:paraId="6B323E5A" w14:textId="77777777">
        <w:trPr>
          <w:trHeight w:val="200"/>
          <w:tblCellSpacing w:w="15" w:type="dxa"/>
        </w:trPr>
        <w:tc>
          <w:tcPr>
            <w:tcW w:w="0" w:type="auto"/>
            <w:hideMark/>
          </w:tcPr>
          <w:p w14:paraId="30F71019" w14:textId="77777777" w:rsidR="00000000" w:rsidRDefault="003A1B5D">
            <w:pPr>
              <w:pStyle w:val="a3"/>
              <w:spacing w:before="0" w:beforeAutospacing="0" w:after="0" w:afterAutospacing="0"/>
              <w:rPr>
                <w:sz w:val="20"/>
                <w:szCs w:val="20"/>
              </w:rPr>
            </w:pPr>
            <w:r>
              <w:rPr>
                <w:sz w:val="20"/>
                <w:szCs w:val="20"/>
              </w:rPr>
              <w:t>Total contractual cash obligation</w:t>
            </w:r>
            <w:r>
              <w:rPr>
                <w:sz w:val="20"/>
                <w:szCs w:val="20"/>
              </w:rPr>
              <w:t>s</w:t>
            </w:r>
          </w:p>
        </w:tc>
        <w:tc>
          <w:tcPr>
            <w:tcW w:w="0" w:type="auto"/>
            <w:vAlign w:val="bottom"/>
            <w:hideMark/>
          </w:tcPr>
          <w:p w14:paraId="11316AC2"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FD94D3C"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3E74D432" w14:textId="77777777" w:rsidR="00000000" w:rsidRDefault="003A1B5D">
            <w:pPr>
              <w:pStyle w:val="a3"/>
              <w:spacing w:before="0" w:beforeAutospacing="0" w:after="0" w:afterAutospacing="0"/>
              <w:jc w:val="right"/>
              <w:rPr>
                <w:sz w:val="20"/>
                <w:szCs w:val="20"/>
              </w:rPr>
            </w:pPr>
            <w:r>
              <w:rPr>
                <w:sz w:val="20"/>
                <w:szCs w:val="20"/>
              </w:rPr>
              <w:t>58,58</w:t>
            </w:r>
            <w:r>
              <w:rPr>
                <w:sz w:val="20"/>
                <w:szCs w:val="20"/>
              </w:rPr>
              <w:t>8</w:t>
            </w:r>
          </w:p>
        </w:tc>
        <w:tc>
          <w:tcPr>
            <w:tcW w:w="0" w:type="auto"/>
            <w:noWrap/>
            <w:vAlign w:val="bottom"/>
            <w:hideMark/>
          </w:tcPr>
          <w:p w14:paraId="22FD58B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C42599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875187B"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4F38F9EE" w14:textId="77777777" w:rsidR="00000000" w:rsidRDefault="003A1B5D">
            <w:pPr>
              <w:pStyle w:val="a3"/>
              <w:spacing w:before="0" w:beforeAutospacing="0" w:after="0" w:afterAutospacing="0"/>
              <w:jc w:val="right"/>
              <w:rPr>
                <w:sz w:val="20"/>
                <w:szCs w:val="20"/>
              </w:rPr>
            </w:pPr>
            <w:r>
              <w:rPr>
                <w:sz w:val="20"/>
                <w:szCs w:val="20"/>
              </w:rPr>
              <w:t>309,68</w:t>
            </w:r>
            <w:r>
              <w:rPr>
                <w:sz w:val="20"/>
                <w:szCs w:val="20"/>
              </w:rPr>
              <w:t>9</w:t>
            </w:r>
          </w:p>
        </w:tc>
        <w:tc>
          <w:tcPr>
            <w:tcW w:w="0" w:type="auto"/>
            <w:noWrap/>
            <w:vAlign w:val="bottom"/>
            <w:hideMark/>
          </w:tcPr>
          <w:p w14:paraId="57D8F1B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8BE7DB5"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EE95C5F"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59899DA0" w14:textId="77777777" w:rsidR="00000000" w:rsidRDefault="003A1B5D">
            <w:pPr>
              <w:pStyle w:val="a3"/>
              <w:spacing w:before="0" w:beforeAutospacing="0" w:after="0" w:afterAutospacing="0"/>
              <w:jc w:val="right"/>
              <w:rPr>
                <w:sz w:val="20"/>
                <w:szCs w:val="20"/>
              </w:rPr>
            </w:pPr>
            <w:r>
              <w:rPr>
                <w:sz w:val="20"/>
                <w:szCs w:val="20"/>
              </w:rPr>
              <w:t>142,13</w:t>
            </w:r>
            <w:r>
              <w:rPr>
                <w:sz w:val="20"/>
                <w:szCs w:val="20"/>
              </w:rPr>
              <w:t>5</w:t>
            </w:r>
          </w:p>
        </w:tc>
        <w:tc>
          <w:tcPr>
            <w:tcW w:w="0" w:type="auto"/>
            <w:noWrap/>
            <w:vAlign w:val="bottom"/>
            <w:hideMark/>
          </w:tcPr>
          <w:p w14:paraId="0F70D95F"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74FC79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AA98B0E"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65487AC4" w14:textId="77777777" w:rsidR="00000000" w:rsidRDefault="003A1B5D">
            <w:pPr>
              <w:pStyle w:val="a3"/>
              <w:spacing w:before="0" w:beforeAutospacing="0" w:after="0" w:afterAutospacing="0"/>
              <w:jc w:val="right"/>
              <w:rPr>
                <w:sz w:val="20"/>
                <w:szCs w:val="20"/>
              </w:rPr>
            </w:pPr>
            <w:r>
              <w:rPr>
                <w:sz w:val="20"/>
                <w:szCs w:val="20"/>
              </w:rPr>
              <w:t>144,59</w:t>
            </w:r>
            <w:r>
              <w:rPr>
                <w:sz w:val="20"/>
                <w:szCs w:val="20"/>
              </w:rPr>
              <w:t>9</w:t>
            </w:r>
          </w:p>
        </w:tc>
        <w:tc>
          <w:tcPr>
            <w:tcW w:w="0" w:type="auto"/>
            <w:noWrap/>
            <w:vAlign w:val="bottom"/>
            <w:hideMark/>
          </w:tcPr>
          <w:p w14:paraId="289A938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D19C80E"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11C9527"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7092F1BA" w14:textId="77777777" w:rsidR="00000000" w:rsidRDefault="003A1B5D">
            <w:pPr>
              <w:pStyle w:val="a3"/>
              <w:spacing w:before="0" w:beforeAutospacing="0" w:after="0" w:afterAutospacing="0"/>
              <w:jc w:val="right"/>
              <w:rPr>
                <w:sz w:val="20"/>
                <w:szCs w:val="20"/>
              </w:rPr>
            </w:pPr>
            <w:r>
              <w:rPr>
                <w:sz w:val="20"/>
                <w:szCs w:val="20"/>
              </w:rPr>
              <w:t>802,92</w:t>
            </w:r>
            <w:r>
              <w:rPr>
                <w:sz w:val="20"/>
                <w:szCs w:val="20"/>
              </w:rPr>
              <w:t>8</w:t>
            </w:r>
          </w:p>
        </w:tc>
        <w:tc>
          <w:tcPr>
            <w:tcW w:w="0" w:type="auto"/>
            <w:noWrap/>
            <w:vAlign w:val="bottom"/>
            <w:hideMark/>
          </w:tcPr>
          <w:p w14:paraId="5050507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42B2A9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770CA788"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3B8408B6" w14:textId="77777777" w:rsidR="00000000" w:rsidRDefault="003A1B5D">
            <w:pPr>
              <w:pStyle w:val="a3"/>
              <w:spacing w:before="0" w:beforeAutospacing="0" w:after="0" w:afterAutospacing="0"/>
              <w:jc w:val="right"/>
              <w:rPr>
                <w:sz w:val="20"/>
                <w:szCs w:val="20"/>
              </w:rPr>
            </w:pPr>
            <w:r>
              <w:rPr>
                <w:sz w:val="20"/>
                <w:szCs w:val="20"/>
              </w:rPr>
              <w:t>451,34</w:t>
            </w:r>
            <w:r>
              <w:rPr>
                <w:sz w:val="20"/>
                <w:szCs w:val="20"/>
              </w:rPr>
              <w:t>9</w:t>
            </w:r>
          </w:p>
        </w:tc>
        <w:tc>
          <w:tcPr>
            <w:tcW w:w="0" w:type="auto"/>
            <w:noWrap/>
            <w:vAlign w:val="bottom"/>
            <w:hideMark/>
          </w:tcPr>
          <w:p w14:paraId="534F1525"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BEAFCEB"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0F579FF"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0455EF13" w14:textId="77777777" w:rsidR="00000000" w:rsidRDefault="003A1B5D">
            <w:pPr>
              <w:pStyle w:val="a3"/>
              <w:spacing w:before="0" w:beforeAutospacing="0" w:after="0" w:afterAutospacing="0"/>
              <w:jc w:val="right"/>
              <w:rPr>
                <w:sz w:val="20"/>
                <w:szCs w:val="20"/>
              </w:rPr>
            </w:pPr>
            <w:r>
              <w:rPr>
                <w:sz w:val="20"/>
                <w:szCs w:val="20"/>
              </w:rPr>
              <w:t>1,909,28</w:t>
            </w:r>
            <w:r>
              <w:rPr>
                <w:sz w:val="20"/>
                <w:szCs w:val="20"/>
              </w:rPr>
              <w:t>8</w:t>
            </w:r>
          </w:p>
        </w:tc>
        <w:tc>
          <w:tcPr>
            <w:tcW w:w="0" w:type="auto"/>
            <w:noWrap/>
            <w:vAlign w:val="bottom"/>
            <w:hideMark/>
          </w:tcPr>
          <w:p w14:paraId="6FC171A8" w14:textId="77777777" w:rsidR="00000000" w:rsidRDefault="003A1B5D">
            <w:pPr>
              <w:pStyle w:val="a3"/>
              <w:spacing w:before="0" w:beforeAutospacing="0" w:after="0" w:afterAutospacing="0"/>
              <w:rPr>
                <w:sz w:val="20"/>
                <w:szCs w:val="20"/>
              </w:rPr>
            </w:pPr>
            <w:r>
              <w:rPr>
                <w:sz w:val="20"/>
                <w:szCs w:val="20"/>
              </w:rPr>
              <w:t> </w:t>
            </w:r>
          </w:p>
        </w:tc>
      </w:tr>
    </w:tbl>
    <w:p w14:paraId="018EFA83" w14:textId="77777777" w:rsidR="00000000" w:rsidRDefault="003A1B5D">
      <w:pPr>
        <w:pStyle w:val="a3"/>
        <w:spacing w:before="0" w:beforeAutospacing="0" w:after="0" w:afterAutospacing="0"/>
        <w:rPr>
          <w:sz w:val="20"/>
          <w:szCs w:val="20"/>
        </w:rPr>
      </w:pPr>
      <w:r>
        <w:rPr>
          <w:sz w:val="20"/>
          <w:szCs w:val="20"/>
        </w:rPr>
        <w:t> </w:t>
      </w:r>
    </w:p>
    <w:p w14:paraId="652D11C9" w14:textId="77777777" w:rsidR="00000000" w:rsidRDefault="003A1B5D">
      <w:pPr>
        <w:pStyle w:val="a3"/>
        <w:spacing w:before="0" w:beforeAutospacing="0" w:after="0" w:afterAutospacing="0"/>
        <w:jc w:val="both"/>
        <w:rPr>
          <w:sz w:val="20"/>
          <w:szCs w:val="20"/>
        </w:rPr>
      </w:pPr>
      <w:r>
        <w:rPr>
          <w:sz w:val="20"/>
          <w:szCs w:val="20"/>
        </w:rPr>
        <w:t>The cash obligations in the table above do not include future cash obligations for variable interest expense associated with our New Term Loan A or the balance on our outstanding New Revolving Credit Facility, if any, as projections would be based on futur</w:t>
      </w:r>
      <w:r>
        <w:rPr>
          <w:sz w:val="20"/>
          <w:szCs w:val="20"/>
        </w:rPr>
        <w:t>e outstanding balances as well as future variable interest rates, and we are unable to make reliable estimates of either. Certain of our other ongoing construction projects are not currently under contract and thus are not included as a contractual obligat</w:t>
      </w:r>
      <w:r>
        <w:rPr>
          <w:sz w:val="20"/>
          <w:szCs w:val="20"/>
        </w:rPr>
        <w:t xml:space="preserve">ion above as we may generally suspend or terminate such projects without substantial penalty. With respect to the South Texas Family Residential Center, the cash obligations included in the table above reflect the full contractual obligations of the lease </w:t>
      </w:r>
      <w:r>
        <w:rPr>
          <w:sz w:val="20"/>
          <w:szCs w:val="20"/>
        </w:rPr>
        <w:t>of the site, excluding contingent payments, even though the lease agreement provides us with the ability to terminate if ICE terminates the amended IGSA associated with the facility</w:t>
      </w:r>
      <w:r>
        <w:rPr>
          <w:sz w:val="20"/>
          <w:szCs w:val="20"/>
        </w:rPr>
        <w:t>.</w:t>
      </w:r>
      <w:r>
        <w:rPr>
          <w:sz w:val="20"/>
          <w:szCs w:val="20"/>
        </w:rPr>
        <w:t xml:space="preserve"> </w:t>
      </w:r>
    </w:p>
    <w:p w14:paraId="0D102D95" w14:textId="77777777" w:rsidR="00000000" w:rsidRDefault="003A1B5D">
      <w:pPr>
        <w:pStyle w:val="a3"/>
        <w:spacing w:before="240" w:beforeAutospacing="0" w:after="0" w:afterAutospacing="0"/>
        <w:jc w:val="both"/>
        <w:rPr>
          <w:sz w:val="20"/>
          <w:szCs w:val="20"/>
        </w:rPr>
      </w:pPr>
      <w:r>
        <w:rPr>
          <w:sz w:val="20"/>
          <w:szCs w:val="20"/>
        </w:rPr>
        <w:t>We had $16.8 million of letters of credit outstanding at September 30, 2022 primarily to support our requirement to repay fees and claims under our self-insured workers' compensation plan in the event we do not repay the fees and claims due in accordance w</w:t>
      </w:r>
      <w:r>
        <w:rPr>
          <w:sz w:val="20"/>
          <w:szCs w:val="20"/>
        </w:rPr>
        <w:t xml:space="preserve">ith the terms of the plan, and for a debt service reserve requirement under terms of the Kansas Notes. The letters of credit are renewable annually. We did not have any draws under these outstanding letters of credit during the nine months ended September </w:t>
      </w:r>
      <w:r>
        <w:rPr>
          <w:sz w:val="20"/>
          <w:szCs w:val="20"/>
        </w:rPr>
        <w:t>30, 2022 or 2021</w:t>
      </w:r>
      <w:r>
        <w:rPr>
          <w:sz w:val="20"/>
          <w:szCs w:val="20"/>
        </w:rPr>
        <w:t>.</w:t>
      </w:r>
      <w:r>
        <w:rPr>
          <w:sz w:val="20"/>
          <w:szCs w:val="20"/>
        </w:rPr>
        <w:t xml:space="preserve"> </w:t>
      </w:r>
    </w:p>
    <w:p w14:paraId="40B158BD" w14:textId="77777777" w:rsidR="00000000" w:rsidRDefault="003A1B5D">
      <w:pPr>
        <w:pStyle w:val="a3"/>
        <w:spacing w:before="360" w:beforeAutospacing="0" w:after="0" w:afterAutospacing="0"/>
        <w:jc w:val="both"/>
        <w:rPr>
          <w:sz w:val="20"/>
          <w:szCs w:val="20"/>
        </w:rPr>
      </w:pPr>
      <w:r>
        <w:rPr>
          <w:b/>
          <w:bCs/>
          <w:sz w:val="20"/>
          <w:szCs w:val="20"/>
        </w:rPr>
        <w:t>INFLATIO</w:t>
      </w:r>
      <w:r>
        <w:rPr>
          <w:b/>
          <w:bCs/>
          <w:sz w:val="20"/>
          <w:szCs w:val="20"/>
        </w:rPr>
        <w:t>N</w:t>
      </w:r>
    </w:p>
    <w:p w14:paraId="6EA6198F" w14:textId="77777777" w:rsidR="00000000" w:rsidRDefault="003A1B5D">
      <w:pPr>
        <w:pStyle w:val="a3"/>
        <w:spacing w:before="120" w:beforeAutospacing="0" w:after="0" w:afterAutospacing="0"/>
        <w:jc w:val="both"/>
        <w:rPr>
          <w:sz w:val="20"/>
          <w:szCs w:val="20"/>
        </w:rPr>
      </w:pPr>
      <w:r>
        <w:rPr>
          <w:sz w:val="20"/>
          <w:szCs w:val="20"/>
        </w:rPr>
        <w:t>Many of our contracts include provisions for inflationary indexing, which may mitigate an adverse impact of inflation on net income. However, a substantial increase in personnel costs, workers' compensation, utilities, food, an</w:t>
      </w:r>
      <w:r>
        <w:rPr>
          <w:sz w:val="20"/>
          <w:szCs w:val="20"/>
        </w:rPr>
        <w:t xml:space="preserve">d medical expenses could have an adverse impact on our results of operations in the future to the extent that these expenses increase at a faster pace than the per diem or fixed rates we receive for our management services. As previously described herein, </w:t>
      </w:r>
      <w:r>
        <w:rPr>
          <w:sz w:val="20"/>
          <w:szCs w:val="20"/>
        </w:rPr>
        <w:t>we have experienced increases in personnel costs and expect the labor market to remain challenging, which could have a material adverse effect on our operations. We outsource our food service operations to a third party. The contract with our outsourced fo</w:t>
      </w:r>
      <w:r>
        <w:rPr>
          <w:sz w:val="20"/>
          <w:szCs w:val="20"/>
        </w:rPr>
        <w:t>od service vendor contains certain protections against increases in food costs</w:t>
      </w:r>
      <w:r>
        <w:rPr>
          <w:sz w:val="20"/>
          <w:szCs w:val="20"/>
        </w:rPr>
        <w:t>.</w:t>
      </w:r>
      <w:r>
        <w:rPr>
          <w:sz w:val="20"/>
          <w:szCs w:val="20"/>
        </w:rPr>
        <w:t xml:space="preserve"> </w:t>
      </w:r>
    </w:p>
    <w:p w14:paraId="752F670D" w14:textId="77777777" w:rsidR="00000000" w:rsidRDefault="003A1B5D">
      <w:pPr>
        <w:pStyle w:val="a3"/>
        <w:spacing w:before="360" w:beforeAutospacing="0" w:after="0" w:afterAutospacing="0"/>
        <w:jc w:val="both"/>
        <w:rPr>
          <w:sz w:val="20"/>
          <w:szCs w:val="20"/>
        </w:rPr>
      </w:pPr>
      <w:r>
        <w:rPr>
          <w:b/>
          <w:bCs/>
          <w:sz w:val="20"/>
          <w:szCs w:val="20"/>
        </w:rPr>
        <w:t>SEASONALITY AND QUARTERLY RESULT</w:t>
      </w:r>
      <w:r>
        <w:rPr>
          <w:b/>
          <w:bCs/>
          <w:sz w:val="20"/>
          <w:szCs w:val="20"/>
        </w:rPr>
        <w:t>S</w:t>
      </w:r>
      <w:r>
        <w:rPr>
          <w:b/>
          <w:bCs/>
          <w:sz w:val="20"/>
          <w:szCs w:val="20"/>
        </w:rPr>
        <w:t xml:space="preserve"> </w:t>
      </w:r>
    </w:p>
    <w:p w14:paraId="36915157" w14:textId="77777777" w:rsidR="00000000" w:rsidRDefault="003A1B5D">
      <w:pPr>
        <w:pStyle w:val="a3"/>
        <w:spacing w:before="120" w:beforeAutospacing="0" w:after="0" w:afterAutospacing="0"/>
        <w:jc w:val="both"/>
        <w:rPr>
          <w:sz w:val="20"/>
          <w:szCs w:val="20"/>
        </w:rPr>
      </w:pPr>
      <w:r>
        <w:rPr>
          <w:sz w:val="20"/>
          <w:szCs w:val="20"/>
        </w:rPr>
        <w:t>Certain aspects of our business are subject to seasonal fluctuations. Because we are generally compensated for operating and managing correc</w:t>
      </w:r>
      <w:r>
        <w:rPr>
          <w:sz w:val="20"/>
          <w:szCs w:val="20"/>
        </w:rPr>
        <w:t>tional, detention, and reentry facilities at a per diem rate, our financial results are impacted by the number of calendar days in a fiscal quarter. Our fiscal year follows the calendar year and therefore, our daily profits for the third and fourth quarter</w:t>
      </w:r>
      <w:r>
        <w:rPr>
          <w:sz w:val="20"/>
          <w:szCs w:val="20"/>
        </w:rPr>
        <w:t>s include two more days than the first quarter (except in leap years) and one more day than the second quarter. Further, salaries and benefits represent the most significant component of operating expenses. Significant portions of our unemployment taxes ar</w:t>
      </w:r>
      <w:r>
        <w:rPr>
          <w:sz w:val="20"/>
          <w:szCs w:val="20"/>
        </w:rPr>
        <w:t>e recognized during the first quarter, when base wage rates reset for unemployment tax purposes. Quarterly results are also affected by government funding initiatives, acquisitions, the timing of the opening of new facilities, or the commencement of new ma</w:t>
      </w:r>
      <w:r>
        <w:rPr>
          <w:sz w:val="20"/>
          <w:szCs w:val="20"/>
        </w:rPr>
        <w:t>nagement contracts and related start-up expenses which may mitigate or exacerbate the impact of other seasonal influences. Because of seasonality factors, and other factors described herein, results for any quarter are not necessarily indicative of the res</w:t>
      </w:r>
      <w:r>
        <w:rPr>
          <w:sz w:val="20"/>
          <w:szCs w:val="20"/>
        </w:rPr>
        <w:t>ults that may be achieved for the full fiscal year</w:t>
      </w:r>
      <w:r>
        <w:rPr>
          <w:sz w:val="20"/>
          <w:szCs w:val="20"/>
        </w:rPr>
        <w:t>.</w:t>
      </w:r>
      <w:r>
        <w:rPr>
          <w:sz w:val="20"/>
          <w:szCs w:val="20"/>
        </w:rPr>
        <w:t xml:space="preserve"> </w:t>
      </w:r>
    </w:p>
    <w:p w14:paraId="7FEA3491" w14:textId="77777777" w:rsidR="00000000" w:rsidRDefault="003A1B5D">
      <w:pPr>
        <w:pStyle w:val="a3"/>
        <w:spacing w:before="240" w:beforeAutospacing="0" w:after="0" w:afterAutospacing="0"/>
        <w:jc w:val="center"/>
        <w:rPr>
          <w:sz w:val="20"/>
          <w:szCs w:val="20"/>
        </w:rPr>
      </w:pPr>
      <w:r>
        <w:rPr>
          <w:sz w:val="20"/>
          <w:szCs w:val="20"/>
        </w:rPr>
        <w:t>4</w:t>
      </w:r>
      <w:r>
        <w:rPr>
          <w:sz w:val="20"/>
          <w:szCs w:val="20"/>
        </w:rPr>
        <w:t>3</w:t>
      </w:r>
    </w:p>
    <w:p w14:paraId="56EFA732" w14:textId="77777777" w:rsidR="00000000" w:rsidRDefault="003A1B5D">
      <w:pPr>
        <w:rPr>
          <w:rFonts w:eastAsia="Times New Roman"/>
        </w:rPr>
      </w:pPr>
      <w:r>
        <w:rPr>
          <w:rFonts w:eastAsia="Times New Roman"/>
        </w:rPr>
        <w:pict w14:anchorId="5F5E061D">
          <v:rect id="_x0000_i1069" style="width:0;height:1.5pt" o:hralign="center" o:hrstd="t" o:hr="t" fillcolor="#a0a0a0" stroked="f"/>
        </w:pict>
      </w:r>
    </w:p>
    <w:p w14:paraId="42EE0134" w14:textId="77777777" w:rsidR="00000000" w:rsidRDefault="003A1B5D">
      <w:pPr>
        <w:pStyle w:val="a3"/>
        <w:spacing w:before="0" w:beforeAutospacing="0" w:after="0" w:afterAutospacing="0"/>
        <w:rPr>
          <w:sz w:val="20"/>
          <w:szCs w:val="20"/>
        </w:rPr>
      </w:pPr>
      <w:r>
        <w:rPr>
          <w:sz w:val="20"/>
          <w:szCs w:val="20"/>
        </w:rPr>
        <w:t> </w:t>
      </w:r>
    </w:p>
    <w:p w14:paraId="3FB11224" w14:textId="77777777" w:rsidR="00000000" w:rsidRDefault="003A1B5D">
      <w:pPr>
        <w:pStyle w:val="a3"/>
        <w:spacing w:before="360" w:beforeAutospacing="0" w:after="0" w:afterAutospacing="0"/>
        <w:rPr>
          <w:sz w:val="20"/>
          <w:szCs w:val="20"/>
        </w:rPr>
      </w:pPr>
      <w:r>
        <w:rPr>
          <w:b/>
          <w:bCs/>
          <w:sz w:val="20"/>
          <w:szCs w:val="20"/>
        </w:rPr>
        <w:t>ITEM 3. QUANTITAT</w:t>
      </w:r>
      <w:r>
        <w:rPr>
          <w:b/>
          <w:bCs/>
          <w:sz w:val="20"/>
          <w:szCs w:val="20"/>
        </w:rPr>
        <w:t>I</w:t>
      </w:r>
      <w:r>
        <w:rPr>
          <w:b/>
          <w:bCs/>
          <w:sz w:val="20"/>
          <w:szCs w:val="20"/>
        </w:rPr>
        <w:t>VE AND QUALITATIVE DISCLOSURES ABOUT MARKET RISK</w:t>
      </w:r>
      <w:r>
        <w:rPr>
          <w:b/>
          <w:bCs/>
          <w:sz w:val="20"/>
          <w:szCs w:val="20"/>
        </w:rPr>
        <w:t>.</w:t>
      </w:r>
    </w:p>
    <w:p w14:paraId="0711B849" w14:textId="77777777" w:rsidR="00000000" w:rsidRDefault="003A1B5D">
      <w:pPr>
        <w:pStyle w:val="a3"/>
        <w:spacing w:before="120" w:beforeAutospacing="0" w:after="0" w:afterAutospacing="0"/>
        <w:jc w:val="both"/>
        <w:rPr>
          <w:sz w:val="20"/>
          <w:szCs w:val="20"/>
        </w:rPr>
      </w:pPr>
      <w:r>
        <w:rPr>
          <w:sz w:val="20"/>
          <w:szCs w:val="20"/>
        </w:rPr>
        <w:t>Our primary market risk exposure is to changes in U.S. interest rates. In an effort to mitigat</w:t>
      </w:r>
      <w:r>
        <w:rPr>
          <w:sz w:val="20"/>
          <w:szCs w:val="20"/>
        </w:rPr>
        <w:t>e inflation, the Federal Reserve has increased interest rates throughout the first nine months of 2022, and it is anticipated that interest rates will continue to rise in the near term. We are exposed to market risk related to our Bank Credit Facility beca</w:t>
      </w:r>
      <w:r>
        <w:rPr>
          <w:sz w:val="20"/>
          <w:szCs w:val="20"/>
        </w:rPr>
        <w:t>use the interest rates on these loans are subject to fluctuations in the market. We were also exposed to market risk related to our Term Loan B prior to its prepayment in full in May 2022. If the interest rate for our outstanding indebtedness under the Rev</w:t>
      </w:r>
      <w:r>
        <w:rPr>
          <w:sz w:val="20"/>
          <w:szCs w:val="20"/>
        </w:rPr>
        <w:t xml:space="preserve">olving Credit Facility, the Term Loan A, and the Term Loan B for the nine-month period was 100 basis points higher or lower (but not less than 0%) during the three and nine months ended September 30, 2022, our interest expense, net of amounts capitalized, </w:t>
      </w:r>
      <w:r>
        <w:rPr>
          <w:sz w:val="20"/>
          <w:szCs w:val="20"/>
        </w:rPr>
        <w:t>would have been increased by $0.3 million and $1.2 million, respectively, and would have been decreased by $0.3 million and $0.5 million, respectively</w:t>
      </w:r>
      <w:r>
        <w:rPr>
          <w:sz w:val="20"/>
          <w:szCs w:val="20"/>
        </w:rPr>
        <w:t>.</w:t>
      </w:r>
      <w:r>
        <w:rPr>
          <w:sz w:val="20"/>
          <w:szCs w:val="20"/>
        </w:rPr>
        <w:t xml:space="preserve"> </w:t>
      </w:r>
    </w:p>
    <w:p w14:paraId="4DD78DC1" w14:textId="77777777" w:rsidR="00000000" w:rsidRDefault="003A1B5D">
      <w:pPr>
        <w:pStyle w:val="a3"/>
        <w:spacing w:before="240" w:beforeAutospacing="0" w:after="0" w:afterAutospacing="0"/>
        <w:jc w:val="both"/>
        <w:rPr>
          <w:sz w:val="20"/>
          <w:szCs w:val="20"/>
        </w:rPr>
      </w:pPr>
      <w:r>
        <w:rPr>
          <w:sz w:val="20"/>
          <w:szCs w:val="20"/>
        </w:rPr>
        <w:t>As of September 30, 2022, we had outstanding $166.5 million of senior notes due 2023 with a fixed inter</w:t>
      </w:r>
      <w:r>
        <w:rPr>
          <w:sz w:val="20"/>
          <w:szCs w:val="20"/>
        </w:rPr>
        <w:t>est rate of 4.625%, $641.5 million of senior notes due 2026 with a fixed interest rate of 8.25%, and $250.0 million of senior notes due 2027 with a fixed interest rate of 4.75%. We also had $151.6 million outstanding under the Kansas Notes with a fixed int</w:t>
      </w:r>
      <w:r>
        <w:rPr>
          <w:sz w:val="20"/>
          <w:szCs w:val="20"/>
        </w:rPr>
        <w:t>erest rate of 4.43%. Because the interest rates with respect to these instruments are fixed, a hypothetical 100 basis point increase or decrease in market interest rates would not have a material impact on our financial statements</w:t>
      </w:r>
      <w:r>
        <w:rPr>
          <w:sz w:val="20"/>
          <w:szCs w:val="20"/>
        </w:rPr>
        <w:t>.</w:t>
      </w:r>
    </w:p>
    <w:p w14:paraId="6165F8A8" w14:textId="77777777" w:rsidR="00000000" w:rsidRDefault="003A1B5D">
      <w:pPr>
        <w:pStyle w:val="a3"/>
        <w:spacing w:before="240" w:beforeAutospacing="0" w:after="0" w:afterAutospacing="0"/>
        <w:jc w:val="both"/>
        <w:rPr>
          <w:sz w:val="20"/>
          <w:szCs w:val="20"/>
        </w:rPr>
      </w:pPr>
      <w:r>
        <w:rPr>
          <w:sz w:val="20"/>
          <w:szCs w:val="20"/>
        </w:rPr>
        <w:t>We may, from time to tim</w:t>
      </w:r>
      <w:r>
        <w:rPr>
          <w:sz w:val="20"/>
          <w:szCs w:val="20"/>
        </w:rPr>
        <w:t xml:space="preserve">e, invest our cash in a variety of short-term financial instruments. These instruments generally consist of highly liquid investments with original maturities at the date of purchase of three months or less. While these investments are subject to interest </w:t>
      </w:r>
      <w:r>
        <w:rPr>
          <w:sz w:val="20"/>
          <w:szCs w:val="20"/>
        </w:rPr>
        <w:t>rate risk and will decline in value if market interest rates increase, a hypothetical 100 basis point increase or decrease in market interest rates would not materially affect the value of these instruments</w:t>
      </w:r>
      <w:r>
        <w:rPr>
          <w:sz w:val="20"/>
          <w:szCs w:val="20"/>
        </w:rPr>
        <w:t>.</w:t>
      </w:r>
      <w:r>
        <w:rPr>
          <w:sz w:val="20"/>
          <w:szCs w:val="20"/>
        </w:rPr>
        <w:t xml:space="preserve"> </w:t>
      </w:r>
    </w:p>
    <w:p w14:paraId="2001332E" w14:textId="77777777" w:rsidR="00000000" w:rsidRDefault="003A1B5D">
      <w:pPr>
        <w:pStyle w:val="a3"/>
        <w:spacing w:before="360" w:beforeAutospacing="0" w:after="0" w:afterAutospacing="0"/>
        <w:jc w:val="both"/>
        <w:rPr>
          <w:sz w:val="20"/>
          <w:szCs w:val="20"/>
        </w:rPr>
      </w:pPr>
      <w:r>
        <w:rPr>
          <w:b/>
          <w:bCs/>
          <w:sz w:val="20"/>
          <w:szCs w:val="20"/>
        </w:rPr>
        <w:t>ITEM 4. CONT</w:t>
      </w:r>
      <w:r>
        <w:rPr>
          <w:b/>
          <w:bCs/>
          <w:sz w:val="20"/>
          <w:szCs w:val="20"/>
        </w:rPr>
        <w:t>R</w:t>
      </w:r>
      <w:r>
        <w:rPr>
          <w:b/>
          <w:bCs/>
          <w:sz w:val="20"/>
          <w:szCs w:val="20"/>
        </w:rPr>
        <w:t>OLS AND PROCEDURES</w:t>
      </w:r>
      <w:r>
        <w:rPr>
          <w:b/>
          <w:bCs/>
          <w:sz w:val="20"/>
          <w:szCs w:val="20"/>
        </w:rPr>
        <w:t>.</w:t>
      </w:r>
    </w:p>
    <w:p w14:paraId="69151FA2" w14:textId="77777777" w:rsidR="00000000" w:rsidRDefault="003A1B5D">
      <w:pPr>
        <w:pStyle w:val="a3"/>
        <w:spacing w:before="120" w:beforeAutospacing="0" w:after="0" w:afterAutospacing="0"/>
        <w:jc w:val="both"/>
        <w:rPr>
          <w:sz w:val="20"/>
          <w:szCs w:val="20"/>
        </w:rPr>
      </w:pPr>
      <w:r>
        <w:rPr>
          <w:sz w:val="20"/>
          <w:szCs w:val="20"/>
        </w:rPr>
        <w:t xml:space="preserve">An evaluation </w:t>
      </w:r>
      <w:r>
        <w:rPr>
          <w:sz w:val="20"/>
          <w:szCs w:val="20"/>
        </w:rPr>
        <w:t>was performed under the supervision and with the participation of our senior management, including our Chief Executive Officer and Chief Financial Officer, of the effectiveness of our disclosure controls and procedures, as defined in Rules 13a-15(e) and 15</w:t>
      </w:r>
      <w:r>
        <w:rPr>
          <w:sz w:val="20"/>
          <w:szCs w:val="20"/>
        </w:rPr>
        <w:t xml:space="preserve">d-15(e) of the Exchange Act as of the end of the period covered by this Quarterly Report. Based on that evaluation, our officers, including our Chief Executive Officer and Chief Financial Officer, concluded that as of the end of the period covered by this </w:t>
      </w:r>
      <w:r>
        <w:rPr>
          <w:sz w:val="20"/>
          <w:szCs w:val="20"/>
        </w:rPr>
        <w:t xml:space="preserve">Quarterly Report our disclosure controls and procedures are effective to ensure that information required to be disclosed in the reports that we file or submit under the Exchange Act is recorded, processed, summarized, and reported within the time periods </w:t>
      </w:r>
      <w:r>
        <w:rPr>
          <w:sz w:val="20"/>
          <w:szCs w:val="20"/>
        </w:rPr>
        <w:t>specified in the SEC's rules and forms and information required to be disclosed in the reports we file or submit under the Exchange Act is accumulated and communicated to our management, including our Chief Executive Officer and Chief Financial Officer, to</w:t>
      </w:r>
      <w:r>
        <w:rPr>
          <w:sz w:val="20"/>
          <w:szCs w:val="20"/>
        </w:rPr>
        <w:t xml:space="preserve"> allow timely decisions regarding required disclosure. There have been no changes in our internal control over financial reporting that occurred during the period covered by this report that have materially affected, or are reasonably likely to materially </w:t>
      </w:r>
      <w:r>
        <w:rPr>
          <w:sz w:val="20"/>
          <w:szCs w:val="20"/>
        </w:rPr>
        <w:t>affect, our internal control over financial reporting</w:t>
      </w:r>
      <w:r>
        <w:rPr>
          <w:sz w:val="20"/>
          <w:szCs w:val="20"/>
        </w:rPr>
        <w:t>.</w:t>
      </w:r>
      <w:r>
        <w:rPr>
          <w:sz w:val="20"/>
          <w:szCs w:val="20"/>
        </w:rPr>
        <w:t xml:space="preserve"> </w:t>
      </w:r>
    </w:p>
    <w:p w14:paraId="6A6B8555" w14:textId="77777777" w:rsidR="00000000" w:rsidRDefault="003A1B5D">
      <w:pPr>
        <w:pStyle w:val="a3"/>
        <w:spacing w:before="240" w:beforeAutospacing="0" w:after="0" w:afterAutospacing="0"/>
        <w:jc w:val="center"/>
        <w:rPr>
          <w:sz w:val="20"/>
          <w:szCs w:val="20"/>
        </w:rPr>
      </w:pPr>
      <w:r>
        <w:rPr>
          <w:sz w:val="20"/>
          <w:szCs w:val="20"/>
        </w:rPr>
        <w:t>4</w:t>
      </w:r>
      <w:r>
        <w:rPr>
          <w:sz w:val="20"/>
          <w:szCs w:val="20"/>
        </w:rPr>
        <w:t>4</w:t>
      </w:r>
    </w:p>
    <w:p w14:paraId="39E6F4E8" w14:textId="77777777" w:rsidR="00000000" w:rsidRDefault="003A1B5D">
      <w:pPr>
        <w:rPr>
          <w:rFonts w:eastAsia="Times New Roman"/>
        </w:rPr>
      </w:pPr>
      <w:r>
        <w:rPr>
          <w:rFonts w:eastAsia="Times New Roman"/>
        </w:rPr>
        <w:pict w14:anchorId="351D6E63">
          <v:rect id="_x0000_i1070" style="width:0;height:1.5pt" o:hralign="center" o:hrstd="t" o:hr="t" fillcolor="#a0a0a0" stroked="f"/>
        </w:pict>
      </w:r>
    </w:p>
    <w:p w14:paraId="6C4E38C0" w14:textId="77777777" w:rsidR="00000000" w:rsidRDefault="003A1B5D">
      <w:pPr>
        <w:pStyle w:val="a3"/>
        <w:spacing w:before="0" w:beforeAutospacing="0" w:after="0" w:afterAutospacing="0"/>
        <w:rPr>
          <w:sz w:val="20"/>
          <w:szCs w:val="20"/>
        </w:rPr>
      </w:pPr>
      <w:r>
        <w:rPr>
          <w:sz w:val="20"/>
          <w:szCs w:val="20"/>
        </w:rPr>
        <w:t> </w:t>
      </w:r>
    </w:p>
    <w:p w14:paraId="0FE4211A" w14:textId="77777777" w:rsidR="00000000" w:rsidRDefault="003A1B5D">
      <w:pPr>
        <w:pStyle w:val="a3"/>
        <w:spacing w:before="0" w:beforeAutospacing="0" w:after="0" w:afterAutospacing="0"/>
        <w:jc w:val="center"/>
        <w:rPr>
          <w:sz w:val="20"/>
          <w:szCs w:val="20"/>
        </w:rPr>
      </w:pPr>
      <w:r>
        <w:rPr>
          <w:b/>
          <w:bCs/>
          <w:sz w:val="20"/>
          <w:szCs w:val="20"/>
        </w:rPr>
        <w:t>PART II – OTH</w:t>
      </w:r>
      <w:r>
        <w:rPr>
          <w:b/>
          <w:bCs/>
          <w:sz w:val="20"/>
          <w:szCs w:val="20"/>
        </w:rPr>
        <w:t>E</w:t>
      </w:r>
      <w:r>
        <w:rPr>
          <w:b/>
          <w:bCs/>
          <w:sz w:val="20"/>
          <w:szCs w:val="20"/>
        </w:rPr>
        <w:t>R INFORMATIO</w:t>
      </w:r>
      <w:r>
        <w:rPr>
          <w:b/>
          <w:bCs/>
          <w:sz w:val="20"/>
          <w:szCs w:val="20"/>
        </w:rPr>
        <w:t>N</w:t>
      </w:r>
    </w:p>
    <w:p w14:paraId="3DD6A5F5" w14:textId="77777777" w:rsidR="00000000" w:rsidRDefault="003A1B5D">
      <w:pPr>
        <w:pStyle w:val="a3"/>
        <w:spacing w:before="240" w:beforeAutospacing="0" w:after="0" w:afterAutospacing="0"/>
        <w:jc w:val="both"/>
        <w:rPr>
          <w:sz w:val="20"/>
          <w:szCs w:val="20"/>
        </w:rPr>
      </w:pPr>
      <w:r>
        <w:rPr>
          <w:b/>
          <w:bCs/>
          <w:sz w:val="20"/>
          <w:szCs w:val="20"/>
        </w:rPr>
        <w:t>ITEM 1. LEGA</w:t>
      </w:r>
      <w:r>
        <w:rPr>
          <w:b/>
          <w:bCs/>
          <w:sz w:val="20"/>
          <w:szCs w:val="20"/>
        </w:rPr>
        <w:t>L</w:t>
      </w:r>
      <w:r>
        <w:rPr>
          <w:b/>
          <w:bCs/>
          <w:sz w:val="20"/>
          <w:szCs w:val="20"/>
        </w:rPr>
        <w:t xml:space="preserve"> PROCEEDINGS</w:t>
      </w:r>
      <w:r>
        <w:rPr>
          <w:b/>
          <w:bCs/>
          <w:sz w:val="20"/>
          <w:szCs w:val="20"/>
        </w:rPr>
        <w:t>.</w:t>
      </w:r>
    </w:p>
    <w:p w14:paraId="6EA974BA" w14:textId="77777777" w:rsidR="00000000" w:rsidRDefault="003A1B5D">
      <w:pPr>
        <w:pStyle w:val="a3"/>
        <w:spacing w:before="0" w:beforeAutospacing="0" w:after="0" w:afterAutospacing="0"/>
        <w:jc w:val="both"/>
        <w:rPr>
          <w:sz w:val="20"/>
          <w:szCs w:val="20"/>
        </w:rPr>
      </w:pPr>
      <w:r>
        <w:rPr>
          <w:sz w:val="20"/>
          <w:szCs w:val="20"/>
        </w:rPr>
        <w:t> </w:t>
      </w:r>
    </w:p>
    <w:p w14:paraId="75F003C5" w14:textId="77777777" w:rsidR="00000000" w:rsidRDefault="003A1B5D">
      <w:pPr>
        <w:pStyle w:val="a3"/>
        <w:spacing w:before="0" w:beforeAutospacing="0" w:after="0" w:afterAutospacing="0"/>
        <w:jc w:val="both"/>
        <w:rPr>
          <w:sz w:val="20"/>
          <w:szCs w:val="20"/>
        </w:rPr>
      </w:pPr>
      <w:r>
        <w:rPr>
          <w:sz w:val="20"/>
          <w:szCs w:val="20"/>
        </w:rPr>
        <w:t>See the information reported in Note 8 to the financial statements included in Part I, which information is incorporated hereunder by this reference</w:t>
      </w:r>
      <w:r>
        <w:rPr>
          <w:sz w:val="20"/>
          <w:szCs w:val="20"/>
        </w:rPr>
        <w:t>.</w:t>
      </w:r>
    </w:p>
    <w:p w14:paraId="13CD94AE" w14:textId="77777777" w:rsidR="00000000" w:rsidRDefault="003A1B5D">
      <w:pPr>
        <w:pStyle w:val="a3"/>
        <w:spacing w:before="160" w:beforeAutospacing="0" w:after="0" w:afterAutospacing="0"/>
        <w:jc w:val="both"/>
        <w:rPr>
          <w:sz w:val="20"/>
          <w:szCs w:val="20"/>
        </w:rPr>
      </w:pPr>
      <w:r>
        <w:rPr>
          <w:sz w:val="20"/>
          <w:szCs w:val="20"/>
        </w:rPr>
        <w:t> </w:t>
      </w:r>
    </w:p>
    <w:p w14:paraId="50CD9148" w14:textId="77777777" w:rsidR="00000000" w:rsidRDefault="003A1B5D">
      <w:pPr>
        <w:pStyle w:val="a3"/>
        <w:spacing w:before="0" w:beforeAutospacing="0" w:after="0" w:afterAutospacing="0"/>
        <w:jc w:val="both"/>
        <w:rPr>
          <w:sz w:val="20"/>
          <w:szCs w:val="20"/>
        </w:rPr>
      </w:pPr>
      <w:r>
        <w:rPr>
          <w:b/>
          <w:bCs/>
          <w:sz w:val="20"/>
          <w:szCs w:val="20"/>
        </w:rPr>
        <w:t>ITEM 1A. R</w:t>
      </w:r>
      <w:r>
        <w:rPr>
          <w:b/>
          <w:bCs/>
          <w:sz w:val="20"/>
          <w:szCs w:val="20"/>
        </w:rPr>
        <w:t>I</w:t>
      </w:r>
      <w:r>
        <w:rPr>
          <w:b/>
          <w:bCs/>
          <w:sz w:val="20"/>
          <w:szCs w:val="20"/>
        </w:rPr>
        <w:t>SK FACTORS</w:t>
      </w:r>
      <w:r>
        <w:rPr>
          <w:b/>
          <w:bCs/>
          <w:sz w:val="20"/>
          <w:szCs w:val="20"/>
        </w:rPr>
        <w:t>.</w:t>
      </w:r>
    </w:p>
    <w:p w14:paraId="794B483A" w14:textId="77777777" w:rsidR="00000000" w:rsidRDefault="003A1B5D">
      <w:pPr>
        <w:pStyle w:val="a3"/>
        <w:spacing w:before="120" w:beforeAutospacing="0" w:after="0" w:afterAutospacing="0"/>
        <w:jc w:val="both"/>
        <w:rPr>
          <w:sz w:val="20"/>
          <w:szCs w:val="20"/>
        </w:rPr>
      </w:pPr>
      <w:r>
        <w:rPr>
          <w:sz w:val="20"/>
          <w:szCs w:val="20"/>
        </w:rPr>
        <w:t>Item 1A of Part 1 of our 2021 Form 10-K includes a detailed discussion of the ris</w:t>
      </w:r>
      <w:r>
        <w:rPr>
          <w:sz w:val="20"/>
          <w:szCs w:val="20"/>
        </w:rPr>
        <w:t>k factors that could materially affect our business, financial condition or future prospects. There have been no material changes in our risk factors previously disclosed in the 2021 Form 10-K</w:t>
      </w:r>
      <w:r>
        <w:rPr>
          <w:sz w:val="20"/>
          <w:szCs w:val="20"/>
        </w:rPr>
        <w:t>.</w:t>
      </w:r>
    </w:p>
    <w:p w14:paraId="581EC770" w14:textId="77777777" w:rsidR="00000000" w:rsidRDefault="003A1B5D">
      <w:pPr>
        <w:pStyle w:val="a3"/>
        <w:spacing w:before="0" w:beforeAutospacing="0" w:after="0" w:afterAutospacing="0"/>
        <w:jc w:val="both"/>
        <w:rPr>
          <w:sz w:val="20"/>
          <w:szCs w:val="20"/>
        </w:rPr>
      </w:pPr>
      <w:r>
        <w:rPr>
          <w:sz w:val="20"/>
          <w:szCs w:val="20"/>
        </w:rPr>
        <w:t> </w:t>
      </w:r>
    </w:p>
    <w:p w14:paraId="2FD602F5" w14:textId="77777777" w:rsidR="00000000" w:rsidRDefault="003A1B5D">
      <w:pPr>
        <w:pStyle w:val="a3"/>
        <w:spacing w:before="160" w:beforeAutospacing="0" w:after="0" w:afterAutospacing="0"/>
        <w:jc w:val="both"/>
        <w:rPr>
          <w:sz w:val="20"/>
          <w:szCs w:val="20"/>
        </w:rPr>
      </w:pPr>
      <w:r>
        <w:rPr>
          <w:b/>
          <w:bCs/>
          <w:sz w:val="20"/>
          <w:szCs w:val="20"/>
        </w:rPr>
        <w:t>ITEM 2. UNREGISTERED SALES OF EQUI</w:t>
      </w:r>
      <w:r>
        <w:rPr>
          <w:b/>
          <w:bCs/>
          <w:sz w:val="20"/>
          <w:szCs w:val="20"/>
        </w:rPr>
        <w:t>T</w:t>
      </w:r>
      <w:r>
        <w:rPr>
          <w:b/>
          <w:bCs/>
          <w:sz w:val="20"/>
          <w:szCs w:val="20"/>
        </w:rPr>
        <w:t>Y SECURITIES AND USE OF P</w:t>
      </w:r>
      <w:r>
        <w:rPr>
          <w:b/>
          <w:bCs/>
          <w:sz w:val="20"/>
          <w:szCs w:val="20"/>
        </w:rPr>
        <w:t>ROCEEDS</w:t>
      </w:r>
      <w:r>
        <w:rPr>
          <w:b/>
          <w:bCs/>
          <w:sz w:val="20"/>
          <w:szCs w:val="20"/>
        </w:rPr>
        <w:t>.</w:t>
      </w:r>
    </w:p>
    <w:p w14:paraId="403C40BA" w14:textId="77777777" w:rsidR="00000000" w:rsidRDefault="003A1B5D">
      <w:pPr>
        <w:pStyle w:val="a3"/>
        <w:spacing w:before="0" w:beforeAutospacing="0" w:after="0" w:afterAutospacing="0"/>
        <w:jc w:val="both"/>
        <w:rPr>
          <w:sz w:val="20"/>
          <w:szCs w:val="20"/>
        </w:rPr>
      </w:pPr>
      <w:r>
        <w:rPr>
          <w:sz w:val="20"/>
          <w:szCs w:val="20"/>
        </w:rPr>
        <w:t> </w:t>
      </w:r>
    </w:p>
    <w:p w14:paraId="628C0399" w14:textId="77777777" w:rsidR="00000000" w:rsidRDefault="003A1B5D">
      <w:pPr>
        <w:pStyle w:val="a3"/>
        <w:spacing w:before="0" w:beforeAutospacing="0" w:after="0" w:afterAutospacing="0"/>
        <w:jc w:val="both"/>
        <w:rPr>
          <w:sz w:val="20"/>
          <w:szCs w:val="20"/>
        </w:rPr>
      </w:pPr>
      <w:r>
        <w:rPr>
          <w:b/>
          <w:bCs/>
          <w:sz w:val="20"/>
          <w:szCs w:val="20"/>
        </w:rPr>
        <w:t>Issuer Purchases of Equity Securitie</w:t>
      </w:r>
      <w:r>
        <w:rPr>
          <w:b/>
          <w:bCs/>
          <w:sz w:val="20"/>
          <w:szCs w:val="20"/>
        </w:rPr>
        <w:t>s</w:t>
      </w:r>
    </w:p>
    <w:p w14:paraId="3072F13B" w14:textId="77777777" w:rsidR="00000000" w:rsidRDefault="003A1B5D">
      <w:pPr>
        <w:pStyle w:val="a3"/>
        <w:spacing w:before="16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45"/>
        <w:gridCol w:w="251"/>
        <w:gridCol w:w="110"/>
        <w:gridCol w:w="860"/>
        <w:gridCol w:w="110"/>
        <w:gridCol w:w="170"/>
        <w:gridCol w:w="161"/>
        <w:gridCol w:w="723"/>
        <w:gridCol w:w="110"/>
        <w:gridCol w:w="135"/>
        <w:gridCol w:w="111"/>
        <w:gridCol w:w="1029"/>
        <w:gridCol w:w="110"/>
        <w:gridCol w:w="170"/>
        <w:gridCol w:w="160"/>
        <w:gridCol w:w="1326"/>
        <w:gridCol w:w="125"/>
      </w:tblGrid>
      <w:tr w:rsidR="00000000" w14:paraId="3208034E" w14:textId="77777777">
        <w:trPr>
          <w:tblCellSpacing w:w="15" w:type="dxa"/>
        </w:trPr>
        <w:tc>
          <w:tcPr>
            <w:tcW w:w="1683" w:type="pct"/>
            <w:vAlign w:val="center"/>
            <w:hideMark/>
          </w:tcPr>
          <w:p w14:paraId="449D2672" w14:textId="77777777" w:rsidR="00000000" w:rsidRDefault="003A1B5D">
            <w:pPr>
              <w:rPr>
                <w:sz w:val="20"/>
                <w:szCs w:val="20"/>
              </w:rPr>
            </w:pPr>
          </w:p>
        </w:tc>
        <w:tc>
          <w:tcPr>
            <w:tcW w:w="152" w:type="pct"/>
            <w:vAlign w:val="center"/>
            <w:hideMark/>
          </w:tcPr>
          <w:p w14:paraId="5BD8BE3A" w14:textId="77777777" w:rsidR="00000000" w:rsidRDefault="003A1B5D">
            <w:pPr>
              <w:rPr>
                <w:rFonts w:eastAsia="Times New Roman"/>
                <w:sz w:val="20"/>
                <w:szCs w:val="20"/>
              </w:rPr>
            </w:pPr>
          </w:p>
        </w:tc>
        <w:tc>
          <w:tcPr>
            <w:tcW w:w="50" w:type="pct"/>
            <w:vAlign w:val="center"/>
            <w:hideMark/>
          </w:tcPr>
          <w:p w14:paraId="2506969B" w14:textId="77777777" w:rsidR="00000000" w:rsidRDefault="003A1B5D">
            <w:pPr>
              <w:rPr>
                <w:rFonts w:eastAsia="Times New Roman"/>
                <w:sz w:val="20"/>
                <w:szCs w:val="20"/>
              </w:rPr>
            </w:pPr>
          </w:p>
        </w:tc>
        <w:tc>
          <w:tcPr>
            <w:tcW w:w="533" w:type="pct"/>
            <w:vAlign w:val="center"/>
            <w:hideMark/>
          </w:tcPr>
          <w:p w14:paraId="08CC827E" w14:textId="77777777" w:rsidR="00000000" w:rsidRDefault="003A1B5D">
            <w:pPr>
              <w:rPr>
                <w:rFonts w:eastAsia="Times New Roman"/>
                <w:sz w:val="20"/>
                <w:szCs w:val="20"/>
              </w:rPr>
            </w:pPr>
          </w:p>
        </w:tc>
        <w:tc>
          <w:tcPr>
            <w:tcW w:w="50" w:type="pct"/>
            <w:vAlign w:val="center"/>
            <w:hideMark/>
          </w:tcPr>
          <w:p w14:paraId="28B6C882" w14:textId="77777777" w:rsidR="00000000" w:rsidRDefault="003A1B5D">
            <w:pPr>
              <w:rPr>
                <w:rFonts w:eastAsia="Times New Roman"/>
                <w:sz w:val="20"/>
                <w:szCs w:val="20"/>
              </w:rPr>
            </w:pPr>
          </w:p>
        </w:tc>
        <w:tc>
          <w:tcPr>
            <w:tcW w:w="100" w:type="pct"/>
            <w:vAlign w:val="center"/>
            <w:hideMark/>
          </w:tcPr>
          <w:p w14:paraId="0736E791" w14:textId="77777777" w:rsidR="00000000" w:rsidRDefault="003A1B5D">
            <w:pPr>
              <w:rPr>
                <w:rFonts w:eastAsia="Times New Roman"/>
                <w:sz w:val="20"/>
                <w:szCs w:val="20"/>
              </w:rPr>
            </w:pPr>
          </w:p>
        </w:tc>
        <w:tc>
          <w:tcPr>
            <w:tcW w:w="50" w:type="pct"/>
            <w:vAlign w:val="center"/>
            <w:hideMark/>
          </w:tcPr>
          <w:p w14:paraId="605E4BF6" w14:textId="77777777" w:rsidR="00000000" w:rsidRDefault="003A1B5D">
            <w:pPr>
              <w:rPr>
                <w:rFonts w:eastAsia="Times New Roman"/>
                <w:sz w:val="20"/>
                <w:szCs w:val="20"/>
              </w:rPr>
            </w:pPr>
          </w:p>
        </w:tc>
        <w:tc>
          <w:tcPr>
            <w:tcW w:w="456" w:type="pct"/>
            <w:vAlign w:val="center"/>
            <w:hideMark/>
          </w:tcPr>
          <w:p w14:paraId="1C95159B" w14:textId="77777777" w:rsidR="00000000" w:rsidRDefault="003A1B5D">
            <w:pPr>
              <w:rPr>
                <w:rFonts w:eastAsia="Times New Roman"/>
                <w:sz w:val="20"/>
                <w:szCs w:val="20"/>
              </w:rPr>
            </w:pPr>
          </w:p>
        </w:tc>
        <w:tc>
          <w:tcPr>
            <w:tcW w:w="50" w:type="pct"/>
            <w:vAlign w:val="center"/>
            <w:hideMark/>
          </w:tcPr>
          <w:p w14:paraId="1E6A8ABE" w14:textId="77777777" w:rsidR="00000000" w:rsidRDefault="003A1B5D">
            <w:pPr>
              <w:rPr>
                <w:rFonts w:eastAsia="Times New Roman"/>
                <w:sz w:val="20"/>
                <w:szCs w:val="20"/>
              </w:rPr>
            </w:pPr>
          </w:p>
        </w:tc>
        <w:tc>
          <w:tcPr>
            <w:tcW w:w="77" w:type="pct"/>
            <w:vAlign w:val="center"/>
            <w:hideMark/>
          </w:tcPr>
          <w:p w14:paraId="78594DAC" w14:textId="77777777" w:rsidR="00000000" w:rsidRDefault="003A1B5D">
            <w:pPr>
              <w:rPr>
                <w:rFonts w:eastAsia="Times New Roman"/>
                <w:sz w:val="20"/>
                <w:szCs w:val="20"/>
              </w:rPr>
            </w:pPr>
          </w:p>
        </w:tc>
        <w:tc>
          <w:tcPr>
            <w:tcW w:w="50" w:type="pct"/>
            <w:vAlign w:val="center"/>
            <w:hideMark/>
          </w:tcPr>
          <w:p w14:paraId="1505B799" w14:textId="77777777" w:rsidR="00000000" w:rsidRDefault="003A1B5D">
            <w:pPr>
              <w:rPr>
                <w:rFonts w:eastAsia="Times New Roman"/>
                <w:sz w:val="20"/>
                <w:szCs w:val="20"/>
              </w:rPr>
            </w:pPr>
          </w:p>
        </w:tc>
        <w:tc>
          <w:tcPr>
            <w:tcW w:w="653" w:type="pct"/>
            <w:vAlign w:val="center"/>
            <w:hideMark/>
          </w:tcPr>
          <w:p w14:paraId="176122A7" w14:textId="77777777" w:rsidR="00000000" w:rsidRDefault="003A1B5D">
            <w:pPr>
              <w:rPr>
                <w:rFonts w:eastAsia="Times New Roman"/>
                <w:sz w:val="20"/>
                <w:szCs w:val="20"/>
              </w:rPr>
            </w:pPr>
          </w:p>
        </w:tc>
        <w:tc>
          <w:tcPr>
            <w:tcW w:w="50" w:type="pct"/>
            <w:vAlign w:val="center"/>
            <w:hideMark/>
          </w:tcPr>
          <w:p w14:paraId="047B31BF" w14:textId="77777777" w:rsidR="00000000" w:rsidRDefault="003A1B5D">
            <w:pPr>
              <w:rPr>
                <w:rFonts w:eastAsia="Times New Roman"/>
                <w:sz w:val="20"/>
                <w:szCs w:val="20"/>
              </w:rPr>
            </w:pPr>
          </w:p>
        </w:tc>
        <w:tc>
          <w:tcPr>
            <w:tcW w:w="100" w:type="pct"/>
            <w:vAlign w:val="center"/>
            <w:hideMark/>
          </w:tcPr>
          <w:p w14:paraId="05300E09" w14:textId="77777777" w:rsidR="00000000" w:rsidRDefault="003A1B5D">
            <w:pPr>
              <w:rPr>
                <w:rFonts w:eastAsia="Times New Roman"/>
                <w:sz w:val="20"/>
                <w:szCs w:val="20"/>
              </w:rPr>
            </w:pPr>
          </w:p>
        </w:tc>
        <w:tc>
          <w:tcPr>
            <w:tcW w:w="50" w:type="pct"/>
            <w:vAlign w:val="center"/>
            <w:hideMark/>
          </w:tcPr>
          <w:p w14:paraId="1F9711BD" w14:textId="77777777" w:rsidR="00000000" w:rsidRDefault="003A1B5D">
            <w:pPr>
              <w:rPr>
                <w:rFonts w:eastAsia="Times New Roman"/>
                <w:sz w:val="20"/>
                <w:szCs w:val="20"/>
              </w:rPr>
            </w:pPr>
          </w:p>
        </w:tc>
        <w:tc>
          <w:tcPr>
            <w:tcW w:w="844" w:type="pct"/>
            <w:vAlign w:val="center"/>
            <w:hideMark/>
          </w:tcPr>
          <w:p w14:paraId="0190486B" w14:textId="77777777" w:rsidR="00000000" w:rsidRDefault="003A1B5D">
            <w:pPr>
              <w:rPr>
                <w:rFonts w:eastAsia="Times New Roman"/>
                <w:sz w:val="20"/>
                <w:szCs w:val="20"/>
              </w:rPr>
            </w:pPr>
          </w:p>
        </w:tc>
        <w:tc>
          <w:tcPr>
            <w:tcW w:w="50" w:type="pct"/>
            <w:vAlign w:val="center"/>
            <w:hideMark/>
          </w:tcPr>
          <w:p w14:paraId="1736F2A9" w14:textId="77777777" w:rsidR="00000000" w:rsidRDefault="003A1B5D">
            <w:pPr>
              <w:rPr>
                <w:rFonts w:eastAsia="Times New Roman"/>
                <w:sz w:val="20"/>
                <w:szCs w:val="20"/>
              </w:rPr>
            </w:pPr>
          </w:p>
        </w:tc>
      </w:tr>
      <w:tr w:rsidR="00000000" w14:paraId="0C05DE42" w14:textId="77777777">
        <w:trPr>
          <w:trHeight w:val="200"/>
          <w:tblCellSpacing w:w="15" w:type="dxa"/>
        </w:trPr>
        <w:tc>
          <w:tcPr>
            <w:tcW w:w="0" w:type="auto"/>
            <w:vAlign w:val="bottom"/>
            <w:hideMark/>
          </w:tcPr>
          <w:p w14:paraId="7873985E" w14:textId="77777777" w:rsidR="00000000" w:rsidRDefault="003A1B5D">
            <w:pPr>
              <w:pStyle w:val="a3"/>
              <w:spacing w:before="0" w:beforeAutospacing="0" w:after="0" w:afterAutospacing="0"/>
              <w:jc w:val="center"/>
              <w:rPr>
                <w:sz w:val="20"/>
                <w:szCs w:val="20"/>
              </w:rPr>
            </w:pPr>
            <w:r>
              <w:rPr>
                <w:b/>
                <w:bCs/>
                <w:sz w:val="20"/>
                <w:szCs w:val="20"/>
              </w:rPr>
              <w:t>Perio</w:t>
            </w:r>
            <w:r>
              <w:rPr>
                <w:b/>
                <w:bCs/>
                <w:sz w:val="20"/>
                <w:szCs w:val="20"/>
              </w:rPr>
              <w:t>d</w:t>
            </w:r>
          </w:p>
        </w:tc>
        <w:tc>
          <w:tcPr>
            <w:tcW w:w="0" w:type="auto"/>
            <w:vAlign w:val="bottom"/>
            <w:hideMark/>
          </w:tcPr>
          <w:p w14:paraId="05A94C38"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4ADDB82A" w14:textId="77777777" w:rsidR="00000000" w:rsidRDefault="003A1B5D">
            <w:pPr>
              <w:pStyle w:val="a3"/>
              <w:spacing w:before="0" w:beforeAutospacing="0" w:after="0" w:afterAutospacing="0"/>
              <w:jc w:val="center"/>
              <w:rPr>
                <w:sz w:val="20"/>
                <w:szCs w:val="20"/>
              </w:rPr>
            </w:pPr>
            <w:r>
              <w:rPr>
                <w:b/>
                <w:bCs/>
                <w:sz w:val="20"/>
                <w:szCs w:val="20"/>
              </w:rPr>
              <w:t>Total Number</w:t>
            </w:r>
            <w:r>
              <w:rPr>
                <w:b/>
                <w:bCs/>
                <w:sz w:val="20"/>
                <w:szCs w:val="20"/>
              </w:rPr>
              <w:br/>
              <w:t>of Shares</w:t>
            </w:r>
            <w:r>
              <w:rPr>
                <w:b/>
                <w:bCs/>
                <w:sz w:val="20"/>
                <w:szCs w:val="20"/>
              </w:rPr>
              <w:br/>
              <w:t>Purchase</w:t>
            </w:r>
            <w:r>
              <w:rPr>
                <w:b/>
                <w:bCs/>
                <w:sz w:val="20"/>
                <w:szCs w:val="20"/>
              </w:rPr>
              <w:t>d</w:t>
            </w:r>
          </w:p>
        </w:tc>
        <w:tc>
          <w:tcPr>
            <w:tcW w:w="0" w:type="auto"/>
            <w:vAlign w:val="bottom"/>
            <w:hideMark/>
          </w:tcPr>
          <w:p w14:paraId="36EF0976" w14:textId="77777777" w:rsidR="00000000" w:rsidRDefault="003A1B5D">
            <w:pPr>
              <w:pStyle w:val="a3"/>
              <w:spacing w:before="0" w:beforeAutospacing="0" w:after="0" w:afterAutospacing="0"/>
              <w:jc w:val="center"/>
              <w:rPr>
                <w:sz w:val="20"/>
                <w:szCs w:val="20"/>
              </w:rPr>
            </w:pPr>
            <w:r>
              <w:rPr>
                <w:sz w:val="20"/>
                <w:szCs w:val="20"/>
              </w:rPr>
              <w:t> </w:t>
            </w:r>
          </w:p>
        </w:tc>
        <w:tc>
          <w:tcPr>
            <w:tcW w:w="0" w:type="auto"/>
            <w:vAlign w:val="bottom"/>
            <w:hideMark/>
          </w:tcPr>
          <w:p w14:paraId="0B4AC46B"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4E5DFA76" w14:textId="77777777" w:rsidR="00000000" w:rsidRDefault="003A1B5D">
            <w:pPr>
              <w:pStyle w:val="a3"/>
              <w:spacing w:before="0" w:beforeAutospacing="0" w:after="0" w:afterAutospacing="0"/>
              <w:jc w:val="center"/>
              <w:rPr>
                <w:sz w:val="20"/>
                <w:szCs w:val="20"/>
              </w:rPr>
            </w:pPr>
            <w:r>
              <w:rPr>
                <w:b/>
                <w:bCs/>
                <w:sz w:val="20"/>
                <w:szCs w:val="20"/>
              </w:rPr>
              <w:t>Average Price</w:t>
            </w:r>
            <w:r>
              <w:rPr>
                <w:b/>
                <w:bCs/>
                <w:sz w:val="20"/>
                <w:szCs w:val="20"/>
              </w:rPr>
              <w:br/>
              <w:t>Paid per Shar</w:t>
            </w:r>
            <w:r>
              <w:rPr>
                <w:b/>
                <w:bCs/>
                <w:sz w:val="20"/>
                <w:szCs w:val="20"/>
              </w:rPr>
              <w:t>e</w:t>
            </w:r>
          </w:p>
        </w:tc>
        <w:tc>
          <w:tcPr>
            <w:tcW w:w="0" w:type="auto"/>
            <w:vAlign w:val="bottom"/>
            <w:hideMark/>
          </w:tcPr>
          <w:p w14:paraId="065E668C" w14:textId="77777777" w:rsidR="00000000" w:rsidRDefault="003A1B5D">
            <w:pPr>
              <w:pStyle w:val="a3"/>
              <w:spacing w:before="0" w:beforeAutospacing="0" w:after="0" w:afterAutospacing="0"/>
              <w:jc w:val="center"/>
              <w:rPr>
                <w:sz w:val="20"/>
                <w:szCs w:val="20"/>
              </w:rPr>
            </w:pPr>
            <w:r>
              <w:rPr>
                <w:sz w:val="20"/>
                <w:szCs w:val="20"/>
              </w:rPr>
              <w:t> </w:t>
            </w:r>
          </w:p>
        </w:tc>
        <w:tc>
          <w:tcPr>
            <w:tcW w:w="0" w:type="auto"/>
            <w:vAlign w:val="bottom"/>
            <w:hideMark/>
          </w:tcPr>
          <w:p w14:paraId="6E90CEFD" w14:textId="77777777" w:rsidR="00000000" w:rsidRDefault="003A1B5D">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4461C0B6" w14:textId="77777777" w:rsidR="00000000" w:rsidRDefault="003A1B5D">
            <w:pPr>
              <w:pStyle w:val="a3"/>
              <w:spacing w:before="0" w:beforeAutospacing="0" w:after="0" w:afterAutospacing="0"/>
              <w:jc w:val="center"/>
              <w:rPr>
                <w:sz w:val="20"/>
                <w:szCs w:val="20"/>
              </w:rPr>
            </w:pPr>
            <w:r>
              <w:rPr>
                <w:b/>
                <w:bCs/>
                <w:sz w:val="20"/>
                <w:szCs w:val="20"/>
              </w:rPr>
              <w:t>Total Number</w:t>
            </w:r>
            <w:r>
              <w:rPr>
                <w:b/>
                <w:bCs/>
                <w:sz w:val="20"/>
                <w:szCs w:val="20"/>
              </w:rPr>
              <w:br/>
              <w:t>of Shares</w:t>
            </w:r>
            <w:r>
              <w:rPr>
                <w:b/>
                <w:bCs/>
                <w:sz w:val="20"/>
                <w:szCs w:val="20"/>
              </w:rPr>
              <w:br/>
              <w:t>Purchased as</w:t>
            </w:r>
            <w:r>
              <w:rPr>
                <w:b/>
                <w:bCs/>
                <w:sz w:val="20"/>
                <w:szCs w:val="20"/>
              </w:rPr>
              <w:br/>
              <w:t>Part of Publicly</w:t>
            </w:r>
            <w:r>
              <w:rPr>
                <w:b/>
                <w:bCs/>
                <w:sz w:val="20"/>
                <w:szCs w:val="20"/>
              </w:rPr>
              <w:br/>
              <w:t>Announced</w:t>
            </w:r>
            <w:r>
              <w:rPr>
                <w:b/>
                <w:bCs/>
                <w:sz w:val="20"/>
                <w:szCs w:val="20"/>
              </w:rPr>
              <w:br/>
              <w:t>Plans or</w:t>
            </w:r>
            <w:r>
              <w:rPr>
                <w:b/>
                <w:bCs/>
                <w:sz w:val="20"/>
                <w:szCs w:val="20"/>
              </w:rPr>
              <w:br/>
              <w:t>Program</w:t>
            </w:r>
            <w:r>
              <w:rPr>
                <w:b/>
                <w:bCs/>
                <w:sz w:val="20"/>
                <w:szCs w:val="20"/>
              </w:rPr>
              <w:t>s</w:t>
            </w:r>
          </w:p>
        </w:tc>
        <w:tc>
          <w:tcPr>
            <w:tcW w:w="0" w:type="auto"/>
            <w:vAlign w:val="bottom"/>
            <w:hideMark/>
          </w:tcPr>
          <w:p w14:paraId="752AE93F" w14:textId="77777777" w:rsidR="00000000" w:rsidRDefault="003A1B5D">
            <w:pPr>
              <w:pStyle w:val="a3"/>
              <w:spacing w:before="0" w:beforeAutospacing="0" w:after="0" w:afterAutospacing="0"/>
              <w:jc w:val="center"/>
              <w:rPr>
                <w:sz w:val="20"/>
                <w:szCs w:val="20"/>
              </w:rPr>
            </w:pPr>
            <w:r>
              <w:rPr>
                <w:sz w:val="20"/>
                <w:szCs w:val="20"/>
              </w:rPr>
              <w:t> </w:t>
            </w:r>
          </w:p>
        </w:tc>
        <w:tc>
          <w:tcPr>
            <w:tcW w:w="0" w:type="auto"/>
            <w:vAlign w:val="bottom"/>
            <w:hideMark/>
          </w:tcPr>
          <w:p w14:paraId="0A42FBA5" w14:textId="77777777" w:rsidR="00000000" w:rsidRDefault="003A1B5D">
            <w:pPr>
              <w:pStyle w:val="a3"/>
              <w:spacing w:before="0" w:beforeAutospacing="0" w:after="0" w:afterAutospacing="0"/>
              <w:rPr>
                <w:sz w:val="20"/>
                <w:szCs w:val="20"/>
              </w:rPr>
            </w:pPr>
            <w:r>
              <w:rPr>
                <w:sz w:val="20"/>
                <w:szCs w:val="20"/>
              </w:rPr>
              <w:t> </w:t>
            </w:r>
          </w:p>
        </w:tc>
        <w:tc>
          <w:tcPr>
            <w:tcW w:w="0" w:type="auto"/>
            <w:gridSpan w:val="2"/>
            <w:vAlign w:val="bottom"/>
            <w:hideMark/>
          </w:tcPr>
          <w:p w14:paraId="46BC8FD4" w14:textId="77777777" w:rsidR="00000000" w:rsidRDefault="003A1B5D">
            <w:pPr>
              <w:pStyle w:val="a3"/>
              <w:spacing w:before="0" w:beforeAutospacing="0" w:after="0" w:afterAutospacing="0"/>
              <w:jc w:val="center"/>
              <w:rPr>
                <w:sz w:val="20"/>
                <w:szCs w:val="20"/>
              </w:rPr>
            </w:pPr>
            <w:r>
              <w:rPr>
                <w:b/>
                <w:bCs/>
                <w:sz w:val="20"/>
                <w:szCs w:val="20"/>
              </w:rPr>
              <w:t>Approximate</w:t>
            </w:r>
            <w:r>
              <w:rPr>
                <w:b/>
                <w:bCs/>
                <w:sz w:val="20"/>
                <w:szCs w:val="20"/>
              </w:rPr>
              <w:br/>
              <w:t>Dollar Value of</w:t>
            </w:r>
            <w:r>
              <w:rPr>
                <w:b/>
                <w:bCs/>
                <w:sz w:val="20"/>
                <w:szCs w:val="20"/>
              </w:rPr>
              <w:br/>
              <w:t>Shares that</w:t>
            </w:r>
            <w:r>
              <w:rPr>
                <w:b/>
                <w:bCs/>
                <w:sz w:val="20"/>
                <w:szCs w:val="20"/>
              </w:rPr>
              <w:br/>
              <w:t>May Yet Be</w:t>
            </w:r>
            <w:r>
              <w:rPr>
                <w:b/>
                <w:bCs/>
                <w:sz w:val="20"/>
                <w:szCs w:val="20"/>
              </w:rPr>
              <w:br/>
              <w:t xml:space="preserve">Purchased </w:t>
            </w:r>
            <w:r>
              <w:rPr>
                <w:b/>
                <w:bCs/>
                <w:sz w:val="20"/>
                <w:szCs w:val="20"/>
              </w:rPr>
              <w:br/>
              <w:t>Under the Plans</w:t>
            </w:r>
            <w:r>
              <w:rPr>
                <w:b/>
                <w:bCs/>
                <w:sz w:val="20"/>
                <w:szCs w:val="20"/>
              </w:rPr>
              <w:br/>
              <w:t>or Programs (1</w:t>
            </w:r>
            <w:r>
              <w:rPr>
                <w:b/>
                <w:bCs/>
                <w:sz w:val="20"/>
                <w:szCs w:val="20"/>
              </w:rPr>
              <w:t>)</w:t>
            </w:r>
          </w:p>
        </w:tc>
        <w:tc>
          <w:tcPr>
            <w:tcW w:w="0" w:type="auto"/>
            <w:vAlign w:val="bottom"/>
            <w:hideMark/>
          </w:tcPr>
          <w:p w14:paraId="4AE69C45" w14:textId="77777777" w:rsidR="00000000" w:rsidRDefault="003A1B5D">
            <w:pPr>
              <w:pStyle w:val="a3"/>
              <w:spacing w:before="0" w:beforeAutospacing="0" w:after="0" w:afterAutospacing="0"/>
              <w:jc w:val="center"/>
              <w:rPr>
                <w:sz w:val="20"/>
                <w:szCs w:val="20"/>
              </w:rPr>
            </w:pPr>
            <w:r>
              <w:rPr>
                <w:sz w:val="20"/>
                <w:szCs w:val="20"/>
              </w:rPr>
              <w:t> </w:t>
            </w:r>
          </w:p>
        </w:tc>
      </w:tr>
      <w:tr w:rsidR="00000000" w14:paraId="46118E33" w14:textId="77777777">
        <w:trPr>
          <w:trHeight w:val="200"/>
          <w:tblCellSpacing w:w="15" w:type="dxa"/>
        </w:trPr>
        <w:tc>
          <w:tcPr>
            <w:tcW w:w="0" w:type="auto"/>
            <w:hideMark/>
          </w:tcPr>
          <w:p w14:paraId="582C3FA0" w14:textId="77777777" w:rsidR="00000000" w:rsidRDefault="003A1B5D">
            <w:pPr>
              <w:pStyle w:val="a3"/>
              <w:spacing w:before="0" w:beforeAutospacing="0" w:after="0" w:afterAutospacing="0"/>
              <w:rPr>
                <w:sz w:val="20"/>
                <w:szCs w:val="20"/>
              </w:rPr>
            </w:pPr>
            <w:r>
              <w:rPr>
                <w:sz w:val="20"/>
                <w:szCs w:val="20"/>
              </w:rPr>
              <w:t>July 1, 2022 - July 31, 202</w:t>
            </w:r>
            <w:r>
              <w:rPr>
                <w:sz w:val="20"/>
                <w:szCs w:val="20"/>
              </w:rPr>
              <w:t>2</w:t>
            </w:r>
          </w:p>
        </w:tc>
        <w:tc>
          <w:tcPr>
            <w:tcW w:w="0" w:type="auto"/>
            <w:vAlign w:val="bottom"/>
            <w:hideMark/>
          </w:tcPr>
          <w:p w14:paraId="3491B910"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55756FC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54E24C0" w14:textId="77777777" w:rsidR="00000000" w:rsidRDefault="003A1B5D">
            <w:pPr>
              <w:pStyle w:val="a3"/>
              <w:spacing w:before="0" w:beforeAutospacing="0" w:after="0" w:afterAutospacing="0"/>
              <w:jc w:val="right"/>
              <w:rPr>
                <w:sz w:val="20"/>
                <w:szCs w:val="20"/>
              </w:rPr>
            </w:pPr>
            <w:r>
              <w:rPr>
                <w:sz w:val="20"/>
                <w:szCs w:val="20"/>
              </w:rPr>
              <w:t>1,131,86</w:t>
            </w:r>
            <w:r>
              <w:rPr>
                <w:sz w:val="20"/>
                <w:szCs w:val="20"/>
              </w:rPr>
              <w:t>9</w:t>
            </w:r>
          </w:p>
        </w:tc>
        <w:tc>
          <w:tcPr>
            <w:tcW w:w="0" w:type="auto"/>
            <w:noWrap/>
            <w:vAlign w:val="bottom"/>
            <w:hideMark/>
          </w:tcPr>
          <w:p w14:paraId="71E48C19"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67DF9DAE"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08B10D22"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0B517A91" w14:textId="77777777" w:rsidR="00000000" w:rsidRDefault="003A1B5D">
            <w:pPr>
              <w:pStyle w:val="a3"/>
              <w:spacing w:before="0" w:beforeAutospacing="0" w:after="0" w:afterAutospacing="0"/>
              <w:jc w:val="right"/>
              <w:rPr>
                <w:sz w:val="20"/>
                <w:szCs w:val="20"/>
              </w:rPr>
            </w:pPr>
            <w:r>
              <w:rPr>
                <w:sz w:val="20"/>
                <w:szCs w:val="20"/>
              </w:rPr>
              <w:t>11.0</w:t>
            </w:r>
            <w:r>
              <w:rPr>
                <w:sz w:val="20"/>
                <w:szCs w:val="20"/>
              </w:rPr>
              <w:t>4</w:t>
            </w:r>
          </w:p>
        </w:tc>
        <w:tc>
          <w:tcPr>
            <w:tcW w:w="0" w:type="auto"/>
            <w:noWrap/>
            <w:vAlign w:val="bottom"/>
            <w:hideMark/>
          </w:tcPr>
          <w:p w14:paraId="4FD7BC6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263B04F"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656F87F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2BFCA3A" w14:textId="77777777" w:rsidR="00000000" w:rsidRDefault="003A1B5D">
            <w:pPr>
              <w:pStyle w:val="a3"/>
              <w:spacing w:before="0" w:beforeAutospacing="0" w:after="0" w:afterAutospacing="0"/>
              <w:jc w:val="right"/>
              <w:rPr>
                <w:sz w:val="20"/>
                <w:szCs w:val="20"/>
              </w:rPr>
            </w:pPr>
            <w:r>
              <w:rPr>
                <w:sz w:val="20"/>
                <w:szCs w:val="20"/>
              </w:rPr>
              <w:t>1,131,86</w:t>
            </w:r>
            <w:r>
              <w:rPr>
                <w:sz w:val="20"/>
                <w:szCs w:val="20"/>
              </w:rPr>
              <w:t>9</w:t>
            </w:r>
          </w:p>
        </w:tc>
        <w:tc>
          <w:tcPr>
            <w:tcW w:w="0" w:type="auto"/>
            <w:noWrap/>
            <w:vAlign w:val="bottom"/>
            <w:hideMark/>
          </w:tcPr>
          <w:p w14:paraId="12BDCF17"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6BE6BCB"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223A0B56"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27D1ABC0" w14:textId="77777777" w:rsidR="00000000" w:rsidRDefault="003A1B5D">
            <w:pPr>
              <w:pStyle w:val="a3"/>
              <w:spacing w:before="0" w:beforeAutospacing="0" w:after="0" w:afterAutospacing="0"/>
              <w:jc w:val="right"/>
              <w:rPr>
                <w:sz w:val="20"/>
                <w:szCs w:val="20"/>
              </w:rPr>
            </w:pPr>
            <w:r>
              <w:rPr>
                <w:sz w:val="20"/>
                <w:szCs w:val="20"/>
              </w:rPr>
              <w:t>175,000,93</w:t>
            </w:r>
            <w:r>
              <w:rPr>
                <w:sz w:val="20"/>
                <w:szCs w:val="20"/>
              </w:rPr>
              <w:t>6</w:t>
            </w:r>
          </w:p>
        </w:tc>
        <w:tc>
          <w:tcPr>
            <w:tcW w:w="0" w:type="auto"/>
            <w:noWrap/>
            <w:vAlign w:val="bottom"/>
            <w:hideMark/>
          </w:tcPr>
          <w:p w14:paraId="31B69F7F" w14:textId="77777777" w:rsidR="00000000" w:rsidRDefault="003A1B5D">
            <w:pPr>
              <w:pStyle w:val="a3"/>
              <w:spacing w:before="0" w:beforeAutospacing="0" w:after="0" w:afterAutospacing="0"/>
              <w:rPr>
                <w:sz w:val="20"/>
                <w:szCs w:val="20"/>
              </w:rPr>
            </w:pPr>
            <w:r>
              <w:rPr>
                <w:sz w:val="20"/>
                <w:szCs w:val="20"/>
              </w:rPr>
              <w:t> </w:t>
            </w:r>
          </w:p>
        </w:tc>
      </w:tr>
      <w:tr w:rsidR="00000000" w14:paraId="0AFBF648" w14:textId="77777777">
        <w:trPr>
          <w:trHeight w:val="200"/>
          <w:tblCellSpacing w:w="15" w:type="dxa"/>
        </w:trPr>
        <w:tc>
          <w:tcPr>
            <w:tcW w:w="0" w:type="auto"/>
            <w:hideMark/>
          </w:tcPr>
          <w:p w14:paraId="2A8903CF" w14:textId="77777777" w:rsidR="00000000" w:rsidRDefault="003A1B5D">
            <w:pPr>
              <w:pStyle w:val="a3"/>
              <w:spacing w:before="0" w:beforeAutospacing="0" w:after="0" w:afterAutospacing="0"/>
              <w:rPr>
                <w:sz w:val="20"/>
                <w:szCs w:val="20"/>
              </w:rPr>
            </w:pPr>
            <w:r>
              <w:rPr>
                <w:sz w:val="20"/>
                <w:szCs w:val="20"/>
              </w:rPr>
              <w:t>August 1, 2022 - August 31, 202</w:t>
            </w:r>
            <w:r>
              <w:rPr>
                <w:sz w:val="20"/>
                <w:szCs w:val="20"/>
              </w:rPr>
              <w:t>2</w:t>
            </w:r>
          </w:p>
        </w:tc>
        <w:tc>
          <w:tcPr>
            <w:tcW w:w="0" w:type="auto"/>
            <w:vAlign w:val="bottom"/>
            <w:hideMark/>
          </w:tcPr>
          <w:p w14:paraId="6563E866"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44D786D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B5CD4A1" w14:textId="77777777" w:rsidR="00000000" w:rsidRDefault="003A1B5D">
            <w:pPr>
              <w:pStyle w:val="a3"/>
              <w:spacing w:before="0" w:beforeAutospacing="0" w:after="0" w:afterAutospacing="0"/>
              <w:jc w:val="right"/>
              <w:rPr>
                <w:sz w:val="20"/>
                <w:szCs w:val="20"/>
              </w:rPr>
            </w:pPr>
            <w:r>
              <w:rPr>
                <w:sz w:val="20"/>
                <w:szCs w:val="20"/>
              </w:rPr>
              <w:t>2,164,45</w:t>
            </w:r>
            <w:r>
              <w:rPr>
                <w:sz w:val="20"/>
                <w:szCs w:val="20"/>
              </w:rPr>
              <w:t>9</w:t>
            </w:r>
          </w:p>
        </w:tc>
        <w:tc>
          <w:tcPr>
            <w:tcW w:w="0" w:type="auto"/>
            <w:noWrap/>
            <w:vAlign w:val="bottom"/>
            <w:hideMark/>
          </w:tcPr>
          <w:p w14:paraId="5355D4E4"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ED515B5"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6FAE834A"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14EF931D" w14:textId="77777777" w:rsidR="00000000" w:rsidRDefault="003A1B5D">
            <w:pPr>
              <w:pStyle w:val="a3"/>
              <w:spacing w:before="0" w:beforeAutospacing="0" w:after="0" w:afterAutospacing="0"/>
              <w:jc w:val="right"/>
              <w:rPr>
                <w:sz w:val="20"/>
                <w:szCs w:val="20"/>
              </w:rPr>
            </w:pPr>
            <w:r>
              <w:rPr>
                <w:sz w:val="20"/>
                <w:szCs w:val="20"/>
              </w:rPr>
              <w:t>9.9</w:t>
            </w:r>
            <w:r>
              <w:rPr>
                <w:sz w:val="20"/>
                <w:szCs w:val="20"/>
              </w:rPr>
              <w:t>2</w:t>
            </w:r>
          </w:p>
        </w:tc>
        <w:tc>
          <w:tcPr>
            <w:tcW w:w="0" w:type="auto"/>
            <w:noWrap/>
            <w:vAlign w:val="bottom"/>
            <w:hideMark/>
          </w:tcPr>
          <w:p w14:paraId="45EB824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6F27160"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4DF472E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35E9BC19" w14:textId="77777777" w:rsidR="00000000" w:rsidRDefault="003A1B5D">
            <w:pPr>
              <w:pStyle w:val="a3"/>
              <w:spacing w:before="0" w:beforeAutospacing="0" w:after="0" w:afterAutospacing="0"/>
              <w:jc w:val="right"/>
              <w:rPr>
                <w:sz w:val="20"/>
                <w:szCs w:val="20"/>
              </w:rPr>
            </w:pPr>
            <w:r>
              <w:rPr>
                <w:sz w:val="20"/>
                <w:szCs w:val="20"/>
              </w:rPr>
              <w:t>2,164,45</w:t>
            </w:r>
            <w:r>
              <w:rPr>
                <w:sz w:val="20"/>
                <w:szCs w:val="20"/>
              </w:rPr>
              <w:t>9</w:t>
            </w:r>
          </w:p>
        </w:tc>
        <w:tc>
          <w:tcPr>
            <w:tcW w:w="0" w:type="auto"/>
            <w:noWrap/>
            <w:vAlign w:val="bottom"/>
            <w:hideMark/>
          </w:tcPr>
          <w:p w14:paraId="62E1E84B"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F995D97"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09A82341"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125D2D56" w14:textId="77777777" w:rsidR="00000000" w:rsidRDefault="003A1B5D">
            <w:pPr>
              <w:pStyle w:val="a3"/>
              <w:spacing w:before="0" w:beforeAutospacing="0" w:after="0" w:afterAutospacing="0"/>
              <w:jc w:val="right"/>
              <w:rPr>
                <w:sz w:val="20"/>
                <w:szCs w:val="20"/>
              </w:rPr>
            </w:pPr>
            <w:r>
              <w:rPr>
                <w:sz w:val="20"/>
                <w:szCs w:val="20"/>
              </w:rPr>
              <w:t>153,526,53</w:t>
            </w:r>
            <w:r>
              <w:rPr>
                <w:sz w:val="20"/>
                <w:szCs w:val="20"/>
              </w:rPr>
              <w:t>6</w:t>
            </w:r>
          </w:p>
        </w:tc>
        <w:tc>
          <w:tcPr>
            <w:tcW w:w="0" w:type="auto"/>
            <w:noWrap/>
            <w:vAlign w:val="bottom"/>
            <w:hideMark/>
          </w:tcPr>
          <w:p w14:paraId="1BA102FA" w14:textId="77777777" w:rsidR="00000000" w:rsidRDefault="003A1B5D">
            <w:pPr>
              <w:pStyle w:val="a3"/>
              <w:spacing w:before="0" w:beforeAutospacing="0" w:after="0" w:afterAutospacing="0"/>
              <w:rPr>
                <w:sz w:val="20"/>
                <w:szCs w:val="20"/>
              </w:rPr>
            </w:pPr>
            <w:r>
              <w:rPr>
                <w:sz w:val="20"/>
                <w:szCs w:val="20"/>
              </w:rPr>
              <w:t> </w:t>
            </w:r>
          </w:p>
        </w:tc>
      </w:tr>
      <w:tr w:rsidR="00000000" w14:paraId="082D0AC4" w14:textId="77777777">
        <w:trPr>
          <w:trHeight w:val="200"/>
          <w:tblCellSpacing w:w="15" w:type="dxa"/>
        </w:trPr>
        <w:tc>
          <w:tcPr>
            <w:tcW w:w="0" w:type="auto"/>
            <w:hideMark/>
          </w:tcPr>
          <w:p w14:paraId="7F23EA3D" w14:textId="77777777" w:rsidR="00000000" w:rsidRDefault="003A1B5D">
            <w:pPr>
              <w:pStyle w:val="a3"/>
              <w:spacing w:before="0" w:beforeAutospacing="0" w:after="0" w:afterAutospacing="0"/>
              <w:rPr>
                <w:sz w:val="20"/>
                <w:szCs w:val="20"/>
              </w:rPr>
            </w:pPr>
            <w:r>
              <w:rPr>
                <w:sz w:val="20"/>
                <w:szCs w:val="20"/>
              </w:rPr>
              <w:t>September 1, 2022 - September 30, 202</w:t>
            </w:r>
            <w:r>
              <w:rPr>
                <w:sz w:val="20"/>
                <w:szCs w:val="20"/>
              </w:rPr>
              <w:t>2</w:t>
            </w:r>
          </w:p>
        </w:tc>
        <w:tc>
          <w:tcPr>
            <w:tcW w:w="0" w:type="auto"/>
            <w:vAlign w:val="bottom"/>
            <w:hideMark/>
          </w:tcPr>
          <w:p w14:paraId="1FDE2E4F" w14:textId="77777777" w:rsidR="00000000" w:rsidRDefault="003A1B5D">
            <w:pPr>
              <w:pStyle w:val="a3"/>
              <w:spacing w:before="0" w:beforeAutospacing="0" w:after="0" w:afterAutospacing="0"/>
              <w:rPr>
                <w:sz w:val="20"/>
                <w:szCs w:val="20"/>
              </w:rPr>
            </w:pPr>
            <w:r>
              <w:rPr>
                <w:sz w:val="20"/>
                <w:szCs w:val="20"/>
              </w:rPr>
              <w:t> </w:t>
            </w:r>
          </w:p>
        </w:tc>
        <w:tc>
          <w:tcPr>
            <w:tcW w:w="0" w:type="auto"/>
            <w:noWrap/>
            <w:vAlign w:val="bottom"/>
            <w:hideMark/>
          </w:tcPr>
          <w:p w14:paraId="29A341D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7210D2C" w14:textId="77777777" w:rsidR="00000000" w:rsidRDefault="003A1B5D">
            <w:pPr>
              <w:pStyle w:val="a3"/>
              <w:spacing w:before="0" w:beforeAutospacing="0" w:after="0" w:afterAutospacing="0"/>
              <w:jc w:val="right"/>
              <w:rPr>
                <w:sz w:val="20"/>
                <w:szCs w:val="20"/>
              </w:rPr>
            </w:pPr>
            <w:r>
              <w:rPr>
                <w:sz w:val="20"/>
                <w:szCs w:val="20"/>
              </w:rPr>
              <w:t>338,71</w:t>
            </w:r>
            <w:r>
              <w:rPr>
                <w:sz w:val="20"/>
                <w:szCs w:val="20"/>
              </w:rPr>
              <w:t>5</w:t>
            </w:r>
          </w:p>
        </w:tc>
        <w:tc>
          <w:tcPr>
            <w:tcW w:w="0" w:type="auto"/>
            <w:noWrap/>
            <w:vAlign w:val="bottom"/>
            <w:hideMark/>
          </w:tcPr>
          <w:p w14:paraId="4A0342CD"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A268903"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3363306D"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7F4594A5" w14:textId="77777777" w:rsidR="00000000" w:rsidRDefault="003A1B5D">
            <w:pPr>
              <w:pStyle w:val="a3"/>
              <w:spacing w:before="0" w:beforeAutospacing="0" w:after="0" w:afterAutospacing="0"/>
              <w:jc w:val="right"/>
              <w:rPr>
                <w:sz w:val="20"/>
                <w:szCs w:val="20"/>
              </w:rPr>
            </w:pPr>
            <w:r>
              <w:rPr>
                <w:sz w:val="20"/>
                <w:szCs w:val="20"/>
              </w:rPr>
              <w:t>9.0</w:t>
            </w:r>
            <w:r>
              <w:rPr>
                <w:sz w:val="20"/>
                <w:szCs w:val="20"/>
              </w:rPr>
              <w:t>4</w:t>
            </w:r>
          </w:p>
        </w:tc>
        <w:tc>
          <w:tcPr>
            <w:tcW w:w="0" w:type="auto"/>
            <w:noWrap/>
            <w:vAlign w:val="bottom"/>
            <w:hideMark/>
          </w:tcPr>
          <w:p w14:paraId="2B646FFC"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728DBB5"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05817B5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36537C8" w14:textId="77777777" w:rsidR="00000000" w:rsidRDefault="003A1B5D">
            <w:pPr>
              <w:pStyle w:val="a3"/>
              <w:spacing w:before="0" w:beforeAutospacing="0" w:after="0" w:afterAutospacing="0"/>
              <w:jc w:val="right"/>
              <w:rPr>
                <w:sz w:val="20"/>
                <w:szCs w:val="20"/>
              </w:rPr>
            </w:pPr>
            <w:r>
              <w:rPr>
                <w:sz w:val="20"/>
                <w:szCs w:val="20"/>
              </w:rPr>
              <w:t>338,71</w:t>
            </w:r>
            <w:r>
              <w:rPr>
                <w:sz w:val="20"/>
                <w:szCs w:val="20"/>
              </w:rPr>
              <w:t>5</w:t>
            </w:r>
          </w:p>
        </w:tc>
        <w:tc>
          <w:tcPr>
            <w:tcW w:w="0" w:type="auto"/>
            <w:noWrap/>
            <w:vAlign w:val="bottom"/>
            <w:hideMark/>
          </w:tcPr>
          <w:p w14:paraId="6D19CD91"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11F032AF" w14:textId="77777777" w:rsidR="00000000" w:rsidRDefault="003A1B5D">
            <w:pPr>
              <w:pStyle w:val="a3"/>
              <w:spacing w:before="0" w:beforeAutospacing="0" w:after="0" w:afterAutospacing="0"/>
              <w:jc w:val="right"/>
              <w:rPr>
                <w:sz w:val="20"/>
                <w:szCs w:val="20"/>
              </w:rPr>
            </w:pPr>
            <w:r>
              <w:rPr>
                <w:sz w:val="20"/>
                <w:szCs w:val="20"/>
              </w:rPr>
              <w:t> </w:t>
            </w:r>
          </w:p>
        </w:tc>
        <w:tc>
          <w:tcPr>
            <w:tcW w:w="0" w:type="auto"/>
            <w:noWrap/>
            <w:vAlign w:val="bottom"/>
            <w:hideMark/>
          </w:tcPr>
          <w:p w14:paraId="46D5128E" w14:textId="77777777" w:rsidR="00000000" w:rsidRDefault="003A1B5D">
            <w:pPr>
              <w:pStyle w:val="a3"/>
              <w:spacing w:before="0" w:beforeAutospacing="0" w:after="0" w:afterAutospacing="0"/>
              <w:rPr>
                <w:sz w:val="20"/>
                <w:szCs w:val="20"/>
              </w:rPr>
            </w:pPr>
            <w:r>
              <w:rPr>
                <w:sz w:val="20"/>
                <w:szCs w:val="20"/>
              </w:rPr>
              <w:t>$</w:t>
            </w:r>
          </w:p>
        </w:tc>
        <w:tc>
          <w:tcPr>
            <w:tcW w:w="0" w:type="auto"/>
            <w:vAlign w:val="bottom"/>
            <w:hideMark/>
          </w:tcPr>
          <w:p w14:paraId="7735A727" w14:textId="77777777" w:rsidR="00000000" w:rsidRDefault="003A1B5D">
            <w:pPr>
              <w:pStyle w:val="a3"/>
              <w:spacing w:before="0" w:beforeAutospacing="0" w:after="0" w:afterAutospacing="0"/>
              <w:jc w:val="right"/>
              <w:rPr>
                <w:sz w:val="20"/>
                <w:szCs w:val="20"/>
              </w:rPr>
            </w:pPr>
            <w:r>
              <w:rPr>
                <w:sz w:val="20"/>
                <w:szCs w:val="20"/>
              </w:rPr>
              <w:t>150,464,80</w:t>
            </w:r>
            <w:r>
              <w:rPr>
                <w:sz w:val="20"/>
                <w:szCs w:val="20"/>
              </w:rPr>
              <w:t>3</w:t>
            </w:r>
          </w:p>
        </w:tc>
        <w:tc>
          <w:tcPr>
            <w:tcW w:w="0" w:type="auto"/>
            <w:noWrap/>
            <w:vAlign w:val="bottom"/>
            <w:hideMark/>
          </w:tcPr>
          <w:p w14:paraId="605A6DA4" w14:textId="77777777" w:rsidR="00000000" w:rsidRDefault="003A1B5D">
            <w:pPr>
              <w:pStyle w:val="a3"/>
              <w:spacing w:before="0" w:beforeAutospacing="0" w:after="0" w:afterAutospacing="0"/>
              <w:rPr>
                <w:sz w:val="20"/>
                <w:szCs w:val="20"/>
              </w:rPr>
            </w:pPr>
            <w:r>
              <w:rPr>
                <w:sz w:val="20"/>
                <w:szCs w:val="20"/>
              </w:rPr>
              <w:t> </w:t>
            </w:r>
          </w:p>
        </w:tc>
      </w:tr>
      <w:tr w:rsidR="00000000" w14:paraId="355C8039" w14:textId="77777777">
        <w:trPr>
          <w:trHeight w:val="200"/>
          <w:tblCellSpacing w:w="15" w:type="dxa"/>
        </w:trPr>
        <w:tc>
          <w:tcPr>
            <w:tcW w:w="0" w:type="auto"/>
            <w:vAlign w:val="bottom"/>
            <w:hideMark/>
          </w:tcPr>
          <w:p w14:paraId="4302C10B" w14:textId="77777777" w:rsidR="00000000" w:rsidRDefault="003A1B5D">
            <w:pPr>
              <w:pStyle w:val="a3"/>
              <w:spacing w:before="0" w:beforeAutospacing="0" w:after="0" w:afterAutospacing="0"/>
              <w:rPr>
                <w:sz w:val="20"/>
                <w:szCs w:val="20"/>
              </w:rPr>
            </w:pPr>
            <w:r>
              <w:rPr>
                <w:b/>
                <w:bCs/>
                <w:sz w:val="20"/>
                <w:szCs w:val="20"/>
              </w:rPr>
              <w:t>Tota</w:t>
            </w:r>
            <w:r>
              <w:rPr>
                <w:b/>
                <w:bCs/>
                <w:sz w:val="20"/>
                <w:szCs w:val="20"/>
              </w:rPr>
              <w:t>l</w:t>
            </w:r>
          </w:p>
        </w:tc>
        <w:tc>
          <w:tcPr>
            <w:tcW w:w="0" w:type="auto"/>
            <w:vAlign w:val="bottom"/>
            <w:hideMark/>
          </w:tcPr>
          <w:p w14:paraId="5BB4938B" w14:textId="77777777" w:rsidR="00000000" w:rsidRDefault="003A1B5D">
            <w:pPr>
              <w:pStyle w:val="a3"/>
              <w:spacing w:before="0" w:beforeAutospacing="0" w:after="0" w:afterAutospacing="0"/>
              <w:rPr>
                <w:sz w:val="22"/>
                <w:szCs w:val="22"/>
              </w:rPr>
            </w:pPr>
            <w:r>
              <w:rPr>
                <w:sz w:val="22"/>
                <w:szCs w:val="22"/>
              </w:rPr>
              <w:t> </w:t>
            </w:r>
          </w:p>
        </w:tc>
        <w:tc>
          <w:tcPr>
            <w:tcW w:w="0" w:type="auto"/>
            <w:noWrap/>
            <w:vAlign w:val="bottom"/>
            <w:hideMark/>
          </w:tcPr>
          <w:p w14:paraId="398D1F73"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75FC6474" w14:textId="77777777" w:rsidR="00000000" w:rsidRDefault="003A1B5D">
            <w:pPr>
              <w:pStyle w:val="a3"/>
              <w:spacing w:before="0" w:beforeAutospacing="0" w:after="0" w:afterAutospacing="0"/>
              <w:jc w:val="right"/>
              <w:rPr>
                <w:sz w:val="20"/>
                <w:szCs w:val="20"/>
              </w:rPr>
            </w:pPr>
            <w:r>
              <w:rPr>
                <w:b/>
                <w:bCs/>
                <w:sz w:val="20"/>
                <w:szCs w:val="20"/>
              </w:rPr>
              <w:t>3,635,04</w:t>
            </w:r>
            <w:r>
              <w:rPr>
                <w:b/>
                <w:bCs/>
                <w:sz w:val="20"/>
                <w:szCs w:val="20"/>
              </w:rPr>
              <w:t>3</w:t>
            </w:r>
          </w:p>
        </w:tc>
        <w:tc>
          <w:tcPr>
            <w:tcW w:w="0" w:type="auto"/>
            <w:noWrap/>
            <w:vAlign w:val="bottom"/>
            <w:hideMark/>
          </w:tcPr>
          <w:p w14:paraId="6EA6A2A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09BA21A8" w14:textId="77777777" w:rsidR="00000000" w:rsidRDefault="003A1B5D">
            <w:pPr>
              <w:pStyle w:val="a3"/>
              <w:spacing w:before="0" w:beforeAutospacing="0" w:after="0" w:afterAutospacing="0"/>
              <w:jc w:val="right"/>
              <w:rPr>
                <w:sz w:val="22"/>
                <w:szCs w:val="22"/>
              </w:rPr>
            </w:pPr>
            <w:r>
              <w:rPr>
                <w:sz w:val="22"/>
                <w:szCs w:val="22"/>
              </w:rPr>
              <w:t> </w:t>
            </w:r>
          </w:p>
        </w:tc>
        <w:tc>
          <w:tcPr>
            <w:tcW w:w="0" w:type="auto"/>
            <w:noWrap/>
            <w:vAlign w:val="bottom"/>
            <w:hideMark/>
          </w:tcPr>
          <w:p w14:paraId="44A9E6CC"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450805DD" w14:textId="77777777" w:rsidR="00000000" w:rsidRDefault="003A1B5D">
            <w:pPr>
              <w:pStyle w:val="a3"/>
              <w:spacing w:before="0" w:beforeAutospacing="0" w:after="0" w:afterAutospacing="0"/>
              <w:jc w:val="right"/>
              <w:rPr>
                <w:sz w:val="20"/>
                <w:szCs w:val="20"/>
              </w:rPr>
            </w:pPr>
            <w:r>
              <w:rPr>
                <w:b/>
                <w:bCs/>
                <w:sz w:val="20"/>
                <w:szCs w:val="20"/>
              </w:rPr>
              <w:t>10.1</w:t>
            </w:r>
            <w:r>
              <w:rPr>
                <w:b/>
                <w:bCs/>
                <w:sz w:val="20"/>
                <w:szCs w:val="20"/>
              </w:rPr>
              <w:t>9</w:t>
            </w:r>
          </w:p>
        </w:tc>
        <w:tc>
          <w:tcPr>
            <w:tcW w:w="0" w:type="auto"/>
            <w:noWrap/>
            <w:vAlign w:val="bottom"/>
            <w:hideMark/>
          </w:tcPr>
          <w:p w14:paraId="5FD5BC62"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25A8F849" w14:textId="77777777" w:rsidR="00000000" w:rsidRDefault="003A1B5D">
            <w:pPr>
              <w:pStyle w:val="a3"/>
              <w:spacing w:before="0" w:beforeAutospacing="0" w:after="0" w:afterAutospacing="0"/>
              <w:jc w:val="right"/>
              <w:rPr>
                <w:sz w:val="22"/>
                <w:szCs w:val="22"/>
              </w:rPr>
            </w:pPr>
            <w:r>
              <w:rPr>
                <w:sz w:val="22"/>
                <w:szCs w:val="22"/>
              </w:rPr>
              <w:t> </w:t>
            </w:r>
          </w:p>
        </w:tc>
        <w:tc>
          <w:tcPr>
            <w:tcW w:w="0" w:type="auto"/>
            <w:noWrap/>
            <w:vAlign w:val="bottom"/>
            <w:hideMark/>
          </w:tcPr>
          <w:p w14:paraId="5E49C596"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4F2DE6C1" w14:textId="77777777" w:rsidR="00000000" w:rsidRDefault="003A1B5D">
            <w:pPr>
              <w:pStyle w:val="a3"/>
              <w:spacing w:before="0" w:beforeAutospacing="0" w:after="0" w:afterAutospacing="0"/>
              <w:jc w:val="right"/>
              <w:rPr>
                <w:sz w:val="20"/>
                <w:szCs w:val="20"/>
              </w:rPr>
            </w:pPr>
            <w:r>
              <w:rPr>
                <w:b/>
                <w:bCs/>
                <w:sz w:val="20"/>
                <w:szCs w:val="20"/>
              </w:rPr>
              <w:t>3,635,04</w:t>
            </w:r>
            <w:r>
              <w:rPr>
                <w:b/>
                <w:bCs/>
                <w:sz w:val="20"/>
                <w:szCs w:val="20"/>
              </w:rPr>
              <w:t>3</w:t>
            </w:r>
          </w:p>
        </w:tc>
        <w:tc>
          <w:tcPr>
            <w:tcW w:w="0" w:type="auto"/>
            <w:noWrap/>
            <w:vAlign w:val="bottom"/>
            <w:hideMark/>
          </w:tcPr>
          <w:p w14:paraId="2EFA5D18" w14:textId="77777777" w:rsidR="00000000" w:rsidRDefault="003A1B5D">
            <w:pPr>
              <w:pStyle w:val="a3"/>
              <w:spacing w:before="0" w:beforeAutospacing="0" w:after="0" w:afterAutospacing="0"/>
              <w:rPr>
                <w:sz w:val="20"/>
                <w:szCs w:val="20"/>
              </w:rPr>
            </w:pPr>
            <w:r>
              <w:rPr>
                <w:sz w:val="20"/>
                <w:szCs w:val="20"/>
              </w:rPr>
              <w:t> </w:t>
            </w:r>
          </w:p>
        </w:tc>
        <w:tc>
          <w:tcPr>
            <w:tcW w:w="0" w:type="auto"/>
            <w:vAlign w:val="bottom"/>
            <w:hideMark/>
          </w:tcPr>
          <w:p w14:paraId="55D23989" w14:textId="77777777" w:rsidR="00000000" w:rsidRDefault="003A1B5D">
            <w:pPr>
              <w:pStyle w:val="a3"/>
              <w:spacing w:before="0" w:beforeAutospacing="0" w:after="0" w:afterAutospacing="0"/>
              <w:jc w:val="right"/>
              <w:rPr>
                <w:sz w:val="22"/>
                <w:szCs w:val="22"/>
              </w:rPr>
            </w:pPr>
            <w:r>
              <w:rPr>
                <w:sz w:val="22"/>
                <w:szCs w:val="22"/>
              </w:rPr>
              <w:t> </w:t>
            </w:r>
          </w:p>
        </w:tc>
        <w:tc>
          <w:tcPr>
            <w:tcW w:w="0" w:type="auto"/>
            <w:noWrap/>
            <w:vAlign w:val="bottom"/>
            <w:hideMark/>
          </w:tcPr>
          <w:p w14:paraId="7CF6121C" w14:textId="77777777" w:rsidR="00000000" w:rsidRDefault="003A1B5D">
            <w:pPr>
              <w:pStyle w:val="a3"/>
              <w:spacing w:before="0" w:beforeAutospacing="0" w:after="0" w:afterAutospacing="0"/>
              <w:rPr>
                <w:sz w:val="20"/>
                <w:szCs w:val="20"/>
              </w:rPr>
            </w:pPr>
            <w:r>
              <w:rPr>
                <w:b/>
                <w:bCs/>
                <w:sz w:val="20"/>
                <w:szCs w:val="20"/>
              </w:rPr>
              <w:t>$</w:t>
            </w:r>
          </w:p>
        </w:tc>
        <w:tc>
          <w:tcPr>
            <w:tcW w:w="0" w:type="auto"/>
            <w:vAlign w:val="bottom"/>
            <w:hideMark/>
          </w:tcPr>
          <w:p w14:paraId="0721B81B" w14:textId="77777777" w:rsidR="00000000" w:rsidRDefault="003A1B5D">
            <w:pPr>
              <w:pStyle w:val="a3"/>
              <w:spacing w:before="0" w:beforeAutospacing="0" w:after="0" w:afterAutospacing="0"/>
              <w:jc w:val="right"/>
              <w:rPr>
                <w:sz w:val="20"/>
                <w:szCs w:val="20"/>
              </w:rPr>
            </w:pPr>
            <w:r>
              <w:rPr>
                <w:b/>
                <w:bCs/>
                <w:sz w:val="20"/>
                <w:szCs w:val="20"/>
              </w:rPr>
              <w:t>150,464,80</w:t>
            </w:r>
            <w:r>
              <w:rPr>
                <w:b/>
                <w:bCs/>
                <w:sz w:val="20"/>
                <w:szCs w:val="20"/>
              </w:rPr>
              <w:t>3</w:t>
            </w:r>
          </w:p>
        </w:tc>
        <w:tc>
          <w:tcPr>
            <w:tcW w:w="0" w:type="auto"/>
            <w:noWrap/>
            <w:vAlign w:val="bottom"/>
            <w:hideMark/>
          </w:tcPr>
          <w:p w14:paraId="33A0A812" w14:textId="77777777" w:rsidR="00000000" w:rsidRDefault="003A1B5D">
            <w:pPr>
              <w:pStyle w:val="a3"/>
              <w:spacing w:before="0" w:beforeAutospacing="0" w:after="0" w:afterAutospacing="0"/>
              <w:rPr>
                <w:sz w:val="20"/>
                <w:szCs w:val="20"/>
              </w:rPr>
            </w:pPr>
            <w:r>
              <w:rPr>
                <w:sz w:val="20"/>
                <w:szCs w:val="20"/>
              </w:rPr>
              <w:t> </w:t>
            </w:r>
          </w:p>
        </w:tc>
      </w:tr>
    </w:tbl>
    <w:p w14:paraId="38AFE1B3" w14:textId="77777777" w:rsidR="00000000" w:rsidRDefault="003A1B5D">
      <w:pPr>
        <w:pStyle w:val="a3"/>
        <w:spacing w:before="160" w:beforeAutospacing="0" w:after="0" w:afterAutospacing="0"/>
        <w:jc w:val="both"/>
        <w:rPr>
          <w:sz w:val="20"/>
          <w:szCs w:val="20"/>
        </w:rPr>
      </w:pPr>
      <w:r>
        <w:rPr>
          <w:sz w:val="20"/>
          <w:szCs w:val="20"/>
        </w:rPr>
        <w:t> </w:t>
      </w:r>
    </w:p>
    <w:p w14:paraId="4E726572" w14:textId="77777777" w:rsidR="00000000" w:rsidRDefault="003A1B5D">
      <w:pPr>
        <w:pStyle w:val="a3"/>
        <w:spacing w:before="0" w:beforeAutospacing="0" w:after="0" w:afterAutospacing="0"/>
        <w:jc w:val="both"/>
        <w:rPr>
          <w:sz w:val="20"/>
          <w:szCs w:val="20"/>
        </w:rPr>
      </w:pPr>
      <w:r>
        <w:rPr>
          <w:sz w:val="20"/>
          <w:szCs w:val="20"/>
        </w:rPr>
        <w:t>(1) On May 12, 2022, the Company announced that its Board of Directors, or BOD, had approved a share repurchase program to repurchase up to $150.0 million of the Company's common stock. On August 2, 2022, the BOD increased the authorization to repurchase u</w:t>
      </w:r>
      <w:r>
        <w:rPr>
          <w:sz w:val="20"/>
          <w:szCs w:val="20"/>
        </w:rPr>
        <w:t>nder the share repurchase program by up to an additional $75.0 million of the Company's common stock, which resulted in a total aggregate amount to repurchase of up to $225.0 million of our common stock. Repurchases of the Company's outstanding common stoc</w:t>
      </w:r>
      <w:r>
        <w:rPr>
          <w:sz w:val="20"/>
          <w:szCs w:val="20"/>
        </w:rPr>
        <w:t xml:space="preserve">k will be made in accordance with applicable securities laws and may be made at the Company's discretion based on parameters set by the BOD from time to time in the open market, through privately negotiated transactions, or otherwise. The share repurchase </w:t>
      </w:r>
      <w:r>
        <w:rPr>
          <w:sz w:val="20"/>
          <w:szCs w:val="20"/>
        </w:rPr>
        <w:t>program has no time limit and does not obligate the Company to purchase any particular amount of its common stock. The authorization for the share repurchase program may be terminated, suspended, increased or decreased by the BOD in its discretion at any t</w:t>
      </w:r>
      <w:r>
        <w:rPr>
          <w:sz w:val="20"/>
          <w:szCs w:val="20"/>
        </w:rPr>
        <w:t>ime. As of September 30, 2022, the Company had repurchased a total of 6.6 million common shares at an aggregate cost of approximately $74.5 million</w:t>
      </w:r>
      <w:r>
        <w:rPr>
          <w:sz w:val="20"/>
          <w:szCs w:val="20"/>
        </w:rPr>
        <w:t>.</w:t>
      </w:r>
    </w:p>
    <w:p w14:paraId="15AAA2F4" w14:textId="77777777" w:rsidR="00000000" w:rsidRDefault="003A1B5D">
      <w:pPr>
        <w:pStyle w:val="a3"/>
        <w:spacing w:before="160" w:beforeAutospacing="0" w:after="0" w:afterAutospacing="0"/>
        <w:jc w:val="both"/>
        <w:rPr>
          <w:sz w:val="20"/>
          <w:szCs w:val="20"/>
        </w:rPr>
      </w:pPr>
      <w:r>
        <w:rPr>
          <w:sz w:val="20"/>
          <w:szCs w:val="20"/>
        </w:rPr>
        <w:t> </w:t>
      </w:r>
    </w:p>
    <w:p w14:paraId="4E3A2AA1" w14:textId="77777777" w:rsidR="00000000" w:rsidRDefault="003A1B5D">
      <w:pPr>
        <w:pStyle w:val="a3"/>
        <w:spacing w:before="0" w:beforeAutospacing="0" w:after="0" w:afterAutospacing="0"/>
        <w:jc w:val="both"/>
        <w:rPr>
          <w:sz w:val="20"/>
          <w:szCs w:val="20"/>
        </w:rPr>
      </w:pPr>
      <w:r>
        <w:rPr>
          <w:b/>
          <w:bCs/>
          <w:sz w:val="20"/>
          <w:szCs w:val="20"/>
        </w:rPr>
        <w:t>ITEM 3. DEFAULTS UPO</w:t>
      </w:r>
      <w:r>
        <w:rPr>
          <w:b/>
          <w:bCs/>
          <w:sz w:val="20"/>
          <w:szCs w:val="20"/>
        </w:rPr>
        <w:t>N</w:t>
      </w:r>
      <w:r>
        <w:rPr>
          <w:b/>
          <w:bCs/>
          <w:sz w:val="20"/>
          <w:szCs w:val="20"/>
        </w:rPr>
        <w:t xml:space="preserve"> SENIOR SECURITIES</w:t>
      </w:r>
      <w:r>
        <w:rPr>
          <w:b/>
          <w:bCs/>
          <w:sz w:val="20"/>
          <w:szCs w:val="20"/>
        </w:rPr>
        <w:t>.</w:t>
      </w:r>
    </w:p>
    <w:p w14:paraId="288240FA" w14:textId="77777777" w:rsidR="00000000" w:rsidRDefault="003A1B5D">
      <w:pPr>
        <w:pStyle w:val="a3"/>
        <w:spacing w:before="0" w:beforeAutospacing="0" w:after="0" w:afterAutospacing="0"/>
        <w:jc w:val="both"/>
        <w:rPr>
          <w:sz w:val="20"/>
          <w:szCs w:val="20"/>
        </w:rPr>
      </w:pPr>
      <w:r>
        <w:rPr>
          <w:sz w:val="20"/>
          <w:szCs w:val="20"/>
        </w:rPr>
        <w:t> </w:t>
      </w:r>
    </w:p>
    <w:p w14:paraId="28036C2C" w14:textId="77777777" w:rsidR="00000000" w:rsidRDefault="003A1B5D">
      <w:pPr>
        <w:pStyle w:val="a3"/>
        <w:spacing w:before="0" w:beforeAutospacing="0" w:after="0" w:afterAutospacing="0"/>
        <w:jc w:val="both"/>
        <w:rPr>
          <w:sz w:val="20"/>
          <w:szCs w:val="20"/>
        </w:rPr>
      </w:pPr>
      <w:r>
        <w:rPr>
          <w:sz w:val="20"/>
          <w:szCs w:val="20"/>
        </w:rPr>
        <w:t>None</w:t>
      </w:r>
      <w:r>
        <w:rPr>
          <w:sz w:val="20"/>
          <w:szCs w:val="20"/>
        </w:rPr>
        <w:t>.</w:t>
      </w:r>
    </w:p>
    <w:p w14:paraId="2659940D" w14:textId="77777777" w:rsidR="00000000" w:rsidRDefault="003A1B5D">
      <w:pPr>
        <w:pStyle w:val="a3"/>
        <w:spacing w:before="160" w:beforeAutospacing="0" w:after="0" w:afterAutospacing="0"/>
        <w:ind w:hanging="1222"/>
        <w:jc w:val="both"/>
        <w:rPr>
          <w:sz w:val="20"/>
          <w:szCs w:val="20"/>
        </w:rPr>
      </w:pPr>
      <w:r>
        <w:rPr>
          <w:sz w:val="20"/>
          <w:szCs w:val="20"/>
        </w:rPr>
        <w:t> </w:t>
      </w:r>
    </w:p>
    <w:p w14:paraId="559175D0" w14:textId="77777777" w:rsidR="00000000" w:rsidRDefault="003A1B5D">
      <w:pPr>
        <w:pStyle w:val="a3"/>
        <w:spacing w:before="0" w:beforeAutospacing="0" w:after="0" w:afterAutospacing="0"/>
        <w:jc w:val="both"/>
        <w:rPr>
          <w:sz w:val="20"/>
          <w:szCs w:val="20"/>
        </w:rPr>
      </w:pPr>
      <w:r>
        <w:rPr>
          <w:b/>
          <w:bCs/>
          <w:sz w:val="20"/>
          <w:szCs w:val="20"/>
        </w:rPr>
        <w:t>ITEM 4. MINE SA</w:t>
      </w:r>
      <w:r>
        <w:rPr>
          <w:b/>
          <w:bCs/>
          <w:sz w:val="20"/>
          <w:szCs w:val="20"/>
        </w:rPr>
        <w:t>F</w:t>
      </w:r>
      <w:r>
        <w:rPr>
          <w:b/>
          <w:bCs/>
          <w:sz w:val="20"/>
          <w:szCs w:val="20"/>
        </w:rPr>
        <w:t>ETY DISCLOSURES</w:t>
      </w:r>
      <w:r>
        <w:rPr>
          <w:b/>
          <w:bCs/>
          <w:sz w:val="20"/>
          <w:szCs w:val="20"/>
        </w:rPr>
        <w:t>.</w:t>
      </w:r>
    </w:p>
    <w:p w14:paraId="48618427" w14:textId="77777777" w:rsidR="00000000" w:rsidRDefault="003A1B5D">
      <w:pPr>
        <w:pStyle w:val="a3"/>
        <w:spacing w:before="0" w:beforeAutospacing="0" w:after="0" w:afterAutospacing="0"/>
        <w:ind w:hanging="1883"/>
        <w:rPr>
          <w:sz w:val="20"/>
          <w:szCs w:val="20"/>
        </w:rPr>
      </w:pPr>
      <w:r>
        <w:rPr>
          <w:sz w:val="20"/>
          <w:szCs w:val="20"/>
        </w:rPr>
        <w:t> </w:t>
      </w:r>
    </w:p>
    <w:p w14:paraId="6017B2F8" w14:textId="77777777" w:rsidR="00000000" w:rsidRDefault="003A1B5D">
      <w:pPr>
        <w:pStyle w:val="a3"/>
        <w:spacing w:before="0" w:beforeAutospacing="0" w:after="0" w:afterAutospacing="0"/>
        <w:ind w:hanging="1883"/>
        <w:rPr>
          <w:sz w:val="20"/>
          <w:szCs w:val="20"/>
        </w:rPr>
      </w:pPr>
      <w:r>
        <w:rPr>
          <w:sz w:val="20"/>
          <w:szCs w:val="20"/>
        </w:rPr>
        <w:t>None</w:t>
      </w:r>
      <w:r>
        <w:rPr>
          <w:sz w:val="20"/>
          <w:szCs w:val="20"/>
        </w:rPr>
        <w:t>.</w:t>
      </w:r>
    </w:p>
    <w:p w14:paraId="0839B607" w14:textId="77777777" w:rsidR="00000000" w:rsidRDefault="003A1B5D">
      <w:pPr>
        <w:pStyle w:val="a3"/>
        <w:spacing w:before="160" w:beforeAutospacing="0" w:after="0" w:afterAutospacing="0"/>
        <w:ind w:hanging="1883"/>
        <w:rPr>
          <w:sz w:val="20"/>
          <w:szCs w:val="20"/>
        </w:rPr>
      </w:pPr>
      <w:r>
        <w:rPr>
          <w:sz w:val="20"/>
          <w:szCs w:val="20"/>
        </w:rPr>
        <w:t> </w:t>
      </w:r>
    </w:p>
    <w:p w14:paraId="2908ED88" w14:textId="77777777" w:rsidR="00000000" w:rsidRDefault="003A1B5D">
      <w:pPr>
        <w:pStyle w:val="a3"/>
        <w:spacing w:before="0" w:beforeAutospacing="0" w:after="0" w:afterAutospacing="0"/>
        <w:jc w:val="both"/>
        <w:rPr>
          <w:sz w:val="20"/>
          <w:szCs w:val="20"/>
        </w:rPr>
      </w:pPr>
      <w:r>
        <w:rPr>
          <w:b/>
          <w:bCs/>
          <w:sz w:val="20"/>
          <w:szCs w:val="20"/>
        </w:rPr>
        <w:t>ITEM 5. OTHE</w:t>
      </w:r>
      <w:r>
        <w:rPr>
          <w:b/>
          <w:bCs/>
          <w:sz w:val="20"/>
          <w:szCs w:val="20"/>
        </w:rPr>
        <w:t>R</w:t>
      </w:r>
      <w:r>
        <w:rPr>
          <w:b/>
          <w:bCs/>
          <w:sz w:val="20"/>
          <w:szCs w:val="20"/>
        </w:rPr>
        <w:t xml:space="preserve"> INFORMATION</w:t>
      </w:r>
      <w:r>
        <w:rPr>
          <w:b/>
          <w:bCs/>
          <w:sz w:val="20"/>
          <w:szCs w:val="20"/>
        </w:rPr>
        <w:t>.</w:t>
      </w:r>
    </w:p>
    <w:p w14:paraId="568D3CB7" w14:textId="77777777" w:rsidR="00000000" w:rsidRDefault="003A1B5D">
      <w:pPr>
        <w:pStyle w:val="a3"/>
        <w:spacing w:before="0" w:beforeAutospacing="0" w:after="0" w:afterAutospacing="0"/>
        <w:ind w:hanging="1883"/>
        <w:jc w:val="both"/>
        <w:rPr>
          <w:sz w:val="20"/>
          <w:szCs w:val="20"/>
        </w:rPr>
      </w:pPr>
      <w:r>
        <w:rPr>
          <w:sz w:val="20"/>
          <w:szCs w:val="20"/>
        </w:rPr>
        <w:t> </w:t>
      </w:r>
    </w:p>
    <w:p w14:paraId="035F2F2C" w14:textId="77777777" w:rsidR="00000000" w:rsidRDefault="003A1B5D">
      <w:pPr>
        <w:pStyle w:val="a3"/>
        <w:spacing w:before="0" w:beforeAutospacing="0" w:after="0" w:afterAutospacing="0"/>
        <w:ind w:hanging="1883"/>
        <w:jc w:val="both"/>
        <w:rPr>
          <w:sz w:val="20"/>
          <w:szCs w:val="20"/>
        </w:rPr>
      </w:pPr>
      <w:r>
        <w:rPr>
          <w:sz w:val="20"/>
          <w:szCs w:val="20"/>
        </w:rPr>
        <w:t>None</w:t>
      </w:r>
      <w:r>
        <w:rPr>
          <w:sz w:val="20"/>
          <w:szCs w:val="20"/>
        </w:rPr>
        <w:t>.</w:t>
      </w:r>
    </w:p>
    <w:p w14:paraId="75A153AB" w14:textId="77777777" w:rsidR="00000000" w:rsidRDefault="003A1B5D">
      <w:pPr>
        <w:pStyle w:val="a3"/>
        <w:spacing w:before="160" w:beforeAutospacing="0" w:after="0" w:afterAutospacing="0"/>
        <w:jc w:val="both"/>
        <w:rPr>
          <w:sz w:val="20"/>
          <w:szCs w:val="20"/>
        </w:rPr>
      </w:pPr>
      <w:r>
        <w:rPr>
          <w:sz w:val="20"/>
          <w:szCs w:val="20"/>
        </w:rPr>
        <w:t> </w:t>
      </w:r>
    </w:p>
    <w:p w14:paraId="4913B929" w14:textId="77777777" w:rsidR="00000000" w:rsidRDefault="003A1B5D">
      <w:pPr>
        <w:pStyle w:val="a3"/>
        <w:spacing w:before="240" w:beforeAutospacing="0" w:after="0" w:afterAutospacing="0"/>
        <w:jc w:val="center"/>
        <w:rPr>
          <w:sz w:val="20"/>
          <w:szCs w:val="20"/>
        </w:rPr>
      </w:pPr>
      <w:r>
        <w:rPr>
          <w:sz w:val="20"/>
          <w:szCs w:val="20"/>
        </w:rPr>
        <w:t>4</w:t>
      </w:r>
      <w:r>
        <w:rPr>
          <w:sz w:val="20"/>
          <w:szCs w:val="20"/>
        </w:rPr>
        <w:t>5</w:t>
      </w:r>
    </w:p>
    <w:p w14:paraId="14B3456B" w14:textId="77777777" w:rsidR="00000000" w:rsidRDefault="003A1B5D">
      <w:pPr>
        <w:rPr>
          <w:rFonts w:eastAsia="Times New Roman"/>
        </w:rPr>
      </w:pPr>
      <w:r>
        <w:rPr>
          <w:rFonts w:eastAsia="Times New Roman"/>
        </w:rPr>
        <w:pict w14:anchorId="45209C5D">
          <v:rect id="_x0000_i1071" style="width:0;height:1.5pt" o:hralign="center" o:hrstd="t" o:hr="t" fillcolor="#a0a0a0" stroked="f"/>
        </w:pict>
      </w:r>
    </w:p>
    <w:p w14:paraId="3C7AE673" w14:textId="77777777" w:rsidR="00000000" w:rsidRDefault="003A1B5D">
      <w:pPr>
        <w:pStyle w:val="a3"/>
        <w:spacing w:before="0" w:beforeAutospacing="0" w:after="0" w:afterAutospacing="0"/>
        <w:rPr>
          <w:sz w:val="20"/>
          <w:szCs w:val="20"/>
        </w:rPr>
      </w:pPr>
      <w:r>
        <w:rPr>
          <w:sz w:val="20"/>
          <w:szCs w:val="20"/>
        </w:rPr>
        <w:t> </w:t>
      </w:r>
    </w:p>
    <w:p w14:paraId="51E795AE" w14:textId="77777777" w:rsidR="00000000" w:rsidRDefault="003A1B5D">
      <w:pPr>
        <w:pStyle w:val="a3"/>
        <w:spacing w:before="0" w:beforeAutospacing="0" w:after="0" w:afterAutospacing="0"/>
        <w:jc w:val="both"/>
        <w:rPr>
          <w:sz w:val="20"/>
          <w:szCs w:val="20"/>
        </w:rPr>
      </w:pPr>
      <w:r>
        <w:rPr>
          <w:b/>
          <w:bCs/>
          <w:sz w:val="20"/>
          <w:szCs w:val="20"/>
        </w:rPr>
        <w:t xml:space="preserve">ITEM 6. </w:t>
      </w:r>
      <w:r>
        <w:rPr>
          <w:b/>
          <w:bCs/>
          <w:sz w:val="20"/>
          <w:szCs w:val="20"/>
        </w:rPr>
        <w:t>E</w:t>
      </w:r>
      <w:r>
        <w:rPr>
          <w:b/>
          <w:bCs/>
          <w:sz w:val="20"/>
          <w:szCs w:val="20"/>
        </w:rPr>
        <w:t>XHIBITS</w:t>
      </w:r>
      <w:r>
        <w:rPr>
          <w:b/>
          <w:bCs/>
          <w:sz w:val="20"/>
          <w:szCs w:val="20"/>
        </w:rPr>
        <w:t>.</w:t>
      </w:r>
    </w:p>
    <w:p w14:paraId="3C660E20" w14:textId="77777777" w:rsidR="00000000" w:rsidRDefault="003A1B5D">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0"/>
        <w:gridCol w:w="207"/>
        <w:gridCol w:w="7249"/>
      </w:tblGrid>
      <w:tr w:rsidR="00000000" w14:paraId="060DD9AF" w14:textId="77777777">
        <w:trPr>
          <w:tblCellSpacing w:w="15" w:type="dxa"/>
        </w:trPr>
        <w:tc>
          <w:tcPr>
            <w:tcW w:w="492" w:type="pct"/>
            <w:vAlign w:val="center"/>
            <w:hideMark/>
          </w:tcPr>
          <w:p w14:paraId="3238BA44" w14:textId="77777777" w:rsidR="00000000" w:rsidRDefault="003A1B5D">
            <w:pPr>
              <w:rPr>
                <w:sz w:val="20"/>
                <w:szCs w:val="20"/>
              </w:rPr>
            </w:pPr>
          </w:p>
        </w:tc>
        <w:tc>
          <w:tcPr>
            <w:tcW w:w="108" w:type="pct"/>
            <w:vAlign w:val="center"/>
            <w:hideMark/>
          </w:tcPr>
          <w:p w14:paraId="454E97F9" w14:textId="77777777" w:rsidR="00000000" w:rsidRDefault="003A1B5D">
            <w:pPr>
              <w:rPr>
                <w:rFonts w:eastAsia="Times New Roman"/>
                <w:sz w:val="20"/>
                <w:szCs w:val="20"/>
              </w:rPr>
            </w:pPr>
          </w:p>
        </w:tc>
        <w:tc>
          <w:tcPr>
            <w:tcW w:w="4399" w:type="pct"/>
            <w:vAlign w:val="center"/>
            <w:hideMark/>
          </w:tcPr>
          <w:p w14:paraId="7328FA0E" w14:textId="77777777" w:rsidR="00000000" w:rsidRDefault="003A1B5D">
            <w:pPr>
              <w:rPr>
                <w:rFonts w:eastAsia="Times New Roman"/>
                <w:sz w:val="20"/>
                <w:szCs w:val="20"/>
              </w:rPr>
            </w:pPr>
          </w:p>
        </w:tc>
      </w:tr>
      <w:tr w:rsidR="00000000" w14:paraId="7175B57F" w14:textId="77777777">
        <w:trPr>
          <w:trHeight w:val="200"/>
          <w:tblCellSpacing w:w="15" w:type="dxa"/>
        </w:trPr>
        <w:tc>
          <w:tcPr>
            <w:tcW w:w="0" w:type="auto"/>
            <w:vAlign w:val="bottom"/>
            <w:hideMark/>
          </w:tcPr>
          <w:p w14:paraId="5C64C5F2" w14:textId="77777777" w:rsidR="00000000" w:rsidRDefault="003A1B5D">
            <w:pPr>
              <w:pStyle w:val="a3"/>
              <w:spacing w:before="0" w:beforeAutospacing="0" w:after="0" w:afterAutospacing="0"/>
              <w:jc w:val="center"/>
              <w:rPr>
                <w:sz w:val="20"/>
                <w:szCs w:val="20"/>
              </w:rPr>
            </w:pPr>
            <w:r>
              <w:rPr>
                <w:sz w:val="20"/>
                <w:szCs w:val="20"/>
              </w:rPr>
              <w:t>Exhibi</w:t>
            </w:r>
            <w:r>
              <w:rPr>
                <w:sz w:val="20"/>
                <w:szCs w:val="20"/>
              </w:rPr>
              <w:t>t</w:t>
            </w:r>
          </w:p>
          <w:p w14:paraId="210AB7AC" w14:textId="77777777" w:rsidR="00000000" w:rsidRDefault="003A1B5D">
            <w:pPr>
              <w:pStyle w:val="a3"/>
              <w:spacing w:before="0" w:beforeAutospacing="0" w:after="0" w:afterAutospacing="0"/>
              <w:jc w:val="center"/>
              <w:rPr>
                <w:sz w:val="20"/>
                <w:szCs w:val="20"/>
              </w:rPr>
            </w:pPr>
            <w:r>
              <w:rPr>
                <w:sz w:val="20"/>
                <w:szCs w:val="20"/>
                <w:u w:val="single"/>
              </w:rPr>
              <w:t>Numbe</w:t>
            </w:r>
            <w:r>
              <w:rPr>
                <w:sz w:val="20"/>
                <w:szCs w:val="20"/>
                <w:u w:val="single"/>
              </w:rPr>
              <w:t>r</w:t>
            </w:r>
          </w:p>
        </w:tc>
        <w:tc>
          <w:tcPr>
            <w:tcW w:w="0" w:type="auto"/>
            <w:hideMark/>
          </w:tcPr>
          <w:p w14:paraId="33350465" w14:textId="77777777" w:rsidR="00000000" w:rsidRDefault="003A1B5D">
            <w:pPr>
              <w:pStyle w:val="a3"/>
              <w:spacing w:before="0" w:beforeAutospacing="0" w:after="0" w:afterAutospacing="0"/>
              <w:jc w:val="both"/>
              <w:rPr>
                <w:sz w:val="20"/>
                <w:szCs w:val="20"/>
              </w:rPr>
            </w:pPr>
            <w:r>
              <w:rPr>
                <w:sz w:val="20"/>
                <w:szCs w:val="20"/>
              </w:rPr>
              <w:t> </w:t>
            </w:r>
          </w:p>
        </w:tc>
        <w:tc>
          <w:tcPr>
            <w:tcW w:w="0" w:type="auto"/>
            <w:vAlign w:val="bottom"/>
            <w:hideMark/>
          </w:tcPr>
          <w:p w14:paraId="13F67867" w14:textId="77777777" w:rsidR="00000000" w:rsidRDefault="003A1B5D">
            <w:pPr>
              <w:pStyle w:val="a3"/>
              <w:spacing w:before="0" w:beforeAutospacing="0" w:after="0" w:afterAutospacing="0"/>
              <w:jc w:val="center"/>
              <w:rPr>
                <w:sz w:val="20"/>
                <w:szCs w:val="20"/>
              </w:rPr>
            </w:pPr>
            <w:r>
              <w:rPr>
                <w:sz w:val="20"/>
                <w:szCs w:val="20"/>
                <w:u w:val="single"/>
              </w:rPr>
              <w:t>Description of Exhibit</w:t>
            </w:r>
            <w:r>
              <w:rPr>
                <w:sz w:val="20"/>
                <w:szCs w:val="20"/>
                <w:u w:val="single"/>
              </w:rPr>
              <w:t>s</w:t>
            </w:r>
          </w:p>
        </w:tc>
      </w:tr>
      <w:tr w:rsidR="00000000" w14:paraId="661447DE" w14:textId="77777777">
        <w:trPr>
          <w:tblCellSpacing w:w="15" w:type="dxa"/>
        </w:trPr>
        <w:tc>
          <w:tcPr>
            <w:tcW w:w="0" w:type="auto"/>
            <w:hideMark/>
          </w:tcPr>
          <w:p w14:paraId="4BC0BE2D" w14:textId="77777777" w:rsidR="00000000" w:rsidRDefault="003A1B5D">
            <w:pPr>
              <w:pStyle w:val="a3"/>
              <w:spacing w:before="0" w:beforeAutospacing="0" w:after="0" w:afterAutospacing="0"/>
              <w:jc w:val="both"/>
              <w:rPr>
                <w:sz w:val="12"/>
                <w:szCs w:val="12"/>
              </w:rPr>
            </w:pPr>
            <w:r>
              <w:rPr>
                <w:sz w:val="12"/>
                <w:szCs w:val="12"/>
              </w:rPr>
              <w:t> </w:t>
            </w:r>
          </w:p>
        </w:tc>
        <w:tc>
          <w:tcPr>
            <w:tcW w:w="0" w:type="auto"/>
            <w:hideMark/>
          </w:tcPr>
          <w:p w14:paraId="3C4C93B3" w14:textId="77777777" w:rsidR="00000000" w:rsidRDefault="003A1B5D">
            <w:pPr>
              <w:pStyle w:val="a3"/>
              <w:spacing w:before="0" w:beforeAutospacing="0" w:after="0" w:afterAutospacing="0"/>
              <w:jc w:val="both"/>
              <w:rPr>
                <w:sz w:val="12"/>
                <w:szCs w:val="12"/>
              </w:rPr>
            </w:pPr>
            <w:r>
              <w:rPr>
                <w:sz w:val="12"/>
                <w:szCs w:val="12"/>
              </w:rPr>
              <w:t> </w:t>
            </w:r>
          </w:p>
        </w:tc>
        <w:tc>
          <w:tcPr>
            <w:tcW w:w="0" w:type="auto"/>
            <w:hideMark/>
          </w:tcPr>
          <w:p w14:paraId="60CAFB37" w14:textId="77777777" w:rsidR="00000000" w:rsidRDefault="003A1B5D">
            <w:pPr>
              <w:pStyle w:val="a3"/>
              <w:spacing w:before="0" w:beforeAutospacing="0" w:after="0" w:afterAutospacing="0"/>
              <w:jc w:val="both"/>
              <w:rPr>
                <w:sz w:val="12"/>
                <w:szCs w:val="12"/>
              </w:rPr>
            </w:pPr>
            <w:r>
              <w:rPr>
                <w:sz w:val="12"/>
                <w:szCs w:val="12"/>
              </w:rPr>
              <w:t> </w:t>
            </w:r>
          </w:p>
        </w:tc>
      </w:tr>
      <w:tr w:rsidR="00000000" w14:paraId="6F6C6575" w14:textId="77777777">
        <w:trPr>
          <w:trHeight w:val="200"/>
          <w:tblCellSpacing w:w="15" w:type="dxa"/>
        </w:trPr>
        <w:tc>
          <w:tcPr>
            <w:tcW w:w="0" w:type="auto"/>
            <w:hideMark/>
          </w:tcPr>
          <w:p w14:paraId="3315F627" w14:textId="77777777" w:rsidR="00000000" w:rsidRDefault="003A1B5D">
            <w:pPr>
              <w:pStyle w:val="a3"/>
              <w:spacing w:before="0" w:beforeAutospacing="0" w:after="0" w:afterAutospacing="0"/>
              <w:jc w:val="both"/>
              <w:rPr>
                <w:sz w:val="20"/>
                <w:szCs w:val="20"/>
              </w:rPr>
            </w:pPr>
            <w:r>
              <w:rPr>
                <w:sz w:val="20"/>
                <w:szCs w:val="20"/>
              </w:rPr>
              <w:t>10.</w:t>
            </w:r>
            <w:r>
              <w:rPr>
                <w:sz w:val="20"/>
                <w:szCs w:val="20"/>
              </w:rPr>
              <w:t>1</w:t>
            </w:r>
          </w:p>
        </w:tc>
        <w:tc>
          <w:tcPr>
            <w:tcW w:w="0" w:type="auto"/>
            <w:hideMark/>
          </w:tcPr>
          <w:p w14:paraId="6C90FC39" w14:textId="77777777" w:rsidR="00000000" w:rsidRDefault="003A1B5D">
            <w:pPr>
              <w:pStyle w:val="a3"/>
              <w:spacing w:before="0" w:beforeAutospacing="0" w:after="0" w:afterAutospacing="0"/>
              <w:jc w:val="both"/>
              <w:rPr>
                <w:sz w:val="20"/>
                <w:szCs w:val="20"/>
              </w:rPr>
            </w:pPr>
            <w:r>
              <w:rPr>
                <w:sz w:val="20"/>
                <w:szCs w:val="20"/>
              </w:rPr>
              <w:t> </w:t>
            </w:r>
          </w:p>
        </w:tc>
        <w:tc>
          <w:tcPr>
            <w:tcW w:w="0" w:type="auto"/>
            <w:hideMark/>
          </w:tcPr>
          <w:p w14:paraId="1129108B" w14:textId="77777777" w:rsidR="00000000" w:rsidRDefault="003A1B5D">
            <w:pPr>
              <w:pStyle w:val="a3"/>
              <w:spacing w:before="0" w:beforeAutospacing="0" w:after="0" w:afterAutospacing="0"/>
              <w:rPr>
                <w:sz w:val="20"/>
                <w:szCs w:val="20"/>
              </w:rPr>
            </w:pPr>
            <w:hyperlink r:id="rId4" w:history="1">
              <w:r>
                <w:rPr>
                  <w:rStyle w:val="a4"/>
                  <w:sz w:val="20"/>
                  <w:szCs w:val="20"/>
                </w:rPr>
                <w:t>Third Amended and Restated Credit Agreement, dated May 12, 202</w:t>
              </w:r>
              <w:r>
                <w:rPr>
                  <w:rStyle w:val="a4"/>
                  <w:sz w:val="20"/>
                  <w:szCs w:val="20"/>
                </w:rPr>
                <w:t>2</w:t>
              </w:r>
            </w:hyperlink>
            <w:r>
              <w:rPr>
                <w:sz w:val="20"/>
                <w:szCs w:val="20"/>
              </w:rPr>
              <w:t> </w:t>
            </w:r>
            <w:r>
              <w:rPr>
                <w:sz w:val="20"/>
                <w:szCs w:val="20"/>
              </w:rPr>
              <w:t>(previously filed as Exhibit 10.1 to the Company’s Current Report on Form 8-K (Commission File no. 001-16109), filed with the Commission on May 13, 2022 and incorporated herein by this reference)</w:t>
            </w:r>
            <w:r>
              <w:rPr>
                <w:sz w:val="20"/>
                <w:szCs w:val="20"/>
              </w:rPr>
              <w:t>.</w:t>
            </w:r>
          </w:p>
        </w:tc>
      </w:tr>
      <w:tr w:rsidR="00000000" w14:paraId="08719230" w14:textId="77777777">
        <w:trPr>
          <w:tblCellSpacing w:w="15" w:type="dxa"/>
        </w:trPr>
        <w:tc>
          <w:tcPr>
            <w:tcW w:w="0" w:type="auto"/>
            <w:hideMark/>
          </w:tcPr>
          <w:p w14:paraId="2C7D25DA" w14:textId="77777777" w:rsidR="00000000" w:rsidRDefault="003A1B5D">
            <w:pPr>
              <w:pStyle w:val="a3"/>
              <w:spacing w:before="0" w:beforeAutospacing="0" w:after="0" w:afterAutospacing="0"/>
              <w:jc w:val="both"/>
              <w:rPr>
                <w:sz w:val="20"/>
                <w:szCs w:val="20"/>
              </w:rPr>
            </w:pPr>
            <w:r>
              <w:rPr>
                <w:sz w:val="20"/>
                <w:szCs w:val="20"/>
              </w:rPr>
              <w:t> </w:t>
            </w:r>
          </w:p>
        </w:tc>
        <w:tc>
          <w:tcPr>
            <w:tcW w:w="0" w:type="auto"/>
            <w:hideMark/>
          </w:tcPr>
          <w:p w14:paraId="5821E8D9" w14:textId="77777777" w:rsidR="00000000" w:rsidRDefault="003A1B5D">
            <w:pPr>
              <w:pStyle w:val="a3"/>
              <w:spacing w:before="0" w:beforeAutospacing="0" w:after="0" w:afterAutospacing="0"/>
              <w:jc w:val="both"/>
              <w:rPr>
                <w:sz w:val="20"/>
                <w:szCs w:val="20"/>
              </w:rPr>
            </w:pPr>
            <w:r>
              <w:rPr>
                <w:sz w:val="20"/>
                <w:szCs w:val="20"/>
              </w:rPr>
              <w:t> </w:t>
            </w:r>
          </w:p>
        </w:tc>
        <w:tc>
          <w:tcPr>
            <w:tcW w:w="0" w:type="auto"/>
            <w:hideMark/>
          </w:tcPr>
          <w:p w14:paraId="27EE9FB4" w14:textId="77777777" w:rsidR="00000000" w:rsidRDefault="003A1B5D">
            <w:pPr>
              <w:pStyle w:val="a3"/>
              <w:spacing w:before="0" w:beforeAutospacing="0" w:after="0" w:afterAutospacing="0"/>
            </w:pPr>
            <w:r>
              <w:t> </w:t>
            </w:r>
          </w:p>
        </w:tc>
      </w:tr>
      <w:tr w:rsidR="00000000" w14:paraId="3F7443F1" w14:textId="77777777">
        <w:trPr>
          <w:trHeight w:val="200"/>
          <w:tblCellSpacing w:w="15" w:type="dxa"/>
        </w:trPr>
        <w:tc>
          <w:tcPr>
            <w:tcW w:w="0" w:type="auto"/>
            <w:hideMark/>
          </w:tcPr>
          <w:p w14:paraId="0801EE18" w14:textId="77777777" w:rsidR="00000000" w:rsidRDefault="003A1B5D">
            <w:pPr>
              <w:pStyle w:val="a3"/>
              <w:spacing w:before="0" w:beforeAutospacing="0" w:after="0" w:afterAutospacing="0"/>
              <w:jc w:val="both"/>
              <w:rPr>
                <w:sz w:val="20"/>
                <w:szCs w:val="20"/>
              </w:rPr>
            </w:pPr>
            <w:r>
              <w:rPr>
                <w:sz w:val="20"/>
                <w:szCs w:val="20"/>
              </w:rPr>
              <w:t>22.1</w:t>
            </w:r>
            <w:r>
              <w:rPr>
                <w:sz w:val="20"/>
                <w:szCs w:val="20"/>
              </w:rPr>
              <w:t>*</w:t>
            </w:r>
          </w:p>
        </w:tc>
        <w:tc>
          <w:tcPr>
            <w:tcW w:w="0" w:type="auto"/>
            <w:hideMark/>
          </w:tcPr>
          <w:p w14:paraId="4D17BA1A" w14:textId="77777777" w:rsidR="00000000" w:rsidRDefault="003A1B5D">
            <w:pPr>
              <w:pStyle w:val="a3"/>
              <w:spacing w:before="0" w:beforeAutospacing="0" w:after="0" w:afterAutospacing="0"/>
              <w:jc w:val="both"/>
              <w:rPr>
                <w:sz w:val="20"/>
                <w:szCs w:val="20"/>
              </w:rPr>
            </w:pPr>
            <w:r>
              <w:rPr>
                <w:sz w:val="20"/>
                <w:szCs w:val="20"/>
              </w:rPr>
              <w:t> </w:t>
            </w:r>
          </w:p>
        </w:tc>
        <w:tc>
          <w:tcPr>
            <w:tcW w:w="0" w:type="auto"/>
            <w:hideMark/>
          </w:tcPr>
          <w:p w14:paraId="224B57CE" w14:textId="77777777" w:rsidR="00000000" w:rsidRDefault="003A1B5D">
            <w:pPr>
              <w:pStyle w:val="a3"/>
              <w:spacing w:before="0" w:beforeAutospacing="0" w:after="0" w:afterAutospacing="0"/>
              <w:rPr>
                <w:sz w:val="20"/>
                <w:szCs w:val="20"/>
              </w:rPr>
            </w:pPr>
            <w:hyperlink r:id="rId5" w:history="1">
              <w:r>
                <w:rPr>
                  <w:rStyle w:val="a4"/>
                  <w:sz w:val="20"/>
                  <w:szCs w:val="20"/>
                </w:rPr>
                <w:t>List of Guarantor Subsidiaries</w:t>
              </w:r>
              <w:r>
                <w:rPr>
                  <w:rStyle w:val="a4"/>
                  <w:sz w:val="20"/>
                  <w:szCs w:val="20"/>
                </w:rPr>
                <w:t>.</w:t>
              </w:r>
            </w:hyperlink>
          </w:p>
        </w:tc>
      </w:tr>
      <w:tr w:rsidR="00000000" w14:paraId="50268E72" w14:textId="77777777">
        <w:trPr>
          <w:tblCellSpacing w:w="15" w:type="dxa"/>
        </w:trPr>
        <w:tc>
          <w:tcPr>
            <w:tcW w:w="0" w:type="auto"/>
            <w:hideMark/>
          </w:tcPr>
          <w:p w14:paraId="6A5F40AD" w14:textId="77777777" w:rsidR="00000000" w:rsidRDefault="003A1B5D">
            <w:pPr>
              <w:pStyle w:val="a3"/>
              <w:spacing w:before="0" w:beforeAutospacing="0" w:after="0" w:afterAutospacing="0"/>
              <w:jc w:val="both"/>
              <w:rPr>
                <w:sz w:val="20"/>
                <w:szCs w:val="20"/>
              </w:rPr>
            </w:pPr>
            <w:r>
              <w:rPr>
                <w:sz w:val="20"/>
                <w:szCs w:val="20"/>
              </w:rPr>
              <w:t> </w:t>
            </w:r>
          </w:p>
        </w:tc>
        <w:tc>
          <w:tcPr>
            <w:tcW w:w="0" w:type="auto"/>
            <w:hideMark/>
          </w:tcPr>
          <w:p w14:paraId="63411BAA" w14:textId="77777777" w:rsidR="00000000" w:rsidRDefault="003A1B5D">
            <w:pPr>
              <w:pStyle w:val="a3"/>
              <w:spacing w:before="0" w:beforeAutospacing="0" w:after="0" w:afterAutospacing="0"/>
              <w:jc w:val="both"/>
              <w:rPr>
                <w:sz w:val="20"/>
                <w:szCs w:val="20"/>
              </w:rPr>
            </w:pPr>
            <w:r>
              <w:rPr>
                <w:sz w:val="20"/>
                <w:szCs w:val="20"/>
              </w:rPr>
              <w:t> </w:t>
            </w:r>
          </w:p>
        </w:tc>
        <w:tc>
          <w:tcPr>
            <w:tcW w:w="0" w:type="auto"/>
            <w:hideMark/>
          </w:tcPr>
          <w:p w14:paraId="53CF3B66" w14:textId="77777777" w:rsidR="00000000" w:rsidRDefault="003A1B5D">
            <w:pPr>
              <w:pStyle w:val="a3"/>
              <w:spacing w:before="0" w:beforeAutospacing="0" w:after="0" w:afterAutospacing="0"/>
              <w:rPr>
                <w:sz w:val="20"/>
                <w:szCs w:val="20"/>
              </w:rPr>
            </w:pPr>
            <w:r>
              <w:rPr>
                <w:sz w:val="20"/>
                <w:szCs w:val="20"/>
              </w:rPr>
              <w:t> </w:t>
            </w:r>
          </w:p>
        </w:tc>
      </w:tr>
      <w:tr w:rsidR="00000000" w14:paraId="0AC0BA8E" w14:textId="77777777">
        <w:trPr>
          <w:trHeight w:val="200"/>
          <w:tblCellSpacing w:w="15" w:type="dxa"/>
        </w:trPr>
        <w:tc>
          <w:tcPr>
            <w:tcW w:w="0" w:type="auto"/>
            <w:hideMark/>
          </w:tcPr>
          <w:p w14:paraId="723395CF" w14:textId="77777777" w:rsidR="00000000" w:rsidRDefault="003A1B5D">
            <w:pPr>
              <w:pStyle w:val="a3"/>
              <w:spacing w:before="0" w:beforeAutospacing="0" w:after="0" w:afterAutospacing="0"/>
              <w:jc w:val="both"/>
              <w:rPr>
                <w:sz w:val="20"/>
                <w:szCs w:val="20"/>
              </w:rPr>
            </w:pPr>
            <w:r>
              <w:rPr>
                <w:sz w:val="20"/>
                <w:szCs w:val="20"/>
              </w:rPr>
              <w:t>31.1</w:t>
            </w:r>
            <w:r>
              <w:rPr>
                <w:sz w:val="20"/>
                <w:szCs w:val="20"/>
              </w:rPr>
              <w:t>*</w:t>
            </w:r>
          </w:p>
        </w:tc>
        <w:tc>
          <w:tcPr>
            <w:tcW w:w="0" w:type="auto"/>
            <w:hideMark/>
          </w:tcPr>
          <w:p w14:paraId="400723B4" w14:textId="77777777" w:rsidR="00000000" w:rsidRDefault="003A1B5D">
            <w:pPr>
              <w:pStyle w:val="a3"/>
              <w:spacing w:before="0" w:beforeAutospacing="0" w:after="0" w:afterAutospacing="0"/>
              <w:jc w:val="both"/>
              <w:rPr>
                <w:sz w:val="20"/>
                <w:szCs w:val="20"/>
              </w:rPr>
            </w:pPr>
            <w:r>
              <w:rPr>
                <w:sz w:val="20"/>
                <w:szCs w:val="20"/>
              </w:rPr>
              <w:t> </w:t>
            </w:r>
          </w:p>
        </w:tc>
        <w:tc>
          <w:tcPr>
            <w:tcW w:w="0" w:type="auto"/>
            <w:hideMark/>
          </w:tcPr>
          <w:p w14:paraId="6CF193D1" w14:textId="77777777" w:rsidR="00000000" w:rsidRDefault="003A1B5D">
            <w:pPr>
              <w:pStyle w:val="a3"/>
              <w:spacing w:before="0" w:beforeAutospacing="0" w:after="0" w:afterAutospacing="0"/>
              <w:rPr>
                <w:sz w:val="20"/>
                <w:szCs w:val="20"/>
              </w:rPr>
            </w:pPr>
            <w:hyperlink r:id="rId6" w:history="1">
              <w:r>
                <w:rPr>
                  <w:rStyle w:val="a4"/>
                  <w:sz w:val="20"/>
                  <w:szCs w:val="20"/>
                </w:rPr>
                <w:t xml:space="preserve">Certification of the Company's Chief Executive Officer pursuant to Securities and Exchange Act Rules 13a-14(a) and 15d-14(a), as adopted pursuant </w:t>
              </w:r>
              <w:r>
                <w:rPr>
                  <w:rStyle w:val="a4"/>
                  <w:sz w:val="20"/>
                  <w:szCs w:val="20"/>
                </w:rPr>
                <w:t>to Section 302 of the Sarbanes-Oxley Act of 2002</w:t>
              </w:r>
              <w:r>
                <w:rPr>
                  <w:rStyle w:val="a4"/>
                  <w:sz w:val="20"/>
                  <w:szCs w:val="20"/>
                </w:rPr>
                <w:t>.</w:t>
              </w:r>
            </w:hyperlink>
          </w:p>
        </w:tc>
      </w:tr>
      <w:tr w:rsidR="00000000" w14:paraId="4350560E" w14:textId="77777777">
        <w:trPr>
          <w:tblCellSpacing w:w="15" w:type="dxa"/>
        </w:trPr>
        <w:tc>
          <w:tcPr>
            <w:tcW w:w="0" w:type="auto"/>
            <w:hideMark/>
          </w:tcPr>
          <w:p w14:paraId="1EC1965B" w14:textId="77777777" w:rsidR="00000000" w:rsidRDefault="003A1B5D">
            <w:pPr>
              <w:pStyle w:val="a3"/>
              <w:spacing w:before="0" w:beforeAutospacing="0" w:after="0" w:afterAutospacing="0"/>
              <w:jc w:val="both"/>
              <w:rPr>
                <w:sz w:val="20"/>
                <w:szCs w:val="20"/>
              </w:rPr>
            </w:pPr>
            <w:r>
              <w:rPr>
                <w:sz w:val="20"/>
                <w:szCs w:val="20"/>
              </w:rPr>
              <w:t> </w:t>
            </w:r>
          </w:p>
        </w:tc>
        <w:tc>
          <w:tcPr>
            <w:tcW w:w="0" w:type="auto"/>
            <w:hideMark/>
          </w:tcPr>
          <w:p w14:paraId="03B1E074" w14:textId="77777777" w:rsidR="00000000" w:rsidRDefault="003A1B5D">
            <w:pPr>
              <w:pStyle w:val="a3"/>
              <w:spacing w:before="0" w:beforeAutospacing="0" w:after="0" w:afterAutospacing="0"/>
              <w:jc w:val="both"/>
              <w:rPr>
                <w:sz w:val="20"/>
                <w:szCs w:val="20"/>
              </w:rPr>
            </w:pPr>
            <w:r>
              <w:rPr>
                <w:sz w:val="20"/>
                <w:szCs w:val="20"/>
              </w:rPr>
              <w:t> </w:t>
            </w:r>
          </w:p>
        </w:tc>
        <w:tc>
          <w:tcPr>
            <w:tcW w:w="0" w:type="auto"/>
            <w:hideMark/>
          </w:tcPr>
          <w:p w14:paraId="59FC68E1" w14:textId="77777777" w:rsidR="00000000" w:rsidRDefault="003A1B5D">
            <w:pPr>
              <w:pStyle w:val="a3"/>
              <w:spacing w:before="0" w:beforeAutospacing="0" w:after="0" w:afterAutospacing="0"/>
              <w:rPr>
                <w:sz w:val="20"/>
                <w:szCs w:val="20"/>
              </w:rPr>
            </w:pPr>
            <w:r>
              <w:rPr>
                <w:sz w:val="20"/>
                <w:szCs w:val="20"/>
              </w:rPr>
              <w:t> </w:t>
            </w:r>
          </w:p>
        </w:tc>
      </w:tr>
      <w:tr w:rsidR="00000000" w14:paraId="0DF63201" w14:textId="77777777">
        <w:trPr>
          <w:trHeight w:val="200"/>
          <w:tblCellSpacing w:w="15" w:type="dxa"/>
        </w:trPr>
        <w:tc>
          <w:tcPr>
            <w:tcW w:w="0" w:type="auto"/>
            <w:hideMark/>
          </w:tcPr>
          <w:p w14:paraId="7C023A83" w14:textId="77777777" w:rsidR="00000000" w:rsidRDefault="003A1B5D">
            <w:pPr>
              <w:pStyle w:val="a3"/>
              <w:spacing w:before="0" w:beforeAutospacing="0" w:after="0" w:afterAutospacing="0"/>
              <w:jc w:val="both"/>
              <w:rPr>
                <w:sz w:val="20"/>
                <w:szCs w:val="20"/>
              </w:rPr>
            </w:pPr>
            <w:r>
              <w:rPr>
                <w:sz w:val="20"/>
                <w:szCs w:val="20"/>
              </w:rPr>
              <w:t>31.2</w:t>
            </w:r>
            <w:r>
              <w:rPr>
                <w:sz w:val="20"/>
                <w:szCs w:val="20"/>
              </w:rPr>
              <w:t>*</w:t>
            </w:r>
          </w:p>
        </w:tc>
        <w:tc>
          <w:tcPr>
            <w:tcW w:w="0" w:type="auto"/>
            <w:hideMark/>
          </w:tcPr>
          <w:p w14:paraId="7C8BB536" w14:textId="77777777" w:rsidR="00000000" w:rsidRDefault="003A1B5D">
            <w:pPr>
              <w:pStyle w:val="a3"/>
              <w:spacing w:before="0" w:beforeAutospacing="0" w:after="0" w:afterAutospacing="0"/>
              <w:jc w:val="both"/>
              <w:rPr>
                <w:sz w:val="20"/>
                <w:szCs w:val="20"/>
              </w:rPr>
            </w:pPr>
            <w:r>
              <w:rPr>
                <w:sz w:val="20"/>
                <w:szCs w:val="20"/>
              </w:rPr>
              <w:t> </w:t>
            </w:r>
          </w:p>
        </w:tc>
        <w:tc>
          <w:tcPr>
            <w:tcW w:w="0" w:type="auto"/>
            <w:hideMark/>
          </w:tcPr>
          <w:p w14:paraId="16B3E21D" w14:textId="77777777" w:rsidR="00000000" w:rsidRDefault="003A1B5D">
            <w:pPr>
              <w:pStyle w:val="a3"/>
              <w:spacing w:before="0" w:beforeAutospacing="0" w:after="0" w:afterAutospacing="0"/>
              <w:rPr>
                <w:sz w:val="20"/>
                <w:szCs w:val="20"/>
              </w:rPr>
            </w:pPr>
            <w:hyperlink r:id="rId7" w:history="1">
              <w:r>
                <w:rPr>
                  <w:rStyle w:val="a4"/>
                  <w:sz w:val="20"/>
                  <w:szCs w:val="20"/>
                </w:rPr>
                <w:t>Certification of the Company's Chief Financial Officer pursuant to Securities and Exchange Act Rules 13a-14(a) and 15d-14(a), as adopted pursuant to Section 30</w:t>
              </w:r>
              <w:r>
                <w:rPr>
                  <w:rStyle w:val="a4"/>
                  <w:sz w:val="20"/>
                  <w:szCs w:val="20"/>
                </w:rPr>
                <w:t>2 of the Sarbanes-Oxley Act of 2002</w:t>
              </w:r>
              <w:r>
                <w:rPr>
                  <w:rStyle w:val="a4"/>
                  <w:sz w:val="20"/>
                  <w:szCs w:val="20"/>
                </w:rPr>
                <w:t>.</w:t>
              </w:r>
            </w:hyperlink>
          </w:p>
        </w:tc>
      </w:tr>
      <w:tr w:rsidR="00000000" w14:paraId="3DFB2730" w14:textId="77777777">
        <w:trPr>
          <w:tblCellSpacing w:w="15" w:type="dxa"/>
        </w:trPr>
        <w:tc>
          <w:tcPr>
            <w:tcW w:w="0" w:type="auto"/>
            <w:hideMark/>
          </w:tcPr>
          <w:p w14:paraId="38E8FE12" w14:textId="77777777" w:rsidR="00000000" w:rsidRDefault="003A1B5D">
            <w:pPr>
              <w:pStyle w:val="a3"/>
              <w:spacing w:before="0" w:beforeAutospacing="0" w:after="0" w:afterAutospacing="0"/>
              <w:jc w:val="both"/>
              <w:rPr>
                <w:sz w:val="20"/>
                <w:szCs w:val="20"/>
              </w:rPr>
            </w:pPr>
            <w:r>
              <w:rPr>
                <w:sz w:val="20"/>
                <w:szCs w:val="20"/>
              </w:rPr>
              <w:t> </w:t>
            </w:r>
          </w:p>
        </w:tc>
        <w:tc>
          <w:tcPr>
            <w:tcW w:w="0" w:type="auto"/>
            <w:hideMark/>
          </w:tcPr>
          <w:p w14:paraId="5D67CABC" w14:textId="77777777" w:rsidR="00000000" w:rsidRDefault="003A1B5D">
            <w:pPr>
              <w:pStyle w:val="a3"/>
              <w:spacing w:before="0" w:beforeAutospacing="0" w:after="0" w:afterAutospacing="0"/>
              <w:jc w:val="both"/>
              <w:rPr>
                <w:sz w:val="20"/>
                <w:szCs w:val="20"/>
              </w:rPr>
            </w:pPr>
            <w:r>
              <w:rPr>
                <w:sz w:val="20"/>
                <w:szCs w:val="20"/>
              </w:rPr>
              <w:t> </w:t>
            </w:r>
          </w:p>
        </w:tc>
        <w:tc>
          <w:tcPr>
            <w:tcW w:w="0" w:type="auto"/>
            <w:hideMark/>
          </w:tcPr>
          <w:p w14:paraId="71D97219" w14:textId="77777777" w:rsidR="00000000" w:rsidRDefault="003A1B5D">
            <w:pPr>
              <w:pStyle w:val="a3"/>
              <w:spacing w:before="0" w:beforeAutospacing="0" w:after="0" w:afterAutospacing="0"/>
              <w:rPr>
                <w:sz w:val="20"/>
                <w:szCs w:val="20"/>
              </w:rPr>
            </w:pPr>
            <w:r>
              <w:rPr>
                <w:sz w:val="20"/>
                <w:szCs w:val="20"/>
              </w:rPr>
              <w:t> </w:t>
            </w:r>
          </w:p>
        </w:tc>
      </w:tr>
      <w:tr w:rsidR="00000000" w14:paraId="3752242B" w14:textId="77777777">
        <w:trPr>
          <w:trHeight w:val="200"/>
          <w:tblCellSpacing w:w="15" w:type="dxa"/>
        </w:trPr>
        <w:tc>
          <w:tcPr>
            <w:tcW w:w="0" w:type="auto"/>
            <w:hideMark/>
          </w:tcPr>
          <w:p w14:paraId="671B2AE3" w14:textId="77777777" w:rsidR="00000000" w:rsidRDefault="003A1B5D">
            <w:pPr>
              <w:pStyle w:val="a3"/>
              <w:spacing w:before="0" w:beforeAutospacing="0" w:after="0" w:afterAutospacing="0"/>
              <w:jc w:val="both"/>
              <w:rPr>
                <w:sz w:val="20"/>
                <w:szCs w:val="20"/>
              </w:rPr>
            </w:pPr>
            <w:r>
              <w:rPr>
                <w:sz w:val="20"/>
                <w:szCs w:val="20"/>
              </w:rPr>
              <w:t>32.1*</w:t>
            </w:r>
            <w:r>
              <w:rPr>
                <w:sz w:val="20"/>
                <w:szCs w:val="20"/>
              </w:rPr>
              <w:t>*</w:t>
            </w:r>
          </w:p>
        </w:tc>
        <w:tc>
          <w:tcPr>
            <w:tcW w:w="0" w:type="auto"/>
            <w:hideMark/>
          </w:tcPr>
          <w:p w14:paraId="18492720" w14:textId="77777777" w:rsidR="00000000" w:rsidRDefault="003A1B5D">
            <w:pPr>
              <w:pStyle w:val="a3"/>
              <w:spacing w:before="0" w:beforeAutospacing="0" w:after="0" w:afterAutospacing="0"/>
              <w:jc w:val="both"/>
              <w:rPr>
                <w:sz w:val="20"/>
                <w:szCs w:val="20"/>
              </w:rPr>
            </w:pPr>
            <w:r>
              <w:rPr>
                <w:sz w:val="20"/>
                <w:szCs w:val="20"/>
              </w:rPr>
              <w:t> </w:t>
            </w:r>
          </w:p>
        </w:tc>
        <w:tc>
          <w:tcPr>
            <w:tcW w:w="0" w:type="auto"/>
            <w:hideMark/>
          </w:tcPr>
          <w:p w14:paraId="496EB63D" w14:textId="77777777" w:rsidR="00000000" w:rsidRDefault="003A1B5D">
            <w:pPr>
              <w:pStyle w:val="a3"/>
              <w:spacing w:before="0" w:beforeAutospacing="0" w:after="0" w:afterAutospacing="0"/>
              <w:rPr>
                <w:sz w:val="20"/>
                <w:szCs w:val="20"/>
              </w:rPr>
            </w:pPr>
            <w:hyperlink r:id="rId8" w:history="1">
              <w:r>
                <w:rPr>
                  <w:rStyle w:val="a4"/>
                  <w:sz w:val="20"/>
                  <w:szCs w:val="20"/>
                </w:rPr>
                <w:t>Certification of the Company's Chief Executive Officer pursuant to 18 U.S.C. Section 1350, as adopted pursuant to Section 906 of the Sarbanes-Oxley Act of 2002</w:t>
              </w:r>
              <w:r>
                <w:rPr>
                  <w:rStyle w:val="a4"/>
                  <w:sz w:val="20"/>
                  <w:szCs w:val="20"/>
                </w:rPr>
                <w:t>.</w:t>
              </w:r>
            </w:hyperlink>
          </w:p>
        </w:tc>
      </w:tr>
      <w:tr w:rsidR="00000000" w14:paraId="261CDDEC" w14:textId="77777777">
        <w:trPr>
          <w:tblCellSpacing w:w="15" w:type="dxa"/>
        </w:trPr>
        <w:tc>
          <w:tcPr>
            <w:tcW w:w="0" w:type="auto"/>
            <w:hideMark/>
          </w:tcPr>
          <w:p w14:paraId="65424F93" w14:textId="77777777" w:rsidR="00000000" w:rsidRDefault="003A1B5D">
            <w:pPr>
              <w:pStyle w:val="a3"/>
              <w:spacing w:before="0" w:beforeAutospacing="0" w:after="0" w:afterAutospacing="0"/>
              <w:jc w:val="both"/>
              <w:rPr>
                <w:sz w:val="20"/>
                <w:szCs w:val="20"/>
              </w:rPr>
            </w:pPr>
            <w:r>
              <w:rPr>
                <w:sz w:val="20"/>
                <w:szCs w:val="20"/>
              </w:rPr>
              <w:t> </w:t>
            </w:r>
          </w:p>
        </w:tc>
        <w:tc>
          <w:tcPr>
            <w:tcW w:w="0" w:type="auto"/>
            <w:hideMark/>
          </w:tcPr>
          <w:p w14:paraId="3BF39EF5" w14:textId="77777777" w:rsidR="00000000" w:rsidRDefault="003A1B5D">
            <w:pPr>
              <w:pStyle w:val="a3"/>
              <w:spacing w:before="0" w:beforeAutospacing="0" w:after="0" w:afterAutospacing="0"/>
              <w:jc w:val="both"/>
              <w:rPr>
                <w:sz w:val="20"/>
                <w:szCs w:val="20"/>
              </w:rPr>
            </w:pPr>
            <w:r>
              <w:rPr>
                <w:sz w:val="20"/>
                <w:szCs w:val="20"/>
              </w:rPr>
              <w:t> </w:t>
            </w:r>
          </w:p>
        </w:tc>
        <w:tc>
          <w:tcPr>
            <w:tcW w:w="0" w:type="auto"/>
            <w:hideMark/>
          </w:tcPr>
          <w:p w14:paraId="0C25EDB5" w14:textId="77777777" w:rsidR="00000000" w:rsidRDefault="003A1B5D">
            <w:pPr>
              <w:pStyle w:val="a3"/>
              <w:spacing w:before="0" w:beforeAutospacing="0" w:after="0" w:afterAutospacing="0"/>
              <w:rPr>
                <w:sz w:val="20"/>
                <w:szCs w:val="20"/>
              </w:rPr>
            </w:pPr>
            <w:r>
              <w:rPr>
                <w:sz w:val="20"/>
                <w:szCs w:val="20"/>
              </w:rPr>
              <w:t> </w:t>
            </w:r>
          </w:p>
        </w:tc>
      </w:tr>
      <w:tr w:rsidR="00000000" w14:paraId="1BDC3864" w14:textId="77777777">
        <w:trPr>
          <w:trHeight w:val="200"/>
          <w:tblCellSpacing w:w="15" w:type="dxa"/>
        </w:trPr>
        <w:tc>
          <w:tcPr>
            <w:tcW w:w="0" w:type="auto"/>
            <w:hideMark/>
          </w:tcPr>
          <w:p w14:paraId="3C7A5DCF" w14:textId="77777777" w:rsidR="00000000" w:rsidRDefault="003A1B5D">
            <w:pPr>
              <w:pStyle w:val="a3"/>
              <w:spacing w:before="0" w:beforeAutospacing="0" w:after="0" w:afterAutospacing="0"/>
              <w:jc w:val="both"/>
              <w:rPr>
                <w:sz w:val="20"/>
                <w:szCs w:val="20"/>
              </w:rPr>
            </w:pPr>
            <w:r>
              <w:rPr>
                <w:sz w:val="20"/>
                <w:szCs w:val="20"/>
              </w:rPr>
              <w:t>32.2*</w:t>
            </w:r>
            <w:r>
              <w:rPr>
                <w:sz w:val="20"/>
                <w:szCs w:val="20"/>
              </w:rPr>
              <w:t>*</w:t>
            </w:r>
          </w:p>
        </w:tc>
        <w:tc>
          <w:tcPr>
            <w:tcW w:w="0" w:type="auto"/>
            <w:hideMark/>
          </w:tcPr>
          <w:p w14:paraId="3D6D9515" w14:textId="77777777" w:rsidR="00000000" w:rsidRDefault="003A1B5D">
            <w:pPr>
              <w:pStyle w:val="a3"/>
              <w:spacing w:before="0" w:beforeAutospacing="0" w:after="0" w:afterAutospacing="0"/>
              <w:jc w:val="both"/>
              <w:rPr>
                <w:sz w:val="20"/>
                <w:szCs w:val="20"/>
              </w:rPr>
            </w:pPr>
            <w:r>
              <w:rPr>
                <w:sz w:val="20"/>
                <w:szCs w:val="20"/>
              </w:rPr>
              <w:t> </w:t>
            </w:r>
          </w:p>
        </w:tc>
        <w:tc>
          <w:tcPr>
            <w:tcW w:w="0" w:type="auto"/>
            <w:hideMark/>
          </w:tcPr>
          <w:p w14:paraId="2FFD1A07" w14:textId="77777777" w:rsidR="00000000" w:rsidRDefault="003A1B5D">
            <w:pPr>
              <w:pStyle w:val="a3"/>
              <w:spacing w:before="0" w:beforeAutospacing="0" w:after="0" w:afterAutospacing="0"/>
              <w:rPr>
                <w:sz w:val="20"/>
                <w:szCs w:val="20"/>
              </w:rPr>
            </w:pPr>
            <w:hyperlink r:id="rId9" w:history="1">
              <w:r>
                <w:rPr>
                  <w:rStyle w:val="a4"/>
                  <w:sz w:val="20"/>
                  <w:szCs w:val="20"/>
                </w:rPr>
                <w:t xml:space="preserve">Certification of the Company's Chief Financial </w:t>
              </w:r>
              <w:r>
                <w:rPr>
                  <w:rStyle w:val="a4"/>
                  <w:sz w:val="20"/>
                  <w:szCs w:val="20"/>
                </w:rPr>
                <w:t>Officer pursuant to 18 U.S.C. Section 1350, as adopted pursuant to Section 906 of the Sarbanes-Oxley Act of 2002</w:t>
              </w:r>
              <w:r>
                <w:rPr>
                  <w:rStyle w:val="a4"/>
                  <w:sz w:val="20"/>
                  <w:szCs w:val="20"/>
                </w:rPr>
                <w:t>.</w:t>
              </w:r>
            </w:hyperlink>
          </w:p>
        </w:tc>
      </w:tr>
      <w:tr w:rsidR="00000000" w14:paraId="65C0AA24" w14:textId="77777777">
        <w:trPr>
          <w:tblCellSpacing w:w="15" w:type="dxa"/>
        </w:trPr>
        <w:tc>
          <w:tcPr>
            <w:tcW w:w="0" w:type="auto"/>
            <w:hideMark/>
          </w:tcPr>
          <w:p w14:paraId="6A6C107E" w14:textId="77777777" w:rsidR="00000000" w:rsidRDefault="003A1B5D">
            <w:pPr>
              <w:pStyle w:val="a3"/>
              <w:spacing w:before="0" w:beforeAutospacing="0" w:after="0" w:afterAutospacing="0"/>
              <w:jc w:val="both"/>
              <w:rPr>
                <w:sz w:val="12"/>
                <w:szCs w:val="12"/>
              </w:rPr>
            </w:pPr>
            <w:r>
              <w:rPr>
                <w:sz w:val="12"/>
                <w:szCs w:val="12"/>
              </w:rPr>
              <w:t> </w:t>
            </w:r>
          </w:p>
        </w:tc>
        <w:tc>
          <w:tcPr>
            <w:tcW w:w="0" w:type="auto"/>
            <w:hideMark/>
          </w:tcPr>
          <w:p w14:paraId="4EC1AC81" w14:textId="77777777" w:rsidR="00000000" w:rsidRDefault="003A1B5D">
            <w:pPr>
              <w:pStyle w:val="a3"/>
              <w:spacing w:before="0" w:beforeAutospacing="0" w:after="0" w:afterAutospacing="0"/>
              <w:jc w:val="both"/>
              <w:rPr>
                <w:sz w:val="12"/>
                <w:szCs w:val="12"/>
              </w:rPr>
            </w:pPr>
            <w:r>
              <w:rPr>
                <w:sz w:val="12"/>
                <w:szCs w:val="12"/>
              </w:rPr>
              <w:t> </w:t>
            </w:r>
          </w:p>
        </w:tc>
        <w:tc>
          <w:tcPr>
            <w:tcW w:w="0" w:type="auto"/>
            <w:hideMark/>
          </w:tcPr>
          <w:p w14:paraId="7703BEEE" w14:textId="77777777" w:rsidR="00000000" w:rsidRDefault="003A1B5D">
            <w:pPr>
              <w:pStyle w:val="a3"/>
              <w:spacing w:before="0" w:beforeAutospacing="0" w:after="0" w:afterAutospacing="0"/>
              <w:jc w:val="both"/>
              <w:rPr>
                <w:sz w:val="12"/>
                <w:szCs w:val="12"/>
              </w:rPr>
            </w:pPr>
            <w:r>
              <w:rPr>
                <w:sz w:val="12"/>
                <w:szCs w:val="12"/>
              </w:rPr>
              <w:t> </w:t>
            </w:r>
          </w:p>
        </w:tc>
      </w:tr>
      <w:tr w:rsidR="00000000" w14:paraId="534FBE62" w14:textId="77777777">
        <w:trPr>
          <w:trHeight w:val="200"/>
          <w:tblCellSpacing w:w="15" w:type="dxa"/>
        </w:trPr>
        <w:tc>
          <w:tcPr>
            <w:tcW w:w="0" w:type="auto"/>
            <w:hideMark/>
          </w:tcPr>
          <w:p w14:paraId="2B4C26AF" w14:textId="77777777" w:rsidR="00000000" w:rsidRDefault="003A1B5D">
            <w:pPr>
              <w:pStyle w:val="a3"/>
              <w:spacing w:before="0" w:beforeAutospacing="0" w:after="0" w:afterAutospacing="0"/>
              <w:jc w:val="both"/>
              <w:rPr>
                <w:sz w:val="20"/>
                <w:szCs w:val="20"/>
              </w:rPr>
            </w:pPr>
            <w:r>
              <w:rPr>
                <w:sz w:val="20"/>
                <w:szCs w:val="20"/>
              </w:rPr>
              <w:t>101</w:t>
            </w:r>
            <w:r>
              <w:rPr>
                <w:sz w:val="20"/>
                <w:szCs w:val="20"/>
              </w:rPr>
              <w:t>*</w:t>
            </w:r>
          </w:p>
        </w:tc>
        <w:tc>
          <w:tcPr>
            <w:tcW w:w="0" w:type="auto"/>
            <w:hideMark/>
          </w:tcPr>
          <w:p w14:paraId="2374C7DD"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52243D47" w14:textId="77777777" w:rsidR="00000000" w:rsidRDefault="003A1B5D">
            <w:pPr>
              <w:pStyle w:val="a3"/>
              <w:spacing w:before="0" w:beforeAutospacing="0" w:after="0" w:afterAutospacing="0"/>
              <w:rPr>
                <w:sz w:val="20"/>
                <w:szCs w:val="20"/>
              </w:rPr>
            </w:pPr>
            <w:r>
              <w:rPr>
                <w:sz w:val="20"/>
                <w:szCs w:val="20"/>
              </w:rPr>
              <w:t>The following financial information from the Company's Quarterly Report on Form 10-Q for the quarter ended September 30, 2022, formatted in Inline XBRL (Extensible Business Reporting Language) includes: (i) the Consolidated Balance Sheets, (ii) the Consoli</w:t>
            </w:r>
            <w:r>
              <w:rPr>
                <w:sz w:val="20"/>
                <w:szCs w:val="20"/>
              </w:rPr>
              <w:t>dated Statements of Operations, (iii) the Consolidated Statements of Cash Flows, (iv) the Consolidated Statements of Stockholders' Equity, and (v) the Notes to Consolidated Financial Statements. The instance document does not appear in the interactive data</w:t>
            </w:r>
            <w:r>
              <w:rPr>
                <w:sz w:val="20"/>
                <w:szCs w:val="20"/>
              </w:rPr>
              <w:t xml:space="preserve"> file because its XBRL tags are embedded within the Inline XBRL document</w:t>
            </w:r>
            <w:r>
              <w:rPr>
                <w:sz w:val="20"/>
                <w:szCs w:val="20"/>
              </w:rPr>
              <w:t>.</w:t>
            </w:r>
          </w:p>
        </w:tc>
      </w:tr>
      <w:tr w:rsidR="00000000" w14:paraId="3AD136EE" w14:textId="77777777">
        <w:trPr>
          <w:trHeight w:val="187"/>
          <w:tblCellSpacing w:w="15" w:type="dxa"/>
        </w:trPr>
        <w:tc>
          <w:tcPr>
            <w:tcW w:w="0" w:type="auto"/>
            <w:hideMark/>
          </w:tcPr>
          <w:p w14:paraId="35479D87" w14:textId="77777777" w:rsidR="00000000" w:rsidRDefault="003A1B5D">
            <w:pPr>
              <w:pStyle w:val="a3"/>
              <w:spacing w:before="0" w:beforeAutospacing="0" w:after="0" w:afterAutospacing="0"/>
              <w:jc w:val="both"/>
              <w:rPr>
                <w:sz w:val="12"/>
                <w:szCs w:val="12"/>
              </w:rPr>
            </w:pPr>
            <w:r>
              <w:rPr>
                <w:sz w:val="12"/>
                <w:szCs w:val="12"/>
              </w:rPr>
              <w:t> </w:t>
            </w:r>
          </w:p>
        </w:tc>
        <w:tc>
          <w:tcPr>
            <w:tcW w:w="0" w:type="auto"/>
            <w:hideMark/>
          </w:tcPr>
          <w:p w14:paraId="17731B6A" w14:textId="77777777" w:rsidR="00000000" w:rsidRDefault="003A1B5D">
            <w:pPr>
              <w:pStyle w:val="a3"/>
              <w:spacing w:before="0" w:beforeAutospacing="0" w:after="0" w:afterAutospacing="0"/>
              <w:jc w:val="both"/>
              <w:rPr>
                <w:sz w:val="12"/>
                <w:szCs w:val="12"/>
              </w:rPr>
            </w:pPr>
            <w:r>
              <w:rPr>
                <w:sz w:val="12"/>
                <w:szCs w:val="12"/>
              </w:rPr>
              <w:t> </w:t>
            </w:r>
          </w:p>
        </w:tc>
        <w:tc>
          <w:tcPr>
            <w:tcW w:w="0" w:type="auto"/>
            <w:hideMark/>
          </w:tcPr>
          <w:p w14:paraId="35EF5D0B" w14:textId="77777777" w:rsidR="00000000" w:rsidRDefault="003A1B5D">
            <w:pPr>
              <w:pStyle w:val="a3"/>
              <w:spacing w:before="0" w:beforeAutospacing="0" w:after="0" w:afterAutospacing="0"/>
              <w:jc w:val="both"/>
              <w:rPr>
                <w:sz w:val="12"/>
                <w:szCs w:val="12"/>
              </w:rPr>
            </w:pPr>
            <w:r>
              <w:rPr>
                <w:sz w:val="12"/>
                <w:szCs w:val="12"/>
              </w:rPr>
              <w:t> </w:t>
            </w:r>
          </w:p>
        </w:tc>
      </w:tr>
      <w:tr w:rsidR="00000000" w14:paraId="3F15CE38" w14:textId="77777777">
        <w:trPr>
          <w:trHeight w:val="200"/>
          <w:tblCellSpacing w:w="15" w:type="dxa"/>
        </w:trPr>
        <w:tc>
          <w:tcPr>
            <w:tcW w:w="0" w:type="auto"/>
            <w:hideMark/>
          </w:tcPr>
          <w:p w14:paraId="07350A54" w14:textId="77777777" w:rsidR="00000000" w:rsidRDefault="003A1B5D">
            <w:pPr>
              <w:pStyle w:val="a3"/>
              <w:spacing w:before="0" w:beforeAutospacing="0" w:after="0" w:afterAutospacing="0"/>
              <w:jc w:val="both"/>
              <w:rPr>
                <w:sz w:val="20"/>
                <w:szCs w:val="20"/>
              </w:rPr>
            </w:pPr>
            <w:r>
              <w:rPr>
                <w:sz w:val="20"/>
                <w:szCs w:val="20"/>
              </w:rPr>
              <w:t>104</w:t>
            </w:r>
            <w:r>
              <w:rPr>
                <w:sz w:val="20"/>
                <w:szCs w:val="20"/>
              </w:rPr>
              <w:t>*</w:t>
            </w:r>
          </w:p>
        </w:tc>
        <w:tc>
          <w:tcPr>
            <w:tcW w:w="0" w:type="auto"/>
            <w:hideMark/>
          </w:tcPr>
          <w:p w14:paraId="18D9DF08"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794DF751" w14:textId="77777777" w:rsidR="00000000" w:rsidRDefault="003A1B5D">
            <w:pPr>
              <w:pStyle w:val="a3"/>
              <w:spacing w:before="0" w:beforeAutospacing="0" w:after="0" w:afterAutospacing="0"/>
              <w:rPr>
                <w:sz w:val="20"/>
                <w:szCs w:val="20"/>
              </w:rPr>
            </w:pPr>
            <w:r>
              <w:rPr>
                <w:sz w:val="20"/>
                <w:szCs w:val="20"/>
              </w:rPr>
              <w:t>The cover page from the Company's Quarterly Report on Form 10-Q for the quarter ended September 30, 2022, formatted in Inline XBRL (included in Exhibit 101)</w:t>
            </w:r>
            <w:r>
              <w:rPr>
                <w:sz w:val="20"/>
                <w:szCs w:val="20"/>
              </w:rPr>
              <w:t>.</w:t>
            </w:r>
          </w:p>
        </w:tc>
      </w:tr>
    </w:tbl>
    <w:p w14:paraId="4295147C" w14:textId="77777777" w:rsidR="00000000" w:rsidRDefault="003A1B5D">
      <w:pPr>
        <w:pStyle w:val="a3"/>
        <w:spacing w:before="0" w:beforeAutospacing="0" w:after="0" w:afterAutospacing="0"/>
        <w:rPr>
          <w:sz w:val="20"/>
          <w:szCs w:val="20"/>
        </w:rPr>
      </w:pPr>
      <w:r>
        <w:rPr>
          <w:sz w:val="20"/>
          <w:szCs w:val="20"/>
        </w:rPr>
        <w:t> </w:t>
      </w:r>
    </w:p>
    <w:p w14:paraId="6C3FA03A" w14:textId="77777777" w:rsidR="00000000" w:rsidRDefault="003A1B5D">
      <w:pPr>
        <w:pStyle w:val="a3"/>
        <w:spacing w:before="0" w:beforeAutospacing="0" w:after="0" w:afterAutospacing="0"/>
        <w:rPr>
          <w:sz w:val="20"/>
          <w:szCs w:val="20"/>
        </w:rPr>
      </w:pPr>
      <w:r>
        <w:rPr>
          <w:sz w:val="20"/>
          <w:szCs w:val="20"/>
        </w:rPr>
        <w:t>* File</w:t>
      </w:r>
      <w:r>
        <w:rPr>
          <w:sz w:val="20"/>
          <w:szCs w:val="20"/>
        </w:rPr>
        <w:t>d herewith</w:t>
      </w:r>
      <w:r>
        <w:rPr>
          <w:sz w:val="20"/>
          <w:szCs w:val="20"/>
        </w:rPr>
        <w:t>.</w:t>
      </w:r>
    </w:p>
    <w:p w14:paraId="5FF2C056" w14:textId="77777777" w:rsidR="00000000" w:rsidRDefault="003A1B5D">
      <w:pPr>
        <w:pStyle w:val="a3"/>
        <w:spacing w:before="0" w:beforeAutospacing="0" w:after="0" w:afterAutospacing="0"/>
        <w:ind w:hanging="581"/>
        <w:rPr>
          <w:sz w:val="20"/>
          <w:szCs w:val="20"/>
        </w:rPr>
      </w:pPr>
      <w:r>
        <w:rPr>
          <w:sz w:val="20"/>
          <w:szCs w:val="20"/>
        </w:rPr>
        <w:t> </w:t>
      </w:r>
    </w:p>
    <w:p w14:paraId="7EC99967" w14:textId="77777777" w:rsidR="00000000" w:rsidRDefault="003A1B5D">
      <w:pPr>
        <w:pStyle w:val="a3"/>
        <w:spacing w:before="0" w:beforeAutospacing="0" w:after="0" w:afterAutospacing="0"/>
        <w:ind w:hanging="581"/>
        <w:jc w:val="both"/>
        <w:rPr>
          <w:sz w:val="20"/>
          <w:szCs w:val="20"/>
        </w:rPr>
      </w:pPr>
      <w:r>
        <w:rPr>
          <w:sz w:val="20"/>
          <w:szCs w:val="20"/>
        </w:rPr>
        <w:t>** Furnished herewith</w:t>
      </w:r>
      <w:r>
        <w:rPr>
          <w:sz w:val="20"/>
          <w:szCs w:val="20"/>
        </w:rPr>
        <w:t>.</w:t>
      </w:r>
      <w:r>
        <w:rPr>
          <w:sz w:val="20"/>
          <w:szCs w:val="20"/>
        </w:rPr>
        <w:t xml:space="preserve"> </w:t>
      </w:r>
    </w:p>
    <w:p w14:paraId="170EEF6B" w14:textId="77777777" w:rsidR="00000000" w:rsidRDefault="003A1B5D">
      <w:pPr>
        <w:pStyle w:val="a3"/>
        <w:spacing w:before="240" w:beforeAutospacing="0" w:after="0" w:afterAutospacing="0"/>
        <w:jc w:val="center"/>
        <w:rPr>
          <w:sz w:val="20"/>
          <w:szCs w:val="20"/>
        </w:rPr>
      </w:pPr>
      <w:r>
        <w:rPr>
          <w:sz w:val="20"/>
          <w:szCs w:val="20"/>
        </w:rPr>
        <w:t>4</w:t>
      </w:r>
      <w:r>
        <w:rPr>
          <w:sz w:val="20"/>
          <w:szCs w:val="20"/>
        </w:rPr>
        <w:t>6</w:t>
      </w:r>
    </w:p>
    <w:p w14:paraId="33039E09" w14:textId="77777777" w:rsidR="00000000" w:rsidRDefault="003A1B5D">
      <w:pPr>
        <w:rPr>
          <w:rFonts w:eastAsia="Times New Roman"/>
        </w:rPr>
      </w:pPr>
      <w:r>
        <w:rPr>
          <w:rFonts w:eastAsia="Times New Roman"/>
        </w:rPr>
        <w:pict w14:anchorId="0F1B71CE">
          <v:rect id="_x0000_i1072" style="width:0;height:1.5pt" o:hralign="center" o:hrstd="t" o:hr="t" fillcolor="#a0a0a0" stroked="f"/>
        </w:pict>
      </w:r>
    </w:p>
    <w:p w14:paraId="2CD281A8" w14:textId="77777777" w:rsidR="00000000" w:rsidRDefault="003A1B5D">
      <w:pPr>
        <w:pStyle w:val="a3"/>
        <w:spacing w:before="0" w:beforeAutospacing="0" w:after="0" w:afterAutospacing="0"/>
        <w:rPr>
          <w:sz w:val="20"/>
          <w:szCs w:val="20"/>
        </w:rPr>
      </w:pPr>
      <w:r>
        <w:rPr>
          <w:sz w:val="20"/>
          <w:szCs w:val="20"/>
        </w:rPr>
        <w:t> </w:t>
      </w:r>
    </w:p>
    <w:p w14:paraId="22C4E153" w14:textId="77777777" w:rsidR="00000000" w:rsidRDefault="003A1B5D">
      <w:pPr>
        <w:pStyle w:val="a3"/>
        <w:spacing w:before="0" w:beforeAutospacing="0" w:after="0" w:afterAutospacing="0"/>
        <w:jc w:val="center"/>
        <w:rPr>
          <w:sz w:val="20"/>
          <w:szCs w:val="20"/>
        </w:rPr>
      </w:pPr>
      <w:r>
        <w:rPr>
          <w:b/>
          <w:bCs/>
          <w:sz w:val="20"/>
          <w:szCs w:val="20"/>
        </w:rPr>
        <w:t>SIGN</w:t>
      </w:r>
      <w:r>
        <w:rPr>
          <w:b/>
          <w:bCs/>
          <w:sz w:val="20"/>
          <w:szCs w:val="20"/>
        </w:rPr>
        <w:t>A</w:t>
      </w:r>
      <w:r>
        <w:rPr>
          <w:b/>
          <w:bCs/>
          <w:sz w:val="20"/>
          <w:szCs w:val="20"/>
        </w:rPr>
        <w:t>TURE</w:t>
      </w:r>
      <w:r>
        <w:rPr>
          <w:b/>
          <w:bCs/>
          <w:sz w:val="20"/>
          <w:szCs w:val="20"/>
        </w:rPr>
        <w:t>S</w:t>
      </w:r>
    </w:p>
    <w:p w14:paraId="7604F814" w14:textId="77777777" w:rsidR="00000000" w:rsidRDefault="003A1B5D">
      <w:pPr>
        <w:pStyle w:val="a3"/>
        <w:spacing w:before="240" w:beforeAutospacing="0" w:after="0" w:afterAutospacing="0"/>
        <w:jc w:val="both"/>
        <w:rPr>
          <w:sz w:val="20"/>
          <w:szCs w:val="20"/>
        </w:rPr>
      </w:pPr>
      <w:r>
        <w:rPr>
          <w:sz w:val="20"/>
          <w:szCs w:val="20"/>
        </w:rPr>
        <w:t>Pursuant to the requirements of the Securities Exchange Act of 1934, the registrant has duly caused this report to be signed on its behalf by the undersigned, thereunto duly authorized</w:t>
      </w:r>
      <w:r>
        <w:rPr>
          <w:sz w:val="20"/>
          <w:szCs w:val="20"/>
        </w:rPr>
        <w:t>.</w:t>
      </w:r>
    </w:p>
    <w:p w14:paraId="37AE09AF" w14:textId="77777777" w:rsidR="00000000" w:rsidRDefault="003A1B5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38"/>
        <w:gridCol w:w="439"/>
        <w:gridCol w:w="3729"/>
      </w:tblGrid>
      <w:tr w:rsidR="00000000" w14:paraId="4B9843F9" w14:textId="77777777">
        <w:trPr>
          <w:tblCellSpacing w:w="15" w:type="dxa"/>
        </w:trPr>
        <w:tc>
          <w:tcPr>
            <w:tcW w:w="2500" w:type="pct"/>
            <w:vAlign w:val="center"/>
            <w:hideMark/>
          </w:tcPr>
          <w:p w14:paraId="2AB64023" w14:textId="77777777" w:rsidR="00000000" w:rsidRDefault="003A1B5D">
            <w:pPr>
              <w:rPr>
                <w:sz w:val="20"/>
                <w:szCs w:val="20"/>
              </w:rPr>
            </w:pPr>
          </w:p>
        </w:tc>
        <w:tc>
          <w:tcPr>
            <w:tcW w:w="250" w:type="pct"/>
            <w:vAlign w:val="center"/>
            <w:hideMark/>
          </w:tcPr>
          <w:p w14:paraId="2CC75615" w14:textId="77777777" w:rsidR="00000000" w:rsidRDefault="003A1B5D">
            <w:pPr>
              <w:rPr>
                <w:rFonts w:eastAsia="Times New Roman"/>
                <w:sz w:val="20"/>
                <w:szCs w:val="20"/>
              </w:rPr>
            </w:pPr>
          </w:p>
        </w:tc>
        <w:tc>
          <w:tcPr>
            <w:tcW w:w="2250" w:type="pct"/>
            <w:vAlign w:val="center"/>
            <w:hideMark/>
          </w:tcPr>
          <w:p w14:paraId="763E3586" w14:textId="77777777" w:rsidR="00000000" w:rsidRDefault="003A1B5D">
            <w:pPr>
              <w:rPr>
                <w:rFonts w:eastAsia="Times New Roman"/>
                <w:sz w:val="20"/>
                <w:szCs w:val="20"/>
              </w:rPr>
            </w:pPr>
          </w:p>
        </w:tc>
      </w:tr>
      <w:tr w:rsidR="00000000" w14:paraId="2046988E" w14:textId="77777777">
        <w:trPr>
          <w:trHeight w:val="200"/>
          <w:tblCellSpacing w:w="15" w:type="dxa"/>
        </w:trPr>
        <w:tc>
          <w:tcPr>
            <w:tcW w:w="0" w:type="auto"/>
            <w:hideMark/>
          </w:tcPr>
          <w:p w14:paraId="2B748FAF" w14:textId="77777777" w:rsidR="00000000" w:rsidRDefault="003A1B5D">
            <w:pPr>
              <w:pStyle w:val="a3"/>
              <w:spacing w:before="0" w:beforeAutospacing="0" w:after="0" w:afterAutospacing="0"/>
              <w:rPr>
                <w:sz w:val="20"/>
                <w:szCs w:val="20"/>
              </w:rPr>
            </w:pPr>
            <w:r>
              <w:rPr>
                <w:sz w:val="20"/>
                <w:szCs w:val="20"/>
              </w:rPr>
              <w:t> </w:t>
            </w:r>
          </w:p>
        </w:tc>
        <w:tc>
          <w:tcPr>
            <w:tcW w:w="0" w:type="auto"/>
            <w:gridSpan w:val="2"/>
            <w:hideMark/>
          </w:tcPr>
          <w:p w14:paraId="31B8F974" w14:textId="77777777" w:rsidR="00000000" w:rsidRDefault="003A1B5D">
            <w:pPr>
              <w:pStyle w:val="a3"/>
              <w:spacing w:before="0" w:beforeAutospacing="0" w:after="0" w:afterAutospacing="0"/>
              <w:rPr>
                <w:sz w:val="20"/>
                <w:szCs w:val="20"/>
              </w:rPr>
            </w:pPr>
            <w:r>
              <w:rPr>
                <w:b/>
                <w:bCs/>
                <w:sz w:val="20"/>
                <w:szCs w:val="20"/>
              </w:rPr>
              <w:t>CORECIVIC, INC</w:t>
            </w:r>
            <w:r>
              <w:rPr>
                <w:b/>
                <w:bCs/>
                <w:sz w:val="20"/>
                <w:szCs w:val="20"/>
              </w:rPr>
              <w:t>.</w:t>
            </w:r>
          </w:p>
        </w:tc>
      </w:tr>
      <w:tr w:rsidR="00000000" w14:paraId="1F4D8653" w14:textId="77777777">
        <w:trPr>
          <w:tblCellSpacing w:w="15" w:type="dxa"/>
        </w:trPr>
        <w:tc>
          <w:tcPr>
            <w:tcW w:w="0" w:type="auto"/>
            <w:hideMark/>
          </w:tcPr>
          <w:p w14:paraId="4F574904"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6298F897"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2185A667" w14:textId="77777777" w:rsidR="00000000" w:rsidRDefault="003A1B5D">
            <w:pPr>
              <w:pStyle w:val="a3"/>
              <w:spacing w:before="0" w:beforeAutospacing="0" w:after="0" w:afterAutospacing="0"/>
              <w:rPr>
                <w:sz w:val="20"/>
                <w:szCs w:val="20"/>
              </w:rPr>
            </w:pPr>
            <w:r>
              <w:rPr>
                <w:sz w:val="20"/>
                <w:szCs w:val="20"/>
              </w:rPr>
              <w:t> </w:t>
            </w:r>
          </w:p>
        </w:tc>
      </w:tr>
      <w:tr w:rsidR="00000000" w14:paraId="45CD1822" w14:textId="77777777">
        <w:trPr>
          <w:trHeight w:val="200"/>
          <w:tblCellSpacing w:w="15" w:type="dxa"/>
        </w:trPr>
        <w:tc>
          <w:tcPr>
            <w:tcW w:w="0" w:type="auto"/>
            <w:hideMark/>
          </w:tcPr>
          <w:p w14:paraId="7C26EDDF" w14:textId="77777777" w:rsidR="00000000" w:rsidRDefault="003A1B5D">
            <w:pPr>
              <w:pStyle w:val="a3"/>
              <w:spacing w:before="0" w:beforeAutospacing="0" w:after="0" w:afterAutospacing="0"/>
              <w:rPr>
                <w:sz w:val="20"/>
                <w:szCs w:val="20"/>
              </w:rPr>
            </w:pPr>
            <w:r>
              <w:rPr>
                <w:sz w:val="20"/>
                <w:szCs w:val="20"/>
              </w:rPr>
              <w:t>Date: November 3, 202</w:t>
            </w:r>
            <w:r>
              <w:rPr>
                <w:sz w:val="20"/>
                <w:szCs w:val="20"/>
              </w:rPr>
              <w:t>2</w:t>
            </w:r>
          </w:p>
        </w:tc>
        <w:tc>
          <w:tcPr>
            <w:tcW w:w="0" w:type="auto"/>
            <w:hideMark/>
          </w:tcPr>
          <w:p w14:paraId="7C808E67"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6AE3F223" w14:textId="77777777" w:rsidR="00000000" w:rsidRDefault="003A1B5D">
            <w:pPr>
              <w:pStyle w:val="a3"/>
              <w:spacing w:before="0" w:beforeAutospacing="0" w:after="0" w:afterAutospacing="0"/>
              <w:rPr>
                <w:sz w:val="20"/>
                <w:szCs w:val="20"/>
              </w:rPr>
            </w:pPr>
            <w:r>
              <w:rPr>
                <w:sz w:val="20"/>
                <w:szCs w:val="20"/>
              </w:rPr>
              <w:t> </w:t>
            </w:r>
          </w:p>
        </w:tc>
      </w:tr>
      <w:tr w:rsidR="00000000" w14:paraId="79B92119" w14:textId="77777777">
        <w:trPr>
          <w:trHeight w:val="200"/>
          <w:tblCellSpacing w:w="15" w:type="dxa"/>
        </w:trPr>
        <w:tc>
          <w:tcPr>
            <w:tcW w:w="0" w:type="auto"/>
            <w:hideMark/>
          </w:tcPr>
          <w:p w14:paraId="6823AE16"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3BDA64C0" w14:textId="77777777" w:rsidR="00000000" w:rsidRDefault="003A1B5D">
            <w:pPr>
              <w:pStyle w:val="a3"/>
              <w:spacing w:before="0" w:beforeAutospacing="0" w:after="0" w:afterAutospacing="0"/>
              <w:rPr>
                <w:sz w:val="20"/>
                <w:szCs w:val="20"/>
              </w:rPr>
            </w:pPr>
            <w:r>
              <w:rPr>
                <w:sz w:val="20"/>
                <w:szCs w:val="20"/>
              </w:rPr>
              <w:t> </w:t>
            </w:r>
          </w:p>
        </w:tc>
        <w:tc>
          <w:tcPr>
            <w:tcW w:w="0" w:type="auto"/>
            <w:tcBorders>
              <w:bottom w:val="single" w:sz="4" w:space="0" w:color="auto"/>
            </w:tcBorders>
            <w:hideMark/>
          </w:tcPr>
          <w:p w14:paraId="4457DCA9" w14:textId="77777777" w:rsidR="00000000" w:rsidRDefault="003A1B5D">
            <w:pPr>
              <w:pStyle w:val="a3"/>
              <w:spacing w:before="0" w:beforeAutospacing="0" w:after="0" w:afterAutospacing="0"/>
              <w:rPr>
                <w:sz w:val="20"/>
                <w:szCs w:val="20"/>
              </w:rPr>
            </w:pPr>
            <w:r>
              <w:rPr>
                <w:sz w:val="20"/>
                <w:szCs w:val="20"/>
              </w:rPr>
              <w:t>/s/ Damon T. Hininge</w:t>
            </w:r>
            <w:r>
              <w:rPr>
                <w:sz w:val="20"/>
                <w:szCs w:val="20"/>
              </w:rPr>
              <w:t>r</w:t>
            </w:r>
          </w:p>
        </w:tc>
      </w:tr>
      <w:tr w:rsidR="00000000" w14:paraId="0557CC52" w14:textId="77777777">
        <w:trPr>
          <w:trHeight w:val="200"/>
          <w:tblCellSpacing w:w="15" w:type="dxa"/>
        </w:trPr>
        <w:tc>
          <w:tcPr>
            <w:tcW w:w="0" w:type="auto"/>
            <w:hideMark/>
          </w:tcPr>
          <w:p w14:paraId="4E37B6E4"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4A701794"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49455EEF" w14:textId="77777777" w:rsidR="00000000" w:rsidRDefault="003A1B5D">
            <w:pPr>
              <w:pStyle w:val="a3"/>
              <w:spacing w:before="0" w:beforeAutospacing="0" w:after="0" w:afterAutospacing="0"/>
              <w:rPr>
                <w:sz w:val="20"/>
                <w:szCs w:val="20"/>
              </w:rPr>
            </w:pPr>
            <w:r>
              <w:rPr>
                <w:sz w:val="20"/>
                <w:szCs w:val="20"/>
              </w:rPr>
              <w:t>Damon T. Hininge</w:t>
            </w:r>
            <w:r>
              <w:rPr>
                <w:sz w:val="20"/>
                <w:szCs w:val="20"/>
              </w:rPr>
              <w:t>r</w:t>
            </w:r>
          </w:p>
        </w:tc>
      </w:tr>
      <w:tr w:rsidR="00000000" w14:paraId="2BC94416" w14:textId="77777777">
        <w:trPr>
          <w:trHeight w:val="200"/>
          <w:tblCellSpacing w:w="15" w:type="dxa"/>
        </w:trPr>
        <w:tc>
          <w:tcPr>
            <w:tcW w:w="0" w:type="auto"/>
            <w:hideMark/>
          </w:tcPr>
          <w:p w14:paraId="144622EF"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61B6E6B1"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40BCF329" w14:textId="77777777" w:rsidR="00000000" w:rsidRDefault="003A1B5D">
            <w:pPr>
              <w:pStyle w:val="a3"/>
              <w:spacing w:before="0" w:beforeAutospacing="0" w:after="0" w:afterAutospacing="0"/>
              <w:rPr>
                <w:sz w:val="20"/>
                <w:szCs w:val="20"/>
              </w:rPr>
            </w:pPr>
            <w:r>
              <w:rPr>
                <w:sz w:val="20"/>
                <w:szCs w:val="20"/>
              </w:rPr>
              <w:t>President and Chief Executive Office</w:t>
            </w:r>
            <w:r>
              <w:rPr>
                <w:sz w:val="20"/>
                <w:szCs w:val="20"/>
              </w:rPr>
              <w:t>r</w:t>
            </w:r>
          </w:p>
        </w:tc>
      </w:tr>
      <w:tr w:rsidR="00000000" w14:paraId="7E625F10" w14:textId="77777777">
        <w:trPr>
          <w:tblCellSpacing w:w="15" w:type="dxa"/>
        </w:trPr>
        <w:tc>
          <w:tcPr>
            <w:tcW w:w="0" w:type="auto"/>
            <w:hideMark/>
          </w:tcPr>
          <w:p w14:paraId="6345D1D0"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088EFFE4"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70FB93CF" w14:textId="77777777" w:rsidR="00000000" w:rsidRDefault="003A1B5D">
            <w:pPr>
              <w:pStyle w:val="a3"/>
              <w:spacing w:before="0" w:beforeAutospacing="0" w:after="0" w:afterAutospacing="0"/>
              <w:rPr>
                <w:sz w:val="20"/>
                <w:szCs w:val="20"/>
              </w:rPr>
            </w:pPr>
            <w:r>
              <w:rPr>
                <w:sz w:val="20"/>
                <w:szCs w:val="20"/>
              </w:rPr>
              <w:t> </w:t>
            </w:r>
          </w:p>
        </w:tc>
      </w:tr>
      <w:tr w:rsidR="00000000" w14:paraId="26693A34" w14:textId="77777777">
        <w:trPr>
          <w:trHeight w:val="200"/>
          <w:tblCellSpacing w:w="15" w:type="dxa"/>
        </w:trPr>
        <w:tc>
          <w:tcPr>
            <w:tcW w:w="0" w:type="auto"/>
            <w:hideMark/>
          </w:tcPr>
          <w:p w14:paraId="1EE5D430"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7209F426" w14:textId="77777777" w:rsidR="00000000" w:rsidRDefault="003A1B5D">
            <w:pPr>
              <w:pStyle w:val="a3"/>
              <w:spacing w:before="0" w:beforeAutospacing="0" w:after="0" w:afterAutospacing="0"/>
              <w:rPr>
                <w:sz w:val="20"/>
                <w:szCs w:val="20"/>
              </w:rPr>
            </w:pPr>
            <w:r>
              <w:rPr>
                <w:sz w:val="20"/>
                <w:szCs w:val="20"/>
              </w:rPr>
              <w:t> </w:t>
            </w:r>
          </w:p>
        </w:tc>
        <w:tc>
          <w:tcPr>
            <w:tcW w:w="0" w:type="auto"/>
            <w:tcBorders>
              <w:bottom w:val="single" w:sz="4" w:space="0" w:color="auto"/>
            </w:tcBorders>
            <w:hideMark/>
          </w:tcPr>
          <w:p w14:paraId="02E85749" w14:textId="77777777" w:rsidR="00000000" w:rsidRDefault="003A1B5D">
            <w:pPr>
              <w:pStyle w:val="a3"/>
              <w:spacing w:before="0" w:beforeAutospacing="0" w:after="0" w:afterAutospacing="0"/>
              <w:rPr>
                <w:sz w:val="20"/>
                <w:szCs w:val="20"/>
              </w:rPr>
            </w:pPr>
            <w:r>
              <w:rPr>
                <w:sz w:val="20"/>
                <w:szCs w:val="20"/>
              </w:rPr>
              <w:t>/s/ David M. Garfinkl</w:t>
            </w:r>
            <w:r>
              <w:rPr>
                <w:sz w:val="20"/>
                <w:szCs w:val="20"/>
              </w:rPr>
              <w:t>e</w:t>
            </w:r>
          </w:p>
        </w:tc>
      </w:tr>
      <w:tr w:rsidR="00000000" w14:paraId="32347AB3" w14:textId="77777777">
        <w:trPr>
          <w:trHeight w:val="200"/>
          <w:tblCellSpacing w:w="15" w:type="dxa"/>
        </w:trPr>
        <w:tc>
          <w:tcPr>
            <w:tcW w:w="0" w:type="auto"/>
            <w:hideMark/>
          </w:tcPr>
          <w:p w14:paraId="2DEA9697"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1B9FE417"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5FFE19E6" w14:textId="77777777" w:rsidR="00000000" w:rsidRDefault="003A1B5D">
            <w:pPr>
              <w:pStyle w:val="a3"/>
              <w:spacing w:before="0" w:beforeAutospacing="0" w:after="0" w:afterAutospacing="0"/>
              <w:rPr>
                <w:sz w:val="20"/>
                <w:szCs w:val="20"/>
              </w:rPr>
            </w:pPr>
            <w:r>
              <w:rPr>
                <w:sz w:val="20"/>
                <w:szCs w:val="20"/>
              </w:rPr>
              <w:t>David M. Garfinkl</w:t>
            </w:r>
            <w:r>
              <w:rPr>
                <w:sz w:val="20"/>
                <w:szCs w:val="20"/>
              </w:rPr>
              <w:t>e</w:t>
            </w:r>
          </w:p>
        </w:tc>
      </w:tr>
      <w:tr w:rsidR="00000000" w14:paraId="2DB28727" w14:textId="77777777">
        <w:trPr>
          <w:trHeight w:val="200"/>
          <w:tblCellSpacing w:w="15" w:type="dxa"/>
        </w:trPr>
        <w:tc>
          <w:tcPr>
            <w:tcW w:w="0" w:type="auto"/>
            <w:hideMark/>
          </w:tcPr>
          <w:p w14:paraId="2253FF51"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0B769B8C" w14:textId="77777777" w:rsidR="00000000" w:rsidRDefault="003A1B5D">
            <w:pPr>
              <w:pStyle w:val="a3"/>
              <w:spacing w:before="0" w:beforeAutospacing="0" w:after="0" w:afterAutospacing="0"/>
              <w:rPr>
                <w:sz w:val="20"/>
                <w:szCs w:val="20"/>
              </w:rPr>
            </w:pPr>
            <w:r>
              <w:rPr>
                <w:sz w:val="20"/>
                <w:szCs w:val="20"/>
              </w:rPr>
              <w:t> </w:t>
            </w:r>
          </w:p>
        </w:tc>
        <w:tc>
          <w:tcPr>
            <w:tcW w:w="0" w:type="auto"/>
            <w:hideMark/>
          </w:tcPr>
          <w:p w14:paraId="603A0A85" w14:textId="77777777" w:rsidR="00000000" w:rsidRDefault="003A1B5D">
            <w:pPr>
              <w:pStyle w:val="a3"/>
              <w:spacing w:before="0" w:beforeAutospacing="0" w:after="0" w:afterAutospacing="0"/>
              <w:rPr>
                <w:sz w:val="20"/>
                <w:szCs w:val="20"/>
              </w:rPr>
            </w:pPr>
            <w:r>
              <w:rPr>
                <w:sz w:val="20"/>
                <w:szCs w:val="20"/>
              </w:rPr>
              <w:t>Executive Vice President, Chief Financial Officer, and Principal Accounting Office</w:t>
            </w:r>
            <w:r>
              <w:rPr>
                <w:sz w:val="20"/>
                <w:szCs w:val="20"/>
              </w:rPr>
              <w:t>r</w:t>
            </w:r>
          </w:p>
        </w:tc>
      </w:tr>
    </w:tbl>
    <w:p w14:paraId="34F7C028" w14:textId="77777777" w:rsidR="00000000" w:rsidRDefault="003A1B5D">
      <w:pPr>
        <w:pStyle w:val="a3"/>
        <w:spacing w:before="0" w:beforeAutospacing="0" w:after="0" w:afterAutospacing="0"/>
        <w:rPr>
          <w:sz w:val="20"/>
          <w:szCs w:val="20"/>
        </w:rPr>
      </w:pPr>
      <w:r>
        <w:rPr>
          <w:sz w:val="20"/>
          <w:szCs w:val="20"/>
        </w:rPr>
        <w:t> </w:t>
      </w:r>
    </w:p>
    <w:p w14:paraId="1F9381F8" w14:textId="77777777" w:rsidR="00000000" w:rsidRDefault="003A1B5D">
      <w:pPr>
        <w:pStyle w:val="a3"/>
        <w:spacing w:before="240" w:beforeAutospacing="0" w:after="0" w:afterAutospacing="0"/>
        <w:jc w:val="center"/>
        <w:rPr>
          <w:sz w:val="20"/>
          <w:szCs w:val="20"/>
        </w:rPr>
      </w:pPr>
      <w:r>
        <w:rPr>
          <w:sz w:val="20"/>
          <w:szCs w:val="20"/>
        </w:rPr>
        <w:t>4</w:t>
      </w:r>
      <w:r>
        <w:rPr>
          <w:sz w:val="20"/>
          <w:szCs w:val="20"/>
        </w:rPr>
        <w:t>7</w:t>
      </w:r>
    </w:p>
    <w:p w14:paraId="78EDCCD9" w14:textId="77777777" w:rsidR="003A1B5D" w:rsidRDefault="003A1B5D">
      <w:pPr>
        <w:rPr>
          <w:rFonts w:eastAsia="Times New Roman"/>
        </w:rPr>
      </w:pPr>
      <w:r>
        <w:rPr>
          <w:rFonts w:eastAsia="Times New Roman"/>
        </w:rPr>
        <w:pict w14:anchorId="2AE9B365">
          <v:rect id="_x0000_i1073" style="width:0;height:1.5pt" o:hralign="center" o:hrstd="t" o:hr="t" fillcolor="#a0a0a0" stroked="f"/>
        </w:pict>
      </w:r>
    </w:p>
    <w:sectPr w:rsidR="003A1B5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A1B5D"/>
    <w:rsid w:val="003A1B5D"/>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2"/>
  <w:attachedSchema w:val="http://fasb.org/us-gaap/2022"/>
  <w:attachedSchema w:val="http://www.xbrl.org/2003/iso4217"/>
  <w:attachedSchema w:val="http://www.xbrl.org/dtr/type/2020-01-21"/>
  <w:attachedSchema w:val="http://fasb.org/srt/2022"/>
  <w:attachedSchema w:val="http://www.corecivic.com/20220930"/>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478D62"/>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0631">
      <w:marLeft w:val="0"/>
      <w:marRight w:val="0"/>
      <w:marTop w:val="0"/>
      <w:marBottom w:val="0"/>
      <w:divBdr>
        <w:top w:val="none" w:sz="0" w:space="0" w:color="auto"/>
        <w:left w:val="none" w:sz="0" w:space="0" w:color="auto"/>
        <w:bottom w:val="none" w:sz="0" w:space="0" w:color="auto"/>
        <w:right w:val="none" w:sz="0" w:space="0" w:color="auto"/>
      </w:divBdr>
    </w:div>
    <w:div w:id="48572644">
      <w:marLeft w:val="4"/>
      <w:marRight w:val="0"/>
      <w:marTop w:val="120"/>
      <w:marBottom w:val="0"/>
      <w:divBdr>
        <w:top w:val="none" w:sz="0" w:space="0" w:color="auto"/>
        <w:left w:val="none" w:sz="0" w:space="0" w:color="auto"/>
        <w:bottom w:val="none" w:sz="0" w:space="0" w:color="auto"/>
        <w:right w:val="none" w:sz="0" w:space="0" w:color="auto"/>
      </w:divBdr>
      <w:divsChild>
        <w:div w:id="1764958861">
          <w:marLeft w:val="0"/>
          <w:marRight w:val="0"/>
          <w:marTop w:val="0"/>
          <w:marBottom w:val="0"/>
          <w:divBdr>
            <w:top w:val="none" w:sz="0" w:space="0" w:color="auto"/>
            <w:left w:val="none" w:sz="0" w:space="0" w:color="auto"/>
            <w:bottom w:val="none" w:sz="0" w:space="0" w:color="auto"/>
            <w:right w:val="none" w:sz="0" w:space="0" w:color="auto"/>
          </w:divBdr>
        </w:div>
      </w:divsChild>
    </w:div>
    <w:div w:id="159081462">
      <w:marLeft w:val="4"/>
      <w:marRight w:val="0"/>
      <w:marTop w:val="120"/>
      <w:marBottom w:val="0"/>
      <w:divBdr>
        <w:top w:val="none" w:sz="0" w:space="0" w:color="auto"/>
        <w:left w:val="none" w:sz="0" w:space="0" w:color="auto"/>
        <w:bottom w:val="none" w:sz="0" w:space="0" w:color="auto"/>
        <w:right w:val="none" w:sz="0" w:space="0" w:color="auto"/>
      </w:divBdr>
      <w:divsChild>
        <w:div w:id="133837577">
          <w:marLeft w:val="0"/>
          <w:marRight w:val="0"/>
          <w:marTop w:val="0"/>
          <w:marBottom w:val="0"/>
          <w:divBdr>
            <w:top w:val="none" w:sz="0" w:space="0" w:color="auto"/>
            <w:left w:val="none" w:sz="0" w:space="0" w:color="auto"/>
            <w:bottom w:val="none" w:sz="0" w:space="0" w:color="auto"/>
            <w:right w:val="none" w:sz="0" w:space="0" w:color="auto"/>
          </w:divBdr>
        </w:div>
      </w:divsChild>
    </w:div>
    <w:div w:id="177743700">
      <w:marLeft w:val="4"/>
      <w:marRight w:val="0"/>
      <w:marTop w:val="120"/>
      <w:marBottom w:val="0"/>
      <w:divBdr>
        <w:top w:val="none" w:sz="0" w:space="0" w:color="auto"/>
        <w:left w:val="none" w:sz="0" w:space="0" w:color="auto"/>
        <w:bottom w:val="none" w:sz="0" w:space="0" w:color="auto"/>
        <w:right w:val="none" w:sz="0" w:space="0" w:color="auto"/>
      </w:divBdr>
      <w:divsChild>
        <w:div w:id="964507305">
          <w:marLeft w:val="0"/>
          <w:marRight w:val="0"/>
          <w:marTop w:val="0"/>
          <w:marBottom w:val="0"/>
          <w:divBdr>
            <w:top w:val="none" w:sz="0" w:space="0" w:color="auto"/>
            <w:left w:val="none" w:sz="0" w:space="0" w:color="auto"/>
            <w:bottom w:val="none" w:sz="0" w:space="0" w:color="auto"/>
            <w:right w:val="none" w:sz="0" w:space="0" w:color="auto"/>
          </w:divBdr>
        </w:div>
      </w:divsChild>
    </w:div>
    <w:div w:id="242103287">
      <w:marLeft w:val="4"/>
      <w:marRight w:val="0"/>
      <w:marTop w:val="120"/>
      <w:marBottom w:val="0"/>
      <w:divBdr>
        <w:top w:val="none" w:sz="0" w:space="0" w:color="auto"/>
        <w:left w:val="none" w:sz="0" w:space="0" w:color="auto"/>
        <w:bottom w:val="none" w:sz="0" w:space="0" w:color="auto"/>
        <w:right w:val="none" w:sz="0" w:space="0" w:color="auto"/>
      </w:divBdr>
      <w:divsChild>
        <w:div w:id="1464273581">
          <w:marLeft w:val="0"/>
          <w:marRight w:val="0"/>
          <w:marTop w:val="0"/>
          <w:marBottom w:val="0"/>
          <w:divBdr>
            <w:top w:val="none" w:sz="0" w:space="0" w:color="auto"/>
            <w:left w:val="none" w:sz="0" w:space="0" w:color="auto"/>
            <w:bottom w:val="none" w:sz="0" w:space="0" w:color="auto"/>
            <w:right w:val="none" w:sz="0" w:space="0" w:color="auto"/>
          </w:divBdr>
        </w:div>
      </w:divsChild>
    </w:div>
    <w:div w:id="270019120">
      <w:marLeft w:val="4"/>
      <w:marRight w:val="0"/>
      <w:marTop w:val="120"/>
      <w:marBottom w:val="0"/>
      <w:divBdr>
        <w:top w:val="none" w:sz="0" w:space="0" w:color="auto"/>
        <w:left w:val="none" w:sz="0" w:space="0" w:color="auto"/>
        <w:bottom w:val="none" w:sz="0" w:space="0" w:color="auto"/>
        <w:right w:val="none" w:sz="0" w:space="0" w:color="auto"/>
      </w:divBdr>
      <w:divsChild>
        <w:div w:id="1412890811">
          <w:marLeft w:val="0"/>
          <w:marRight w:val="0"/>
          <w:marTop w:val="0"/>
          <w:marBottom w:val="0"/>
          <w:divBdr>
            <w:top w:val="none" w:sz="0" w:space="0" w:color="auto"/>
            <w:left w:val="none" w:sz="0" w:space="0" w:color="auto"/>
            <w:bottom w:val="none" w:sz="0" w:space="0" w:color="auto"/>
            <w:right w:val="none" w:sz="0" w:space="0" w:color="auto"/>
          </w:divBdr>
        </w:div>
      </w:divsChild>
    </w:div>
    <w:div w:id="514808635">
      <w:marLeft w:val="4"/>
      <w:marRight w:val="0"/>
      <w:marTop w:val="120"/>
      <w:marBottom w:val="0"/>
      <w:divBdr>
        <w:top w:val="none" w:sz="0" w:space="0" w:color="auto"/>
        <w:left w:val="none" w:sz="0" w:space="0" w:color="auto"/>
        <w:bottom w:val="none" w:sz="0" w:space="0" w:color="auto"/>
        <w:right w:val="none" w:sz="0" w:space="0" w:color="auto"/>
      </w:divBdr>
      <w:divsChild>
        <w:div w:id="457069434">
          <w:marLeft w:val="0"/>
          <w:marRight w:val="0"/>
          <w:marTop w:val="0"/>
          <w:marBottom w:val="0"/>
          <w:divBdr>
            <w:top w:val="none" w:sz="0" w:space="0" w:color="auto"/>
            <w:left w:val="none" w:sz="0" w:space="0" w:color="auto"/>
            <w:bottom w:val="none" w:sz="0" w:space="0" w:color="auto"/>
            <w:right w:val="none" w:sz="0" w:space="0" w:color="auto"/>
          </w:divBdr>
        </w:div>
      </w:divsChild>
    </w:div>
    <w:div w:id="535891996">
      <w:marLeft w:val="4"/>
      <w:marRight w:val="0"/>
      <w:marTop w:val="120"/>
      <w:marBottom w:val="0"/>
      <w:divBdr>
        <w:top w:val="none" w:sz="0" w:space="0" w:color="auto"/>
        <w:left w:val="none" w:sz="0" w:space="0" w:color="auto"/>
        <w:bottom w:val="none" w:sz="0" w:space="0" w:color="auto"/>
        <w:right w:val="none" w:sz="0" w:space="0" w:color="auto"/>
      </w:divBdr>
      <w:divsChild>
        <w:div w:id="588852615">
          <w:marLeft w:val="0"/>
          <w:marRight w:val="0"/>
          <w:marTop w:val="0"/>
          <w:marBottom w:val="0"/>
          <w:divBdr>
            <w:top w:val="none" w:sz="0" w:space="0" w:color="auto"/>
            <w:left w:val="none" w:sz="0" w:space="0" w:color="auto"/>
            <w:bottom w:val="none" w:sz="0" w:space="0" w:color="auto"/>
            <w:right w:val="none" w:sz="0" w:space="0" w:color="auto"/>
          </w:divBdr>
        </w:div>
      </w:divsChild>
    </w:div>
    <w:div w:id="922030197">
      <w:marLeft w:val="0"/>
      <w:marRight w:val="0"/>
      <w:marTop w:val="0"/>
      <w:marBottom w:val="0"/>
      <w:divBdr>
        <w:top w:val="none" w:sz="0" w:space="0" w:color="auto"/>
        <w:left w:val="none" w:sz="0" w:space="0" w:color="auto"/>
        <w:bottom w:val="none" w:sz="0" w:space="0" w:color="auto"/>
        <w:right w:val="none" w:sz="0" w:space="0" w:color="auto"/>
      </w:divBdr>
      <w:divsChild>
        <w:div w:id="1098135844">
          <w:marLeft w:val="0"/>
          <w:marRight w:val="0"/>
          <w:marTop w:val="0"/>
          <w:marBottom w:val="0"/>
          <w:divBdr>
            <w:top w:val="none" w:sz="0" w:space="0" w:color="auto"/>
            <w:left w:val="none" w:sz="0" w:space="0" w:color="auto"/>
            <w:bottom w:val="none" w:sz="0" w:space="0" w:color="auto"/>
            <w:right w:val="none" w:sz="0" w:space="0" w:color="auto"/>
          </w:divBdr>
        </w:div>
      </w:divsChild>
    </w:div>
    <w:div w:id="1007755603">
      <w:marLeft w:val="0"/>
      <w:marRight w:val="0"/>
      <w:marTop w:val="0"/>
      <w:marBottom w:val="0"/>
      <w:divBdr>
        <w:top w:val="none" w:sz="0" w:space="0" w:color="auto"/>
        <w:left w:val="none" w:sz="0" w:space="0" w:color="auto"/>
        <w:bottom w:val="none" w:sz="0" w:space="0" w:color="auto"/>
        <w:right w:val="none" w:sz="0" w:space="0" w:color="auto"/>
      </w:divBdr>
      <w:divsChild>
        <w:div w:id="881674373">
          <w:marLeft w:val="0"/>
          <w:marRight w:val="0"/>
          <w:marTop w:val="360"/>
          <w:marBottom w:val="0"/>
          <w:divBdr>
            <w:top w:val="none" w:sz="0" w:space="0" w:color="auto"/>
            <w:left w:val="none" w:sz="0" w:space="0" w:color="auto"/>
            <w:bottom w:val="none" w:sz="0" w:space="0" w:color="auto"/>
            <w:right w:val="none" w:sz="0" w:space="0" w:color="auto"/>
          </w:divBdr>
          <w:divsChild>
            <w:div w:id="4989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2061">
      <w:marLeft w:val="0"/>
      <w:marRight w:val="0"/>
      <w:marTop w:val="0"/>
      <w:marBottom w:val="0"/>
      <w:divBdr>
        <w:top w:val="none" w:sz="0" w:space="0" w:color="auto"/>
        <w:left w:val="none" w:sz="0" w:space="0" w:color="auto"/>
        <w:bottom w:val="none" w:sz="0" w:space="0" w:color="auto"/>
        <w:right w:val="none" w:sz="0" w:space="0" w:color="auto"/>
      </w:divBdr>
      <w:divsChild>
        <w:div w:id="2144542517">
          <w:marLeft w:val="0"/>
          <w:marRight w:val="0"/>
          <w:marTop w:val="240"/>
          <w:marBottom w:val="0"/>
          <w:divBdr>
            <w:top w:val="none" w:sz="0" w:space="0" w:color="auto"/>
            <w:left w:val="none" w:sz="0" w:space="0" w:color="auto"/>
            <w:bottom w:val="none" w:sz="0" w:space="0" w:color="auto"/>
            <w:right w:val="none" w:sz="0" w:space="0" w:color="auto"/>
          </w:divBdr>
          <w:divsChild>
            <w:div w:id="249194426">
              <w:marLeft w:val="0"/>
              <w:marRight w:val="0"/>
              <w:marTop w:val="0"/>
              <w:marBottom w:val="0"/>
              <w:divBdr>
                <w:top w:val="none" w:sz="0" w:space="0" w:color="auto"/>
                <w:left w:val="none" w:sz="0" w:space="0" w:color="auto"/>
                <w:bottom w:val="none" w:sz="0" w:space="0" w:color="auto"/>
                <w:right w:val="none" w:sz="0" w:space="0" w:color="auto"/>
              </w:divBdr>
            </w:div>
          </w:divsChild>
        </w:div>
        <w:div w:id="860239036">
          <w:marLeft w:val="0"/>
          <w:marRight w:val="0"/>
          <w:marTop w:val="0"/>
          <w:marBottom w:val="0"/>
          <w:divBdr>
            <w:top w:val="none" w:sz="0" w:space="0" w:color="auto"/>
            <w:left w:val="none" w:sz="0" w:space="0" w:color="auto"/>
            <w:bottom w:val="none" w:sz="0" w:space="0" w:color="auto"/>
            <w:right w:val="none" w:sz="0" w:space="0" w:color="auto"/>
          </w:divBdr>
        </w:div>
        <w:div w:id="501360311">
          <w:marLeft w:val="0"/>
          <w:marRight w:val="0"/>
          <w:marTop w:val="0"/>
          <w:marBottom w:val="0"/>
          <w:divBdr>
            <w:top w:val="none" w:sz="0" w:space="0" w:color="auto"/>
            <w:left w:val="none" w:sz="0" w:space="0" w:color="auto"/>
            <w:bottom w:val="none" w:sz="0" w:space="0" w:color="auto"/>
            <w:right w:val="none" w:sz="0" w:space="0" w:color="auto"/>
          </w:divBdr>
        </w:div>
        <w:div w:id="2003046603">
          <w:marLeft w:val="0"/>
          <w:marRight w:val="0"/>
          <w:marTop w:val="0"/>
          <w:marBottom w:val="0"/>
          <w:divBdr>
            <w:top w:val="none" w:sz="0" w:space="0" w:color="auto"/>
            <w:left w:val="none" w:sz="0" w:space="0" w:color="auto"/>
            <w:bottom w:val="none" w:sz="0" w:space="0" w:color="auto"/>
            <w:right w:val="none" w:sz="0" w:space="0" w:color="auto"/>
          </w:divBdr>
          <w:divsChild>
            <w:div w:id="5401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2218">
      <w:marLeft w:val="0"/>
      <w:marRight w:val="0"/>
      <w:marTop w:val="0"/>
      <w:marBottom w:val="0"/>
      <w:divBdr>
        <w:top w:val="none" w:sz="0" w:space="0" w:color="auto"/>
        <w:left w:val="none" w:sz="0" w:space="0" w:color="auto"/>
        <w:bottom w:val="none" w:sz="0" w:space="0" w:color="auto"/>
        <w:right w:val="none" w:sz="0" w:space="0" w:color="auto"/>
      </w:divBdr>
      <w:divsChild>
        <w:div w:id="1649020514">
          <w:marLeft w:val="0"/>
          <w:marRight w:val="0"/>
          <w:marTop w:val="0"/>
          <w:marBottom w:val="0"/>
          <w:divBdr>
            <w:top w:val="none" w:sz="0" w:space="0" w:color="auto"/>
            <w:left w:val="none" w:sz="0" w:space="0" w:color="auto"/>
            <w:bottom w:val="none" w:sz="0" w:space="0" w:color="auto"/>
            <w:right w:val="none" w:sz="0" w:space="0" w:color="auto"/>
          </w:divBdr>
        </w:div>
      </w:divsChild>
    </w:div>
    <w:div w:id="1180579511">
      <w:marLeft w:val="0"/>
      <w:marRight w:val="0"/>
      <w:marTop w:val="0"/>
      <w:marBottom w:val="0"/>
      <w:divBdr>
        <w:top w:val="none" w:sz="0" w:space="0" w:color="auto"/>
        <w:left w:val="none" w:sz="0" w:space="0" w:color="auto"/>
        <w:bottom w:val="none" w:sz="0" w:space="0" w:color="auto"/>
        <w:right w:val="none" w:sz="0" w:space="0" w:color="auto"/>
      </w:divBdr>
      <w:divsChild>
        <w:div w:id="774250200">
          <w:marLeft w:val="0"/>
          <w:marRight w:val="0"/>
          <w:marTop w:val="360"/>
          <w:marBottom w:val="0"/>
          <w:divBdr>
            <w:top w:val="none" w:sz="0" w:space="0" w:color="auto"/>
            <w:left w:val="none" w:sz="0" w:space="0" w:color="auto"/>
            <w:bottom w:val="none" w:sz="0" w:space="0" w:color="auto"/>
            <w:right w:val="none" w:sz="0" w:space="0" w:color="auto"/>
          </w:divBdr>
          <w:divsChild>
            <w:div w:id="20679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49649">
      <w:marLeft w:val="4"/>
      <w:marRight w:val="0"/>
      <w:marTop w:val="120"/>
      <w:marBottom w:val="0"/>
      <w:divBdr>
        <w:top w:val="none" w:sz="0" w:space="0" w:color="auto"/>
        <w:left w:val="none" w:sz="0" w:space="0" w:color="auto"/>
        <w:bottom w:val="none" w:sz="0" w:space="0" w:color="auto"/>
        <w:right w:val="none" w:sz="0" w:space="0" w:color="auto"/>
      </w:divBdr>
      <w:divsChild>
        <w:div w:id="1521700047">
          <w:marLeft w:val="0"/>
          <w:marRight w:val="0"/>
          <w:marTop w:val="0"/>
          <w:marBottom w:val="0"/>
          <w:divBdr>
            <w:top w:val="none" w:sz="0" w:space="0" w:color="auto"/>
            <w:left w:val="none" w:sz="0" w:space="0" w:color="auto"/>
            <w:bottom w:val="none" w:sz="0" w:space="0" w:color="auto"/>
            <w:right w:val="none" w:sz="0" w:space="0" w:color="auto"/>
          </w:divBdr>
        </w:div>
      </w:divsChild>
    </w:div>
    <w:div w:id="1256398881">
      <w:marLeft w:val="0"/>
      <w:marRight w:val="0"/>
      <w:marTop w:val="0"/>
      <w:marBottom w:val="0"/>
      <w:divBdr>
        <w:top w:val="none" w:sz="0" w:space="0" w:color="auto"/>
        <w:left w:val="none" w:sz="0" w:space="0" w:color="auto"/>
        <w:bottom w:val="none" w:sz="0" w:space="0" w:color="auto"/>
        <w:right w:val="none" w:sz="0" w:space="0" w:color="auto"/>
      </w:divBdr>
      <w:divsChild>
        <w:div w:id="487285962">
          <w:marLeft w:val="0"/>
          <w:marRight w:val="0"/>
          <w:marTop w:val="360"/>
          <w:marBottom w:val="0"/>
          <w:divBdr>
            <w:top w:val="none" w:sz="0" w:space="0" w:color="auto"/>
            <w:left w:val="none" w:sz="0" w:space="0" w:color="auto"/>
            <w:bottom w:val="none" w:sz="0" w:space="0" w:color="auto"/>
            <w:right w:val="none" w:sz="0" w:space="0" w:color="auto"/>
          </w:divBdr>
          <w:divsChild>
            <w:div w:id="1362776684">
              <w:marLeft w:val="0"/>
              <w:marRight w:val="0"/>
              <w:marTop w:val="0"/>
              <w:marBottom w:val="0"/>
              <w:divBdr>
                <w:top w:val="none" w:sz="0" w:space="0" w:color="auto"/>
                <w:left w:val="none" w:sz="0" w:space="0" w:color="auto"/>
                <w:bottom w:val="none" w:sz="0" w:space="0" w:color="auto"/>
                <w:right w:val="none" w:sz="0" w:space="0" w:color="auto"/>
              </w:divBdr>
            </w:div>
          </w:divsChild>
        </w:div>
        <w:div w:id="1495956384">
          <w:marLeft w:val="0"/>
          <w:marRight w:val="0"/>
          <w:marTop w:val="0"/>
          <w:marBottom w:val="0"/>
          <w:divBdr>
            <w:top w:val="none" w:sz="0" w:space="0" w:color="auto"/>
            <w:left w:val="none" w:sz="0" w:space="0" w:color="auto"/>
            <w:bottom w:val="none" w:sz="0" w:space="0" w:color="auto"/>
            <w:right w:val="none" w:sz="0" w:space="0" w:color="auto"/>
          </w:divBdr>
        </w:div>
      </w:divsChild>
    </w:div>
    <w:div w:id="1301567839">
      <w:marLeft w:val="0"/>
      <w:marRight w:val="0"/>
      <w:marTop w:val="0"/>
      <w:marBottom w:val="0"/>
      <w:divBdr>
        <w:top w:val="none" w:sz="0" w:space="0" w:color="auto"/>
        <w:left w:val="none" w:sz="0" w:space="0" w:color="auto"/>
        <w:bottom w:val="none" w:sz="0" w:space="0" w:color="auto"/>
        <w:right w:val="none" w:sz="0" w:space="0" w:color="auto"/>
      </w:divBdr>
      <w:divsChild>
        <w:div w:id="845098044">
          <w:marLeft w:val="0"/>
          <w:marRight w:val="0"/>
          <w:marTop w:val="360"/>
          <w:marBottom w:val="0"/>
          <w:divBdr>
            <w:top w:val="none" w:sz="0" w:space="0" w:color="auto"/>
            <w:left w:val="none" w:sz="0" w:space="0" w:color="auto"/>
            <w:bottom w:val="none" w:sz="0" w:space="0" w:color="auto"/>
            <w:right w:val="none" w:sz="0" w:space="0" w:color="auto"/>
          </w:divBdr>
          <w:divsChild>
            <w:div w:id="865404743">
              <w:marLeft w:val="0"/>
              <w:marRight w:val="0"/>
              <w:marTop w:val="0"/>
              <w:marBottom w:val="0"/>
              <w:divBdr>
                <w:top w:val="none" w:sz="0" w:space="0" w:color="auto"/>
                <w:left w:val="none" w:sz="0" w:space="0" w:color="auto"/>
                <w:bottom w:val="none" w:sz="0" w:space="0" w:color="auto"/>
                <w:right w:val="none" w:sz="0" w:space="0" w:color="auto"/>
              </w:divBdr>
            </w:div>
          </w:divsChild>
        </w:div>
        <w:div w:id="1449885078">
          <w:marLeft w:val="0"/>
          <w:marRight w:val="0"/>
          <w:marTop w:val="0"/>
          <w:marBottom w:val="0"/>
          <w:divBdr>
            <w:top w:val="none" w:sz="0" w:space="0" w:color="auto"/>
            <w:left w:val="none" w:sz="0" w:space="0" w:color="auto"/>
            <w:bottom w:val="none" w:sz="0" w:space="0" w:color="auto"/>
            <w:right w:val="none" w:sz="0" w:space="0" w:color="auto"/>
          </w:divBdr>
        </w:div>
        <w:div w:id="331760783">
          <w:marLeft w:val="0"/>
          <w:marRight w:val="0"/>
          <w:marTop w:val="0"/>
          <w:marBottom w:val="0"/>
          <w:divBdr>
            <w:top w:val="none" w:sz="0" w:space="0" w:color="auto"/>
            <w:left w:val="none" w:sz="0" w:space="0" w:color="auto"/>
            <w:bottom w:val="none" w:sz="0" w:space="0" w:color="auto"/>
            <w:right w:val="none" w:sz="0" w:space="0" w:color="auto"/>
          </w:divBdr>
        </w:div>
      </w:divsChild>
    </w:div>
    <w:div w:id="1479372126">
      <w:marLeft w:val="4"/>
      <w:marRight w:val="0"/>
      <w:marTop w:val="120"/>
      <w:marBottom w:val="0"/>
      <w:divBdr>
        <w:top w:val="none" w:sz="0" w:space="0" w:color="auto"/>
        <w:left w:val="none" w:sz="0" w:space="0" w:color="auto"/>
        <w:bottom w:val="none" w:sz="0" w:space="0" w:color="auto"/>
        <w:right w:val="none" w:sz="0" w:space="0" w:color="auto"/>
      </w:divBdr>
      <w:divsChild>
        <w:div w:id="1487668670">
          <w:marLeft w:val="0"/>
          <w:marRight w:val="0"/>
          <w:marTop w:val="0"/>
          <w:marBottom w:val="0"/>
          <w:divBdr>
            <w:top w:val="none" w:sz="0" w:space="0" w:color="auto"/>
            <w:left w:val="none" w:sz="0" w:space="0" w:color="auto"/>
            <w:bottom w:val="none" w:sz="0" w:space="0" w:color="auto"/>
            <w:right w:val="none" w:sz="0" w:space="0" w:color="auto"/>
          </w:divBdr>
        </w:div>
      </w:divsChild>
    </w:div>
    <w:div w:id="1576352552">
      <w:marLeft w:val="4"/>
      <w:marRight w:val="0"/>
      <w:marTop w:val="120"/>
      <w:marBottom w:val="0"/>
      <w:divBdr>
        <w:top w:val="none" w:sz="0" w:space="0" w:color="auto"/>
        <w:left w:val="none" w:sz="0" w:space="0" w:color="auto"/>
        <w:bottom w:val="none" w:sz="0" w:space="0" w:color="auto"/>
        <w:right w:val="none" w:sz="0" w:space="0" w:color="auto"/>
      </w:divBdr>
      <w:divsChild>
        <w:div w:id="458763296">
          <w:marLeft w:val="0"/>
          <w:marRight w:val="0"/>
          <w:marTop w:val="0"/>
          <w:marBottom w:val="0"/>
          <w:divBdr>
            <w:top w:val="none" w:sz="0" w:space="0" w:color="auto"/>
            <w:left w:val="none" w:sz="0" w:space="0" w:color="auto"/>
            <w:bottom w:val="none" w:sz="0" w:space="0" w:color="auto"/>
            <w:right w:val="none" w:sz="0" w:space="0" w:color="auto"/>
          </w:divBdr>
        </w:div>
      </w:divsChild>
    </w:div>
    <w:div w:id="1576747894">
      <w:marLeft w:val="4"/>
      <w:marRight w:val="0"/>
      <w:marTop w:val="120"/>
      <w:marBottom w:val="0"/>
      <w:divBdr>
        <w:top w:val="none" w:sz="0" w:space="0" w:color="auto"/>
        <w:left w:val="none" w:sz="0" w:space="0" w:color="auto"/>
        <w:bottom w:val="none" w:sz="0" w:space="0" w:color="auto"/>
        <w:right w:val="none" w:sz="0" w:space="0" w:color="auto"/>
      </w:divBdr>
      <w:divsChild>
        <w:div w:id="147019401">
          <w:marLeft w:val="0"/>
          <w:marRight w:val="0"/>
          <w:marTop w:val="0"/>
          <w:marBottom w:val="0"/>
          <w:divBdr>
            <w:top w:val="none" w:sz="0" w:space="0" w:color="auto"/>
            <w:left w:val="none" w:sz="0" w:space="0" w:color="auto"/>
            <w:bottom w:val="none" w:sz="0" w:space="0" w:color="auto"/>
            <w:right w:val="none" w:sz="0" w:space="0" w:color="auto"/>
          </w:divBdr>
        </w:div>
      </w:divsChild>
    </w:div>
    <w:div w:id="1660957124">
      <w:marLeft w:val="4"/>
      <w:marRight w:val="0"/>
      <w:marTop w:val="120"/>
      <w:marBottom w:val="0"/>
      <w:divBdr>
        <w:top w:val="none" w:sz="0" w:space="0" w:color="auto"/>
        <w:left w:val="none" w:sz="0" w:space="0" w:color="auto"/>
        <w:bottom w:val="none" w:sz="0" w:space="0" w:color="auto"/>
        <w:right w:val="none" w:sz="0" w:space="0" w:color="auto"/>
      </w:divBdr>
      <w:divsChild>
        <w:div w:id="617493697">
          <w:marLeft w:val="0"/>
          <w:marRight w:val="0"/>
          <w:marTop w:val="0"/>
          <w:marBottom w:val="0"/>
          <w:divBdr>
            <w:top w:val="none" w:sz="0" w:space="0" w:color="auto"/>
            <w:left w:val="none" w:sz="0" w:space="0" w:color="auto"/>
            <w:bottom w:val="none" w:sz="0" w:space="0" w:color="auto"/>
            <w:right w:val="none" w:sz="0" w:space="0" w:color="auto"/>
          </w:divBdr>
        </w:div>
      </w:divsChild>
    </w:div>
    <w:div w:id="1680892827">
      <w:marLeft w:val="4"/>
      <w:marRight w:val="0"/>
      <w:marTop w:val="120"/>
      <w:marBottom w:val="0"/>
      <w:divBdr>
        <w:top w:val="none" w:sz="0" w:space="0" w:color="auto"/>
        <w:left w:val="none" w:sz="0" w:space="0" w:color="auto"/>
        <w:bottom w:val="none" w:sz="0" w:space="0" w:color="auto"/>
        <w:right w:val="none" w:sz="0" w:space="0" w:color="auto"/>
      </w:divBdr>
      <w:divsChild>
        <w:div w:id="713698516">
          <w:marLeft w:val="0"/>
          <w:marRight w:val="0"/>
          <w:marTop w:val="0"/>
          <w:marBottom w:val="0"/>
          <w:divBdr>
            <w:top w:val="none" w:sz="0" w:space="0" w:color="auto"/>
            <w:left w:val="none" w:sz="0" w:space="0" w:color="auto"/>
            <w:bottom w:val="none" w:sz="0" w:space="0" w:color="auto"/>
            <w:right w:val="none" w:sz="0" w:space="0" w:color="auto"/>
          </w:divBdr>
        </w:div>
      </w:divsChild>
    </w:div>
    <w:div w:id="1781295744">
      <w:marLeft w:val="0"/>
      <w:marRight w:val="0"/>
      <w:marTop w:val="0"/>
      <w:marBottom w:val="0"/>
      <w:divBdr>
        <w:top w:val="none" w:sz="0" w:space="0" w:color="auto"/>
        <w:left w:val="none" w:sz="0" w:space="0" w:color="auto"/>
        <w:bottom w:val="none" w:sz="0" w:space="0" w:color="auto"/>
        <w:right w:val="none" w:sz="0" w:space="0" w:color="auto"/>
      </w:divBdr>
      <w:divsChild>
        <w:div w:id="1270968948">
          <w:marLeft w:val="0"/>
          <w:marRight w:val="0"/>
          <w:marTop w:val="160"/>
          <w:marBottom w:val="0"/>
          <w:divBdr>
            <w:top w:val="none" w:sz="0" w:space="0" w:color="auto"/>
            <w:left w:val="none" w:sz="0" w:space="0" w:color="auto"/>
            <w:bottom w:val="none" w:sz="0" w:space="0" w:color="auto"/>
            <w:right w:val="none" w:sz="0" w:space="0" w:color="auto"/>
          </w:divBdr>
          <w:divsChild>
            <w:div w:id="7823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5812">
      <w:marLeft w:val="4"/>
      <w:marRight w:val="0"/>
      <w:marTop w:val="120"/>
      <w:marBottom w:val="0"/>
      <w:divBdr>
        <w:top w:val="none" w:sz="0" w:space="0" w:color="auto"/>
        <w:left w:val="none" w:sz="0" w:space="0" w:color="auto"/>
        <w:bottom w:val="none" w:sz="0" w:space="0" w:color="auto"/>
        <w:right w:val="none" w:sz="0" w:space="0" w:color="auto"/>
      </w:divBdr>
      <w:divsChild>
        <w:div w:id="86198797">
          <w:marLeft w:val="0"/>
          <w:marRight w:val="0"/>
          <w:marTop w:val="0"/>
          <w:marBottom w:val="0"/>
          <w:divBdr>
            <w:top w:val="none" w:sz="0" w:space="0" w:color="auto"/>
            <w:left w:val="none" w:sz="0" w:space="0" w:color="auto"/>
            <w:bottom w:val="none" w:sz="0" w:space="0" w:color="auto"/>
            <w:right w:val="none" w:sz="0" w:space="0" w:color="auto"/>
          </w:divBdr>
        </w:div>
      </w:divsChild>
    </w:div>
    <w:div w:id="2065132716">
      <w:marLeft w:val="4"/>
      <w:marRight w:val="0"/>
      <w:marTop w:val="120"/>
      <w:marBottom w:val="0"/>
      <w:divBdr>
        <w:top w:val="none" w:sz="0" w:space="0" w:color="auto"/>
        <w:left w:val="none" w:sz="0" w:space="0" w:color="auto"/>
        <w:bottom w:val="none" w:sz="0" w:space="0" w:color="auto"/>
        <w:right w:val="none" w:sz="0" w:space="0" w:color="auto"/>
      </w:divBdr>
      <w:divsChild>
        <w:div w:id="1820879532">
          <w:marLeft w:val="0"/>
          <w:marRight w:val="0"/>
          <w:marTop w:val="0"/>
          <w:marBottom w:val="0"/>
          <w:divBdr>
            <w:top w:val="none" w:sz="0" w:space="0" w:color="auto"/>
            <w:left w:val="none" w:sz="0" w:space="0" w:color="auto"/>
            <w:bottom w:val="none" w:sz="0" w:space="0" w:color="auto"/>
            <w:right w:val="none" w:sz="0" w:space="0" w:color="auto"/>
          </w:divBdr>
        </w:div>
      </w:divsChild>
    </w:div>
    <w:div w:id="2080865034">
      <w:marLeft w:val="0"/>
      <w:marRight w:val="0"/>
      <w:marTop w:val="0"/>
      <w:marBottom w:val="0"/>
      <w:divBdr>
        <w:top w:val="none" w:sz="0" w:space="0" w:color="auto"/>
        <w:left w:val="none" w:sz="0" w:space="0" w:color="auto"/>
        <w:bottom w:val="none" w:sz="0" w:space="0" w:color="auto"/>
        <w:right w:val="none" w:sz="0" w:space="0" w:color="auto"/>
      </w:divBdr>
      <w:divsChild>
        <w:div w:id="609892691">
          <w:marLeft w:val="0"/>
          <w:marRight w:val="0"/>
          <w:marTop w:val="360"/>
          <w:marBottom w:val="0"/>
          <w:divBdr>
            <w:top w:val="none" w:sz="0" w:space="0" w:color="auto"/>
            <w:left w:val="none" w:sz="0" w:space="0" w:color="auto"/>
            <w:bottom w:val="none" w:sz="0" w:space="0" w:color="auto"/>
            <w:right w:val="none" w:sz="0" w:space="0" w:color="auto"/>
          </w:divBdr>
          <w:divsChild>
            <w:div w:id="622419689">
              <w:marLeft w:val="0"/>
              <w:marRight w:val="0"/>
              <w:marTop w:val="0"/>
              <w:marBottom w:val="0"/>
              <w:divBdr>
                <w:top w:val="none" w:sz="0" w:space="0" w:color="auto"/>
                <w:left w:val="none" w:sz="0" w:space="0" w:color="auto"/>
                <w:bottom w:val="none" w:sz="0" w:space="0" w:color="auto"/>
                <w:right w:val="none" w:sz="0" w:space="0" w:color="auto"/>
              </w:divBdr>
            </w:div>
          </w:divsChild>
        </w:div>
        <w:div w:id="1833179165">
          <w:marLeft w:val="0"/>
          <w:marRight w:val="0"/>
          <w:marTop w:val="0"/>
          <w:marBottom w:val="0"/>
          <w:divBdr>
            <w:top w:val="none" w:sz="0" w:space="0" w:color="auto"/>
            <w:left w:val="none" w:sz="0" w:space="0" w:color="auto"/>
            <w:bottom w:val="none" w:sz="0" w:space="0" w:color="auto"/>
            <w:right w:val="none" w:sz="0" w:space="0" w:color="auto"/>
          </w:divBdr>
        </w:div>
        <w:div w:id="607926777">
          <w:marLeft w:val="0"/>
          <w:marRight w:val="0"/>
          <w:marTop w:val="0"/>
          <w:marBottom w:val="0"/>
          <w:divBdr>
            <w:top w:val="none" w:sz="0" w:space="0" w:color="auto"/>
            <w:left w:val="none" w:sz="0" w:space="0" w:color="auto"/>
            <w:bottom w:val="none" w:sz="0" w:space="0" w:color="auto"/>
            <w:right w:val="none" w:sz="0" w:space="0" w:color="auto"/>
          </w:divBdr>
        </w:div>
        <w:div w:id="31804548">
          <w:marLeft w:val="0"/>
          <w:marRight w:val="0"/>
          <w:marTop w:val="0"/>
          <w:marBottom w:val="0"/>
          <w:divBdr>
            <w:top w:val="none" w:sz="0" w:space="0" w:color="auto"/>
            <w:left w:val="none" w:sz="0" w:space="0" w:color="auto"/>
            <w:bottom w:val="none" w:sz="0" w:space="0" w:color="auto"/>
            <w:right w:val="none" w:sz="0" w:space="0" w:color="auto"/>
          </w:divBdr>
        </w:div>
      </w:divsChild>
    </w:div>
    <w:div w:id="2136287036">
      <w:marLeft w:val="0"/>
      <w:marRight w:val="0"/>
      <w:marTop w:val="0"/>
      <w:marBottom w:val="0"/>
      <w:divBdr>
        <w:top w:val="none" w:sz="0" w:space="0" w:color="auto"/>
        <w:left w:val="none" w:sz="0" w:space="0" w:color="auto"/>
        <w:bottom w:val="none" w:sz="0" w:space="0" w:color="auto"/>
        <w:right w:val="none" w:sz="0" w:space="0" w:color="auto"/>
      </w:divBdr>
      <w:divsChild>
        <w:div w:id="91750825">
          <w:marLeft w:val="0"/>
          <w:marRight w:val="0"/>
          <w:marTop w:val="360"/>
          <w:marBottom w:val="0"/>
          <w:divBdr>
            <w:top w:val="none" w:sz="0" w:space="0" w:color="auto"/>
            <w:left w:val="none" w:sz="0" w:space="0" w:color="auto"/>
            <w:bottom w:val="none" w:sz="0" w:space="0" w:color="auto"/>
            <w:right w:val="none" w:sz="0" w:space="0" w:color="auto"/>
          </w:divBdr>
          <w:divsChild>
            <w:div w:id="1867332862">
              <w:marLeft w:val="0"/>
              <w:marRight w:val="0"/>
              <w:marTop w:val="0"/>
              <w:marBottom w:val="0"/>
              <w:divBdr>
                <w:top w:val="none" w:sz="0" w:space="0" w:color="auto"/>
                <w:left w:val="none" w:sz="0" w:space="0" w:color="auto"/>
                <w:bottom w:val="none" w:sz="0" w:space="0" w:color="auto"/>
                <w:right w:val="none" w:sz="0" w:space="0" w:color="auto"/>
              </w:divBdr>
            </w:div>
          </w:divsChild>
        </w:div>
        <w:div w:id="66178317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xw-ex32_1.htm" TargetMode="External"/><Relationship Id="rId3" Type="http://schemas.openxmlformats.org/officeDocument/2006/relationships/webSettings" Target="webSettings.xml"/><Relationship Id="rId7" Type="http://schemas.openxmlformats.org/officeDocument/2006/relationships/hyperlink" Target="cxw-ex31_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xw-ex31_1.htm" TargetMode="External"/><Relationship Id="rId11" Type="http://schemas.openxmlformats.org/officeDocument/2006/relationships/theme" Target="theme/theme1.xml"/><Relationship Id="rId5" Type="http://schemas.openxmlformats.org/officeDocument/2006/relationships/hyperlink" Target="cxw-ex22_1.htm" TargetMode="External"/><Relationship Id="rId10" Type="http://schemas.openxmlformats.org/officeDocument/2006/relationships/fontTable" Target="fontTable.xml"/><Relationship Id="rId4" Type="http://schemas.openxmlformats.org/officeDocument/2006/relationships/hyperlink" Target="https://www.sec.gov/Archives/edgar/data/1070985/000114036122018956/brhc10037600_ex10-1.htm" TargetMode="External"/><Relationship Id="rId9" Type="http://schemas.openxmlformats.org/officeDocument/2006/relationships/hyperlink" Target="cxw-ex32_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36416</Words>
  <Characters>207577</Characters>
  <Application>Microsoft Office Word</Application>
  <DocSecurity>0</DocSecurity>
  <Lines>1729</Lines>
  <Paragraphs>487</Paragraphs>
  <ScaleCrop>false</ScaleCrop>
  <Company/>
  <LinksUpToDate>false</LinksUpToDate>
  <CharactersWithSpaces>243506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2024-01-04T15:39:00Z</dcterms:created>
  <dcterms:modified xsi:type="dcterms:W3CDTF">2024-01-04T15:39:00Z</dcterms:modified>
</cp:coreProperties>
</file>